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B148CC9">
      <w:pPr>
        <w:jc w:val="center"/>
        <w:rPr>
          <w:rFonts w:ascii="宋体" w:hAnsi="宋体" w:cs="宋体"/>
          <w:b/>
          <w:kern w:val="0"/>
          <w:sz w:val="44"/>
          <w:szCs w:val="44"/>
          <w:highlight w:val="none"/>
        </w:rPr>
      </w:pPr>
      <w:bookmarkStart w:id="0" w:name="_Toc247085669"/>
      <w:bookmarkStart w:id="1" w:name="_Toc461631222"/>
      <w:bookmarkStart w:id="2" w:name="_Toc15058843"/>
      <w:bookmarkStart w:id="3" w:name="_Toc506107265"/>
      <w:bookmarkStart w:id="4" w:name="_Toc296602400"/>
      <w:bookmarkStart w:id="5" w:name="_Toc246996898"/>
      <w:bookmarkStart w:id="6" w:name="_Toc324404811"/>
      <w:bookmarkStart w:id="7" w:name="OLE_LINK1"/>
      <w:bookmarkStart w:id="8" w:name="OLE_LINK5"/>
      <w:bookmarkStart w:id="9" w:name="OLE_LINK2"/>
      <w:bookmarkStart w:id="10" w:name="OLE_LINK4"/>
      <w:bookmarkStart w:id="11" w:name="OLE_LINK3"/>
    </w:p>
    <w:p w14:paraId="03BEA7F1">
      <w:pPr>
        <w:pStyle w:val="2"/>
        <w:ind w:firstLine="420"/>
        <w:rPr>
          <w:highlight w:val="none"/>
        </w:rPr>
      </w:pPr>
    </w:p>
    <w:p w14:paraId="18087B13">
      <w:pPr>
        <w:pStyle w:val="2"/>
        <w:ind w:left="0" w:leftChars="0" w:firstLine="0" w:firstLineChars="0"/>
        <w:jc w:val="center"/>
        <w:rPr>
          <w:rFonts w:hint="eastAsia" w:hAnsi="宋体" w:cs="宋体"/>
          <w:b/>
          <w:color w:val="auto"/>
          <w:kern w:val="0"/>
          <w:sz w:val="44"/>
          <w:szCs w:val="44"/>
          <w:highlight w:val="none"/>
          <w:lang w:eastAsia="zh-CN"/>
        </w:rPr>
      </w:pPr>
      <w:r>
        <w:rPr>
          <w:rFonts w:hint="eastAsia" w:hAnsi="宋体" w:cs="宋体"/>
          <w:b/>
          <w:color w:val="auto"/>
          <w:kern w:val="0"/>
          <w:sz w:val="44"/>
          <w:szCs w:val="44"/>
          <w:highlight w:val="none"/>
          <w:lang w:eastAsia="zh-CN"/>
        </w:rPr>
        <w:t>滁州清流污水处理厂工商业分布式光伏发电</w:t>
      </w:r>
    </w:p>
    <w:p w14:paraId="183E3389">
      <w:pPr>
        <w:pStyle w:val="2"/>
        <w:ind w:left="0" w:leftChars="0" w:firstLine="0" w:firstLineChars="0"/>
        <w:jc w:val="center"/>
        <w:rPr>
          <w:color w:val="auto"/>
          <w:sz w:val="22"/>
          <w:szCs w:val="21"/>
          <w:highlight w:val="none"/>
        </w:rPr>
      </w:pPr>
      <w:r>
        <w:rPr>
          <w:rFonts w:hint="eastAsia" w:hAnsi="宋体" w:cs="宋体"/>
          <w:b/>
          <w:color w:val="auto"/>
          <w:kern w:val="0"/>
          <w:sz w:val="44"/>
          <w:szCs w:val="44"/>
          <w:highlight w:val="none"/>
          <w:lang w:eastAsia="zh-CN"/>
        </w:rPr>
        <w:t>初步设计项目</w:t>
      </w:r>
    </w:p>
    <w:p w14:paraId="1C9996FB">
      <w:pPr>
        <w:jc w:val="center"/>
        <w:rPr>
          <w:rFonts w:ascii="宋体" w:hAnsi="宋体"/>
          <w:color w:val="auto"/>
          <w:sz w:val="96"/>
          <w:szCs w:val="96"/>
          <w:highlight w:val="none"/>
        </w:rPr>
      </w:pPr>
    </w:p>
    <w:p w14:paraId="2A2621CC">
      <w:pPr>
        <w:pStyle w:val="2"/>
        <w:rPr>
          <w:highlight w:val="none"/>
        </w:rPr>
      </w:pPr>
    </w:p>
    <w:p w14:paraId="4BB8E937">
      <w:pPr>
        <w:jc w:val="center"/>
        <w:rPr>
          <w:color w:val="auto"/>
          <w:sz w:val="28"/>
          <w:szCs w:val="28"/>
          <w:highlight w:val="none"/>
        </w:rPr>
      </w:pPr>
      <w:r>
        <w:rPr>
          <w:rFonts w:hint="eastAsia" w:ascii="宋体" w:hAnsi="宋体"/>
          <w:b/>
          <w:bCs/>
          <w:color w:val="auto"/>
          <w:sz w:val="96"/>
          <w:szCs w:val="96"/>
          <w:highlight w:val="none"/>
        </w:rPr>
        <w:t>招</w:t>
      </w:r>
      <w:r>
        <w:rPr>
          <w:rFonts w:hint="eastAsia" w:ascii="宋体" w:hAnsi="宋体"/>
          <w:b/>
          <w:bCs/>
          <w:color w:val="auto"/>
          <w:sz w:val="96"/>
          <w:szCs w:val="96"/>
          <w:highlight w:val="none"/>
          <w:lang w:val="en-US" w:eastAsia="zh-CN"/>
        </w:rPr>
        <w:t xml:space="preserve"> </w:t>
      </w:r>
      <w:r>
        <w:rPr>
          <w:rFonts w:hint="eastAsia" w:ascii="宋体"/>
          <w:b/>
          <w:bCs/>
          <w:color w:val="auto"/>
          <w:sz w:val="96"/>
          <w:szCs w:val="96"/>
          <w:highlight w:val="none"/>
        </w:rPr>
        <w:t>标</w:t>
      </w:r>
      <w:r>
        <w:rPr>
          <w:rFonts w:hint="eastAsia" w:ascii="宋体"/>
          <w:b/>
          <w:bCs/>
          <w:color w:val="auto"/>
          <w:sz w:val="96"/>
          <w:szCs w:val="96"/>
          <w:highlight w:val="none"/>
          <w:lang w:val="en-US" w:eastAsia="zh-CN"/>
        </w:rPr>
        <w:t xml:space="preserve"> </w:t>
      </w:r>
      <w:r>
        <w:rPr>
          <w:rFonts w:hint="eastAsia" w:ascii="宋体" w:hAnsi="宋体"/>
          <w:b/>
          <w:bCs/>
          <w:color w:val="auto"/>
          <w:sz w:val="96"/>
          <w:szCs w:val="96"/>
          <w:highlight w:val="none"/>
        </w:rPr>
        <w:t>文</w:t>
      </w:r>
      <w:r>
        <w:rPr>
          <w:rFonts w:hint="eastAsia" w:ascii="宋体" w:hAnsi="宋体"/>
          <w:b/>
          <w:bCs/>
          <w:color w:val="auto"/>
          <w:sz w:val="96"/>
          <w:szCs w:val="96"/>
          <w:highlight w:val="none"/>
          <w:lang w:val="en-US" w:eastAsia="zh-CN"/>
        </w:rPr>
        <w:t xml:space="preserve"> </w:t>
      </w:r>
      <w:r>
        <w:rPr>
          <w:rFonts w:hint="eastAsia" w:ascii="宋体" w:hAnsi="宋体"/>
          <w:b/>
          <w:bCs/>
          <w:color w:val="auto"/>
          <w:sz w:val="96"/>
          <w:szCs w:val="96"/>
          <w:highlight w:val="none"/>
        </w:rPr>
        <w:t>件</w:t>
      </w:r>
    </w:p>
    <w:p w14:paraId="201544BF">
      <w:pPr>
        <w:spacing w:line="400" w:lineRule="exact"/>
        <w:jc w:val="center"/>
        <w:rPr>
          <w:rFonts w:ascii="宋体" w:hAnsi="宋体"/>
          <w:b/>
          <w:color w:val="auto"/>
          <w:sz w:val="39"/>
          <w:highlight w:val="none"/>
        </w:rPr>
      </w:pPr>
    </w:p>
    <w:p w14:paraId="3187D452">
      <w:pPr>
        <w:spacing w:line="400" w:lineRule="exact"/>
        <w:rPr>
          <w:color w:val="auto"/>
          <w:highlight w:val="none"/>
        </w:rPr>
      </w:pPr>
    </w:p>
    <w:p w14:paraId="307F53F6">
      <w:pPr>
        <w:pStyle w:val="2"/>
        <w:rPr>
          <w:color w:val="auto"/>
          <w:highlight w:val="none"/>
        </w:rPr>
      </w:pPr>
    </w:p>
    <w:p w14:paraId="691FE4D6">
      <w:pPr>
        <w:rPr>
          <w:color w:val="auto"/>
          <w:highlight w:val="none"/>
        </w:rPr>
      </w:pPr>
    </w:p>
    <w:p w14:paraId="7E411827">
      <w:pPr>
        <w:pStyle w:val="2"/>
        <w:rPr>
          <w:color w:val="auto"/>
          <w:highlight w:val="none"/>
        </w:rPr>
      </w:pPr>
    </w:p>
    <w:p w14:paraId="6CF62471">
      <w:pPr>
        <w:rPr>
          <w:color w:val="auto"/>
          <w:highlight w:val="none"/>
        </w:rPr>
      </w:pPr>
    </w:p>
    <w:p w14:paraId="276FE2C2">
      <w:pPr>
        <w:pStyle w:val="2"/>
        <w:rPr>
          <w:color w:val="auto"/>
          <w:highlight w:val="none"/>
        </w:rPr>
      </w:pPr>
    </w:p>
    <w:p w14:paraId="3BD0CE75">
      <w:pPr>
        <w:rPr>
          <w:color w:val="auto"/>
          <w:highlight w:val="none"/>
        </w:rPr>
      </w:pPr>
    </w:p>
    <w:p w14:paraId="31EEA548">
      <w:pPr>
        <w:pStyle w:val="2"/>
        <w:rPr>
          <w:highlight w:val="none"/>
        </w:rPr>
      </w:pPr>
    </w:p>
    <w:p w14:paraId="6EBADFFD">
      <w:pPr>
        <w:rPr>
          <w:highlight w:val="none"/>
        </w:rPr>
      </w:pPr>
    </w:p>
    <w:p w14:paraId="57C971B3">
      <w:pPr>
        <w:pStyle w:val="2"/>
        <w:rPr>
          <w:highlight w:val="none"/>
        </w:rPr>
      </w:pPr>
    </w:p>
    <w:p w14:paraId="00CEC72B">
      <w:pPr>
        <w:rPr>
          <w:highlight w:val="none"/>
        </w:rPr>
      </w:pPr>
    </w:p>
    <w:p w14:paraId="0FB3EFCA">
      <w:pPr>
        <w:pStyle w:val="2"/>
        <w:rPr>
          <w:highlight w:val="none"/>
        </w:rPr>
      </w:pPr>
    </w:p>
    <w:p w14:paraId="34E1CE7D">
      <w:pPr>
        <w:spacing w:line="720" w:lineRule="exact"/>
        <w:rPr>
          <w:b/>
          <w:bCs/>
          <w:color w:val="auto"/>
          <w:sz w:val="28"/>
          <w:szCs w:val="28"/>
          <w:highlight w:val="none"/>
        </w:rPr>
      </w:pPr>
    </w:p>
    <w:p w14:paraId="600C11DF">
      <w:pPr>
        <w:spacing w:line="800" w:lineRule="exact"/>
        <w:ind w:firstLine="600" w:firstLineChars="200"/>
        <w:rPr>
          <w:rFonts w:hint="default" w:ascii="宋体" w:hAnsi="Times New Roman" w:eastAsia="宋体" w:cs="Times New Roman"/>
          <w:sz w:val="30"/>
          <w:szCs w:val="30"/>
          <w:highlight w:val="none"/>
          <w:u w:val="single"/>
          <w:lang w:val="en-US" w:eastAsia="zh-CN"/>
        </w:rPr>
      </w:pPr>
      <w:r>
        <w:rPr>
          <w:rFonts w:hint="eastAsia"/>
          <w:bCs/>
          <w:color w:val="auto"/>
          <w:sz w:val="30"/>
          <w:szCs w:val="30"/>
          <w:highlight w:val="none"/>
        </w:rPr>
        <w:t>招</w:t>
      </w:r>
      <w:r>
        <w:rPr>
          <w:rFonts w:hint="eastAsia"/>
          <w:bCs/>
          <w:color w:val="auto"/>
          <w:sz w:val="30"/>
          <w:szCs w:val="30"/>
          <w:highlight w:val="none"/>
          <w:lang w:val="en-US" w:eastAsia="zh-CN"/>
        </w:rPr>
        <w:t xml:space="preserve">  </w:t>
      </w:r>
      <w:r>
        <w:rPr>
          <w:rFonts w:hint="eastAsia"/>
          <w:bCs/>
          <w:color w:val="auto"/>
          <w:sz w:val="30"/>
          <w:szCs w:val="30"/>
          <w:highlight w:val="none"/>
        </w:rPr>
        <w:t>标</w:t>
      </w:r>
      <w:r>
        <w:rPr>
          <w:rFonts w:hint="eastAsia"/>
          <w:bCs/>
          <w:color w:val="auto"/>
          <w:sz w:val="30"/>
          <w:szCs w:val="30"/>
          <w:highlight w:val="none"/>
          <w:lang w:val="en-US" w:eastAsia="zh-CN"/>
        </w:rPr>
        <w:t xml:space="preserve">  人</w:t>
      </w:r>
      <w:r>
        <w:rPr>
          <w:rFonts w:hint="eastAsia"/>
          <w:bCs/>
          <w:color w:val="auto"/>
          <w:sz w:val="30"/>
          <w:szCs w:val="30"/>
          <w:highlight w:val="none"/>
        </w:rPr>
        <w:t>：</w:t>
      </w:r>
      <w:r>
        <w:rPr>
          <w:rFonts w:hint="eastAsia"/>
          <w:bCs/>
          <w:color w:val="auto"/>
          <w:sz w:val="30"/>
          <w:szCs w:val="30"/>
          <w:highlight w:val="none"/>
          <w:u w:val="single"/>
          <w:lang w:val="en-US" w:eastAsia="zh-CN"/>
        </w:rPr>
        <w:t xml:space="preserve">    </w:t>
      </w:r>
      <w:r>
        <w:rPr>
          <w:rFonts w:hint="eastAsia" w:ascii="宋体" w:cs="Times New Roman"/>
          <w:sz w:val="30"/>
          <w:szCs w:val="30"/>
          <w:highlight w:val="none"/>
          <w:u w:val="single"/>
          <w:lang w:eastAsia="zh-CN"/>
        </w:rPr>
        <w:t>滁州工投新能源开发有限公司</w:t>
      </w:r>
      <w:r>
        <w:rPr>
          <w:rFonts w:hint="eastAsia" w:ascii="宋体" w:cs="Times New Roman"/>
          <w:sz w:val="30"/>
          <w:szCs w:val="30"/>
          <w:highlight w:val="none"/>
          <w:u w:val="single"/>
          <w:lang w:val="en-US" w:eastAsia="zh-CN"/>
        </w:rPr>
        <w:t xml:space="preserve">  </w:t>
      </w:r>
    </w:p>
    <w:p w14:paraId="2C39D907">
      <w:pPr>
        <w:spacing w:line="800" w:lineRule="exact"/>
        <w:ind w:firstLine="600" w:firstLineChars="200"/>
        <w:rPr>
          <w:bCs/>
          <w:spacing w:val="-20"/>
          <w:sz w:val="30"/>
          <w:szCs w:val="30"/>
          <w:highlight w:val="none"/>
          <w:u w:val="thick"/>
        </w:rPr>
      </w:pPr>
      <w:r>
        <w:rPr>
          <w:rFonts w:hint="eastAsia"/>
          <w:bCs/>
          <w:sz w:val="30"/>
          <w:szCs w:val="30"/>
          <w:highlight w:val="none"/>
        </w:rPr>
        <w:t>招标代理机构：</w:t>
      </w:r>
      <w:r>
        <w:rPr>
          <w:rFonts w:hint="eastAsia" w:ascii="宋体"/>
          <w:sz w:val="30"/>
          <w:szCs w:val="30"/>
          <w:highlight w:val="none"/>
          <w:u w:val="single"/>
        </w:rPr>
        <w:t>滁州市城投工程咨询管理有限公司</w:t>
      </w:r>
    </w:p>
    <w:p w14:paraId="529E7FC8">
      <w:pPr>
        <w:spacing w:line="720" w:lineRule="exact"/>
        <w:jc w:val="center"/>
        <w:rPr>
          <w:rFonts w:ascii="黑体" w:eastAsia="黑体"/>
          <w:b/>
          <w:color w:val="auto"/>
          <w:sz w:val="32"/>
          <w:szCs w:val="32"/>
          <w:highlight w:val="none"/>
        </w:rPr>
      </w:pPr>
      <w:r>
        <w:rPr>
          <w:rFonts w:ascii="宋体" w:hAnsi="宋体"/>
          <w:color w:val="auto"/>
          <w:sz w:val="30"/>
          <w:szCs w:val="30"/>
          <w:highlight w:val="none"/>
          <w:u w:val="single"/>
        </w:rPr>
        <w:t>202</w:t>
      </w:r>
      <w:r>
        <w:rPr>
          <w:rFonts w:hint="eastAsia" w:ascii="宋体" w:hAnsi="宋体"/>
          <w:color w:val="auto"/>
          <w:sz w:val="30"/>
          <w:szCs w:val="30"/>
          <w:highlight w:val="none"/>
          <w:u w:val="single"/>
          <w:lang w:val="en-US" w:eastAsia="zh-CN"/>
        </w:rPr>
        <w:t>5</w:t>
      </w:r>
      <w:r>
        <w:rPr>
          <w:rFonts w:hint="eastAsia" w:ascii="宋体" w:hAnsi="宋体"/>
          <w:color w:val="auto"/>
          <w:sz w:val="30"/>
          <w:szCs w:val="30"/>
          <w:highlight w:val="none"/>
        </w:rPr>
        <w:t>年</w:t>
      </w:r>
      <w:r>
        <w:rPr>
          <w:rFonts w:hint="eastAsia" w:ascii="宋体" w:hAnsi="宋体"/>
          <w:color w:val="auto"/>
          <w:sz w:val="30"/>
          <w:szCs w:val="30"/>
          <w:highlight w:val="none"/>
          <w:u w:val="single"/>
          <w:lang w:val="en-US" w:eastAsia="zh-CN"/>
        </w:rPr>
        <w:t>8</w:t>
      </w:r>
      <w:r>
        <w:rPr>
          <w:rFonts w:hint="eastAsia" w:ascii="宋体" w:hAnsi="宋体"/>
          <w:color w:val="auto"/>
          <w:sz w:val="30"/>
          <w:szCs w:val="30"/>
          <w:highlight w:val="none"/>
        </w:rPr>
        <w:t>月</w:t>
      </w:r>
    </w:p>
    <w:p w14:paraId="68344BF2">
      <w:pPr>
        <w:jc w:val="center"/>
        <w:rPr>
          <w:sz w:val="44"/>
          <w:szCs w:val="44"/>
          <w:highlight w:val="none"/>
        </w:rPr>
        <w:sectPr>
          <w:headerReference r:id="rId3" w:type="default"/>
          <w:footerReference r:id="rId4" w:type="default"/>
          <w:pgSz w:w="11906" w:h="16838"/>
          <w:pgMar w:top="1134" w:right="1417" w:bottom="1134" w:left="1417" w:header="851" w:footer="992" w:gutter="0"/>
          <w:cols w:space="720" w:num="1"/>
          <w:docGrid w:type="lines" w:linePitch="312" w:charSpace="0"/>
        </w:sectPr>
      </w:pPr>
    </w:p>
    <w:p w14:paraId="738D69FE">
      <w:pPr>
        <w:spacing w:line="700" w:lineRule="exact"/>
        <w:jc w:val="center"/>
        <w:rPr>
          <w:rFonts w:hint="eastAsia"/>
          <w:sz w:val="44"/>
          <w:szCs w:val="44"/>
          <w:highlight w:val="none"/>
        </w:rPr>
      </w:pPr>
    </w:p>
    <w:p w14:paraId="09796EC2">
      <w:pPr>
        <w:spacing w:line="700" w:lineRule="exact"/>
        <w:jc w:val="center"/>
        <w:rPr>
          <w:sz w:val="44"/>
          <w:szCs w:val="44"/>
          <w:highlight w:val="none"/>
        </w:rPr>
      </w:pPr>
      <w:r>
        <w:rPr>
          <w:rFonts w:hint="eastAsia"/>
          <w:sz w:val="44"/>
          <w:szCs w:val="44"/>
          <w:highlight w:val="none"/>
        </w:rPr>
        <w:t>目   录</w:t>
      </w:r>
      <w:bookmarkEnd w:id="0"/>
      <w:bookmarkEnd w:id="1"/>
      <w:bookmarkEnd w:id="2"/>
      <w:bookmarkEnd w:id="3"/>
      <w:bookmarkEnd w:id="4"/>
      <w:bookmarkEnd w:id="5"/>
      <w:bookmarkEnd w:id="6"/>
      <w:bookmarkStart w:id="12" w:name="_Toc179632527"/>
      <w:bookmarkStart w:id="13" w:name="_Toc152045511"/>
      <w:bookmarkStart w:id="14" w:name="_Toc144974479"/>
      <w:bookmarkStart w:id="15" w:name="_Toc152042287"/>
    </w:p>
    <w:p w14:paraId="3C53E9AE">
      <w:pPr>
        <w:pStyle w:val="31"/>
        <w:tabs>
          <w:tab w:val="right" w:leader="dot" w:pos="10120"/>
        </w:tabs>
        <w:rPr>
          <w:rFonts w:ascii="Calibri" w:hAnsi="Calibri"/>
          <w:b w:val="0"/>
          <w:bCs w:val="0"/>
          <w:caps w:val="0"/>
          <w:color w:val="000000"/>
          <w:sz w:val="32"/>
          <w:szCs w:val="22"/>
          <w:highlight w:val="none"/>
        </w:rPr>
      </w:pPr>
      <w:r>
        <w:rPr>
          <w:rStyle w:val="58"/>
          <w:color w:val="000000"/>
          <w:sz w:val="28"/>
          <w:highlight w:val="none"/>
        </w:rPr>
        <w:fldChar w:fldCharType="begin"/>
      </w:r>
      <w:r>
        <w:rPr>
          <w:rStyle w:val="58"/>
          <w:color w:val="000000"/>
          <w:sz w:val="28"/>
          <w:highlight w:val="none"/>
        </w:rPr>
        <w:instrText xml:space="preserve"> </w:instrText>
      </w:r>
      <w:r>
        <w:rPr>
          <w:color w:val="000000"/>
          <w:sz w:val="28"/>
          <w:highlight w:val="none"/>
        </w:rPr>
        <w:instrText xml:space="preserve">HYPERLINK \l "_Toc95223332"</w:instrText>
      </w:r>
      <w:r>
        <w:rPr>
          <w:rStyle w:val="58"/>
          <w:color w:val="000000"/>
          <w:sz w:val="28"/>
          <w:highlight w:val="none"/>
        </w:rPr>
        <w:instrText xml:space="preserve"> </w:instrText>
      </w:r>
      <w:r>
        <w:rPr>
          <w:rStyle w:val="58"/>
          <w:color w:val="000000"/>
          <w:sz w:val="28"/>
          <w:highlight w:val="none"/>
        </w:rPr>
        <w:fldChar w:fldCharType="separate"/>
      </w:r>
      <w:r>
        <w:rPr>
          <w:rStyle w:val="58"/>
          <w:rFonts w:hint="eastAsia"/>
          <w:color w:val="000000"/>
          <w:sz w:val="28"/>
          <w:highlight w:val="none"/>
        </w:rPr>
        <w:t>第一章</w:t>
      </w:r>
      <w:r>
        <w:rPr>
          <w:rStyle w:val="58"/>
          <w:color w:val="000000"/>
          <w:sz w:val="28"/>
          <w:highlight w:val="none"/>
        </w:rPr>
        <w:t xml:space="preserve"> </w:t>
      </w:r>
      <w:r>
        <w:rPr>
          <w:rStyle w:val="58"/>
          <w:rFonts w:hint="eastAsia"/>
          <w:color w:val="000000"/>
          <w:sz w:val="28"/>
          <w:highlight w:val="none"/>
        </w:rPr>
        <w:t>招标公告</w:t>
      </w:r>
      <w:r>
        <w:rPr>
          <w:color w:val="000000"/>
          <w:sz w:val="28"/>
          <w:highlight w:val="none"/>
        </w:rPr>
        <w:tab/>
      </w:r>
      <w:r>
        <w:rPr>
          <w:rFonts w:hint="eastAsia"/>
          <w:color w:val="000000"/>
          <w:sz w:val="28"/>
          <w:highlight w:val="none"/>
          <w:lang w:val="en-US" w:eastAsia="zh-CN"/>
        </w:rPr>
        <w:t>1</w:t>
      </w:r>
      <w:r>
        <w:rPr>
          <w:rStyle w:val="58"/>
          <w:color w:val="000000"/>
          <w:sz w:val="28"/>
          <w:highlight w:val="none"/>
        </w:rPr>
        <w:fldChar w:fldCharType="end"/>
      </w:r>
    </w:p>
    <w:p w14:paraId="0460FC51">
      <w:pPr>
        <w:pStyle w:val="31"/>
        <w:tabs>
          <w:tab w:val="right" w:leader="dot" w:pos="10120"/>
        </w:tabs>
        <w:rPr>
          <w:rFonts w:ascii="Calibri" w:hAnsi="Calibri"/>
          <w:b w:val="0"/>
          <w:bCs w:val="0"/>
          <w:caps w:val="0"/>
          <w:color w:val="000000"/>
          <w:sz w:val="32"/>
          <w:szCs w:val="22"/>
          <w:highlight w:val="none"/>
        </w:rPr>
      </w:pPr>
      <w:r>
        <w:rPr>
          <w:rStyle w:val="58"/>
          <w:color w:val="000000"/>
          <w:sz w:val="28"/>
          <w:highlight w:val="none"/>
        </w:rPr>
        <w:fldChar w:fldCharType="begin"/>
      </w:r>
      <w:r>
        <w:rPr>
          <w:rStyle w:val="58"/>
          <w:color w:val="000000"/>
          <w:sz w:val="28"/>
          <w:highlight w:val="none"/>
        </w:rPr>
        <w:instrText xml:space="preserve"> </w:instrText>
      </w:r>
      <w:r>
        <w:rPr>
          <w:color w:val="000000"/>
          <w:sz w:val="28"/>
          <w:highlight w:val="none"/>
        </w:rPr>
        <w:instrText xml:space="preserve">HYPERLINK \l "_Toc95223333"</w:instrText>
      </w:r>
      <w:r>
        <w:rPr>
          <w:rStyle w:val="58"/>
          <w:color w:val="000000"/>
          <w:sz w:val="28"/>
          <w:highlight w:val="none"/>
        </w:rPr>
        <w:instrText xml:space="preserve"> </w:instrText>
      </w:r>
      <w:r>
        <w:rPr>
          <w:rStyle w:val="58"/>
          <w:color w:val="000000"/>
          <w:sz w:val="28"/>
          <w:highlight w:val="none"/>
        </w:rPr>
        <w:fldChar w:fldCharType="separate"/>
      </w:r>
      <w:r>
        <w:rPr>
          <w:rStyle w:val="58"/>
          <w:rFonts w:hint="eastAsia"/>
          <w:color w:val="000000"/>
          <w:sz w:val="28"/>
          <w:highlight w:val="none"/>
        </w:rPr>
        <w:t>第二章</w:t>
      </w:r>
      <w:r>
        <w:rPr>
          <w:rStyle w:val="58"/>
          <w:color w:val="000000"/>
          <w:sz w:val="28"/>
          <w:highlight w:val="none"/>
        </w:rPr>
        <w:t xml:space="preserve"> </w:t>
      </w:r>
      <w:r>
        <w:rPr>
          <w:rStyle w:val="58"/>
          <w:rFonts w:hint="eastAsia"/>
          <w:color w:val="000000"/>
          <w:sz w:val="28"/>
          <w:highlight w:val="none"/>
        </w:rPr>
        <w:t>投标人须知</w:t>
      </w:r>
      <w:r>
        <w:rPr>
          <w:color w:val="000000"/>
          <w:sz w:val="28"/>
          <w:highlight w:val="none"/>
        </w:rPr>
        <w:tab/>
      </w:r>
      <w:r>
        <w:rPr>
          <w:rFonts w:hint="eastAsia"/>
          <w:color w:val="000000"/>
          <w:sz w:val="28"/>
          <w:highlight w:val="none"/>
          <w:lang w:val="en-US" w:eastAsia="zh-CN"/>
        </w:rPr>
        <w:t>5</w:t>
      </w:r>
      <w:r>
        <w:rPr>
          <w:rStyle w:val="58"/>
          <w:color w:val="000000"/>
          <w:sz w:val="28"/>
          <w:highlight w:val="none"/>
        </w:rPr>
        <w:fldChar w:fldCharType="end"/>
      </w:r>
    </w:p>
    <w:p w14:paraId="4117FED1">
      <w:pPr>
        <w:pStyle w:val="31"/>
        <w:tabs>
          <w:tab w:val="right" w:leader="dot" w:pos="10120"/>
        </w:tabs>
        <w:rPr>
          <w:rFonts w:hint="default" w:ascii="Calibri" w:hAnsi="Calibri" w:eastAsia="宋体"/>
          <w:b w:val="0"/>
          <w:bCs w:val="0"/>
          <w:caps w:val="0"/>
          <w:color w:val="000000"/>
          <w:sz w:val="32"/>
          <w:szCs w:val="22"/>
          <w:highlight w:val="none"/>
          <w:lang w:val="en-US" w:eastAsia="zh-CN"/>
        </w:rPr>
      </w:pPr>
      <w:r>
        <w:rPr>
          <w:rStyle w:val="58"/>
          <w:color w:val="000000"/>
          <w:sz w:val="28"/>
          <w:highlight w:val="none"/>
        </w:rPr>
        <w:fldChar w:fldCharType="begin"/>
      </w:r>
      <w:r>
        <w:rPr>
          <w:rStyle w:val="58"/>
          <w:color w:val="000000"/>
          <w:sz w:val="28"/>
          <w:highlight w:val="none"/>
        </w:rPr>
        <w:instrText xml:space="preserve"> </w:instrText>
      </w:r>
      <w:r>
        <w:rPr>
          <w:color w:val="000000"/>
          <w:sz w:val="28"/>
          <w:highlight w:val="none"/>
        </w:rPr>
        <w:instrText xml:space="preserve">HYPERLINK \l "_Toc95223391"</w:instrText>
      </w:r>
      <w:r>
        <w:rPr>
          <w:rStyle w:val="58"/>
          <w:color w:val="000000"/>
          <w:sz w:val="28"/>
          <w:highlight w:val="none"/>
        </w:rPr>
        <w:instrText xml:space="preserve"> </w:instrText>
      </w:r>
      <w:r>
        <w:rPr>
          <w:rStyle w:val="58"/>
          <w:color w:val="000000"/>
          <w:sz w:val="28"/>
          <w:highlight w:val="none"/>
        </w:rPr>
        <w:fldChar w:fldCharType="separate"/>
      </w:r>
      <w:r>
        <w:rPr>
          <w:rStyle w:val="58"/>
          <w:rFonts w:hint="eastAsia"/>
          <w:color w:val="000000"/>
          <w:sz w:val="28"/>
          <w:highlight w:val="none"/>
        </w:rPr>
        <w:t>第三章</w:t>
      </w:r>
      <w:r>
        <w:rPr>
          <w:rStyle w:val="58"/>
          <w:color w:val="000000"/>
          <w:sz w:val="28"/>
          <w:highlight w:val="none"/>
        </w:rPr>
        <w:t xml:space="preserve"> </w:t>
      </w:r>
      <w:r>
        <w:rPr>
          <w:rStyle w:val="58"/>
          <w:rFonts w:hint="eastAsia"/>
          <w:color w:val="000000"/>
          <w:sz w:val="28"/>
          <w:highlight w:val="none"/>
        </w:rPr>
        <w:t>资格审查办法</w:t>
      </w:r>
      <w:r>
        <w:rPr>
          <w:color w:val="000000"/>
          <w:sz w:val="28"/>
          <w:highlight w:val="none"/>
        </w:rPr>
        <w:tab/>
      </w:r>
      <w:r>
        <w:rPr>
          <w:rStyle w:val="58"/>
          <w:color w:val="000000"/>
          <w:sz w:val="28"/>
          <w:highlight w:val="none"/>
        </w:rPr>
        <w:fldChar w:fldCharType="end"/>
      </w:r>
      <w:r>
        <w:rPr>
          <w:rStyle w:val="58"/>
          <w:rFonts w:hint="eastAsia"/>
          <w:color w:val="000000"/>
          <w:sz w:val="28"/>
          <w:highlight w:val="none"/>
          <w:lang w:val="en-US" w:eastAsia="zh-CN"/>
        </w:rPr>
        <w:t>18</w:t>
      </w:r>
    </w:p>
    <w:p w14:paraId="278F67BB">
      <w:pPr>
        <w:pStyle w:val="31"/>
        <w:tabs>
          <w:tab w:val="right" w:leader="dot" w:pos="10120"/>
        </w:tabs>
        <w:rPr>
          <w:rFonts w:hint="eastAsia" w:ascii="Calibri" w:hAnsi="Calibri" w:eastAsia="宋体"/>
          <w:b w:val="0"/>
          <w:bCs w:val="0"/>
          <w:caps w:val="0"/>
          <w:color w:val="000000"/>
          <w:sz w:val="32"/>
          <w:szCs w:val="22"/>
          <w:highlight w:val="none"/>
          <w:lang w:val="en-US" w:eastAsia="zh-CN"/>
        </w:rPr>
      </w:pPr>
      <w:r>
        <w:rPr>
          <w:rStyle w:val="58"/>
          <w:color w:val="000000"/>
          <w:sz w:val="28"/>
          <w:highlight w:val="none"/>
        </w:rPr>
        <w:fldChar w:fldCharType="begin"/>
      </w:r>
      <w:r>
        <w:rPr>
          <w:rStyle w:val="58"/>
          <w:color w:val="000000"/>
          <w:sz w:val="28"/>
          <w:highlight w:val="none"/>
        </w:rPr>
        <w:instrText xml:space="preserve"> </w:instrText>
      </w:r>
      <w:r>
        <w:rPr>
          <w:color w:val="000000"/>
          <w:sz w:val="28"/>
          <w:highlight w:val="none"/>
        </w:rPr>
        <w:instrText xml:space="preserve">HYPERLINK \l "_Toc95223398"</w:instrText>
      </w:r>
      <w:r>
        <w:rPr>
          <w:rStyle w:val="58"/>
          <w:color w:val="000000"/>
          <w:sz w:val="28"/>
          <w:highlight w:val="none"/>
        </w:rPr>
        <w:instrText xml:space="preserve"> </w:instrText>
      </w:r>
      <w:r>
        <w:rPr>
          <w:rStyle w:val="58"/>
          <w:color w:val="000000"/>
          <w:sz w:val="28"/>
          <w:highlight w:val="none"/>
        </w:rPr>
        <w:fldChar w:fldCharType="separate"/>
      </w:r>
      <w:r>
        <w:rPr>
          <w:rStyle w:val="58"/>
          <w:rFonts w:hint="eastAsia"/>
          <w:color w:val="000000"/>
          <w:sz w:val="28"/>
          <w:highlight w:val="none"/>
        </w:rPr>
        <w:t>第四章</w:t>
      </w:r>
      <w:r>
        <w:rPr>
          <w:rStyle w:val="58"/>
          <w:color w:val="000000"/>
          <w:sz w:val="28"/>
          <w:highlight w:val="none"/>
        </w:rPr>
        <w:t xml:space="preserve"> </w:t>
      </w:r>
      <w:r>
        <w:rPr>
          <w:rStyle w:val="58"/>
          <w:rFonts w:hint="eastAsia"/>
          <w:color w:val="000000"/>
          <w:sz w:val="28"/>
          <w:highlight w:val="none"/>
        </w:rPr>
        <w:t>评标办法（合理价格竞争法）</w:t>
      </w:r>
      <w:bookmarkStart w:id="16" w:name="_Hlt95225442"/>
      <w:r>
        <w:rPr>
          <w:color w:val="000000"/>
          <w:sz w:val="28"/>
          <w:highlight w:val="none"/>
        </w:rPr>
        <w:tab/>
      </w:r>
      <w:bookmarkEnd w:id="16"/>
      <w:r>
        <w:rPr>
          <w:rFonts w:hint="eastAsia"/>
          <w:color w:val="000000"/>
          <w:sz w:val="28"/>
          <w:highlight w:val="none"/>
          <w:lang w:val="en-US" w:eastAsia="zh-CN"/>
        </w:rPr>
        <w:t>2</w:t>
      </w:r>
      <w:r>
        <w:rPr>
          <w:rStyle w:val="58"/>
          <w:color w:val="000000"/>
          <w:sz w:val="28"/>
          <w:highlight w:val="none"/>
        </w:rPr>
        <w:fldChar w:fldCharType="end"/>
      </w:r>
      <w:r>
        <w:rPr>
          <w:rStyle w:val="58"/>
          <w:rFonts w:hint="eastAsia"/>
          <w:color w:val="000000"/>
          <w:sz w:val="28"/>
          <w:highlight w:val="none"/>
          <w:lang w:val="en-US" w:eastAsia="zh-CN"/>
        </w:rPr>
        <w:t>1</w:t>
      </w:r>
    </w:p>
    <w:p w14:paraId="50BF535A">
      <w:pPr>
        <w:pStyle w:val="31"/>
        <w:tabs>
          <w:tab w:val="right" w:leader="dot" w:pos="10120"/>
        </w:tabs>
        <w:rPr>
          <w:rFonts w:hint="eastAsia" w:ascii="Calibri" w:hAnsi="Calibri" w:eastAsia="宋体"/>
          <w:b w:val="0"/>
          <w:bCs w:val="0"/>
          <w:caps w:val="0"/>
          <w:color w:val="000000"/>
          <w:sz w:val="32"/>
          <w:szCs w:val="22"/>
          <w:highlight w:val="none"/>
          <w:lang w:val="en-US" w:eastAsia="zh-CN"/>
        </w:rPr>
      </w:pPr>
      <w:r>
        <w:rPr>
          <w:rStyle w:val="58"/>
          <w:color w:val="000000"/>
          <w:sz w:val="28"/>
          <w:highlight w:val="none"/>
        </w:rPr>
        <w:fldChar w:fldCharType="begin"/>
      </w:r>
      <w:r>
        <w:rPr>
          <w:rStyle w:val="58"/>
          <w:color w:val="000000"/>
          <w:sz w:val="28"/>
          <w:highlight w:val="none"/>
        </w:rPr>
        <w:instrText xml:space="preserve"> </w:instrText>
      </w:r>
      <w:r>
        <w:rPr>
          <w:color w:val="000000"/>
          <w:sz w:val="28"/>
          <w:highlight w:val="none"/>
        </w:rPr>
        <w:instrText xml:space="preserve">HYPERLINK \l "_Toc95223458"</w:instrText>
      </w:r>
      <w:r>
        <w:rPr>
          <w:rStyle w:val="58"/>
          <w:color w:val="000000"/>
          <w:sz w:val="28"/>
          <w:highlight w:val="none"/>
        </w:rPr>
        <w:instrText xml:space="preserve"> </w:instrText>
      </w:r>
      <w:r>
        <w:rPr>
          <w:rStyle w:val="58"/>
          <w:color w:val="000000"/>
          <w:sz w:val="28"/>
          <w:highlight w:val="none"/>
        </w:rPr>
        <w:fldChar w:fldCharType="separate"/>
      </w:r>
      <w:r>
        <w:rPr>
          <w:rStyle w:val="58"/>
          <w:rFonts w:hint="eastAsia"/>
          <w:color w:val="000000"/>
          <w:sz w:val="28"/>
          <w:highlight w:val="none"/>
        </w:rPr>
        <w:t>第五章</w:t>
      </w:r>
      <w:r>
        <w:rPr>
          <w:rStyle w:val="58"/>
          <w:color w:val="000000"/>
          <w:sz w:val="28"/>
          <w:highlight w:val="none"/>
        </w:rPr>
        <w:t xml:space="preserve"> </w:t>
      </w:r>
      <w:r>
        <w:rPr>
          <w:rStyle w:val="58"/>
          <w:rFonts w:hint="eastAsia"/>
          <w:color w:val="000000"/>
          <w:sz w:val="28"/>
          <w:highlight w:val="none"/>
        </w:rPr>
        <w:t>合同条款及格式</w:t>
      </w:r>
      <w:r>
        <w:rPr>
          <w:color w:val="000000"/>
          <w:sz w:val="28"/>
          <w:highlight w:val="none"/>
        </w:rPr>
        <w:tab/>
      </w:r>
      <w:r>
        <w:rPr>
          <w:rFonts w:hint="eastAsia"/>
          <w:color w:val="000000"/>
          <w:sz w:val="28"/>
          <w:highlight w:val="none"/>
          <w:lang w:val="en-US" w:eastAsia="zh-CN"/>
        </w:rPr>
        <w:t>2</w:t>
      </w:r>
      <w:r>
        <w:rPr>
          <w:rStyle w:val="58"/>
          <w:color w:val="000000"/>
          <w:sz w:val="28"/>
          <w:highlight w:val="none"/>
        </w:rPr>
        <w:fldChar w:fldCharType="end"/>
      </w:r>
      <w:r>
        <w:rPr>
          <w:rStyle w:val="58"/>
          <w:rFonts w:hint="eastAsia"/>
          <w:color w:val="000000"/>
          <w:sz w:val="28"/>
          <w:highlight w:val="none"/>
          <w:lang w:val="en-US" w:eastAsia="zh-CN"/>
        </w:rPr>
        <w:t>6</w:t>
      </w:r>
    </w:p>
    <w:p w14:paraId="2E624EDC">
      <w:pPr>
        <w:pStyle w:val="31"/>
        <w:tabs>
          <w:tab w:val="right" w:leader="dot" w:pos="10120"/>
        </w:tabs>
        <w:rPr>
          <w:rFonts w:hint="eastAsia" w:ascii="Calibri" w:hAnsi="Calibri" w:eastAsia="宋体"/>
          <w:b w:val="0"/>
          <w:bCs w:val="0"/>
          <w:caps w:val="0"/>
          <w:color w:val="000000"/>
          <w:sz w:val="32"/>
          <w:szCs w:val="22"/>
          <w:highlight w:val="none"/>
          <w:lang w:val="en-US" w:eastAsia="zh-CN"/>
        </w:rPr>
      </w:pPr>
      <w:r>
        <w:rPr>
          <w:rStyle w:val="58"/>
          <w:color w:val="000000"/>
          <w:sz w:val="28"/>
          <w:highlight w:val="none"/>
        </w:rPr>
        <w:fldChar w:fldCharType="begin"/>
      </w:r>
      <w:r>
        <w:rPr>
          <w:rStyle w:val="58"/>
          <w:color w:val="000000"/>
          <w:sz w:val="28"/>
          <w:highlight w:val="none"/>
        </w:rPr>
        <w:instrText xml:space="preserve"> </w:instrText>
      </w:r>
      <w:r>
        <w:rPr>
          <w:color w:val="000000"/>
          <w:sz w:val="28"/>
          <w:highlight w:val="none"/>
        </w:rPr>
        <w:instrText xml:space="preserve">HYPERLINK \l "_Toc95223515"</w:instrText>
      </w:r>
      <w:r>
        <w:rPr>
          <w:rStyle w:val="58"/>
          <w:color w:val="000000"/>
          <w:sz w:val="28"/>
          <w:highlight w:val="none"/>
        </w:rPr>
        <w:instrText xml:space="preserve"> </w:instrText>
      </w:r>
      <w:r>
        <w:rPr>
          <w:rStyle w:val="58"/>
          <w:color w:val="000000"/>
          <w:sz w:val="28"/>
          <w:highlight w:val="none"/>
        </w:rPr>
        <w:fldChar w:fldCharType="separate"/>
      </w:r>
      <w:r>
        <w:rPr>
          <w:rStyle w:val="58"/>
          <w:rFonts w:hint="eastAsia" w:ascii="宋体" w:hAnsi="宋体" w:cs="宋体"/>
          <w:color w:val="000000"/>
          <w:kern w:val="44"/>
          <w:sz w:val="28"/>
          <w:highlight w:val="none"/>
        </w:rPr>
        <w:t xml:space="preserve">第六章 </w:t>
      </w:r>
      <w:r>
        <w:rPr>
          <w:rStyle w:val="58"/>
          <w:rFonts w:hint="eastAsia" w:ascii="宋体" w:hAnsi="宋体" w:cs="宋体"/>
          <w:color w:val="000000"/>
          <w:kern w:val="44"/>
          <w:sz w:val="28"/>
          <w:highlight w:val="none"/>
          <w:lang w:val="en-US" w:eastAsia="zh-CN"/>
        </w:rPr>
        <w:t>发包人要求</w:t>
      </w:r>
      <w:r>
        <w:rPr>
          <w:color w:val="000000"/>
          <w:sz w:val="28"/>
          <w:highlight w:val="none"/>
        </w:rPr>
        <w:tab/>
      </w:r>
      <w:r>
        <w:rPr>
          <w:rFonts w:hint="eastAsia"/>
          <w:color w:val="000000"/>
          <w:sz w:val="28"/>
          <w:highlight w:val="none"/>
          <w:lang w:val="en-US" w:eastAsia="zh-CN"/>
        </w:rPr>
        <w:t>3</w:t>
      </w:r>
      <w:r>
        <w:rPr>
          <w:rStyle w:val="58"/>
          <w:color w:val="000000"/>
          <w:sz w:val="28"/>
          <w:highlight w:val="none"/>
        </w:rPr>
        <w:fldChar w:fldCharType="end"/>
      </w:r>
      <w:r>
        <w:rPr>
          <w:rStyle w:val="58"/>
          <w:rFonts w:hint="eastAsia"/>
          <w:color w:val="000000"/>
          <w:sz w:val="28"/>
          <w:highlight w:val="none"/>
          <w:lang w:val="en-US" w:eastAsia="zh-CN"/>
        </w:rPr>
        <w:t>0</w:t>
      </w:r>
    </w:p>
    <w:p w14:paraId="7B73DFB9">
      <w:pPr>
        <w:pStyle w:val="31"/>
        <w:tabs>
          <w:tab w:val="right" w:leader="dot" w:pos="10120"/>
        </w:tabs>
        <w:rPr>
          <w:rFonts w:hint="eastAsia" w:ascii="Calibri" w:hAnsi="Calibri" w:eastAsia="宋体"/>
          <w:b w:val="0"/>
          <w:bCs w:val="0"/>
          <w:caps w:val="0"/>
          <w:color w:val="000000"/>
          <w:sz w:val="32"/>
          <w:szCs w:val="22"/>
          <w:highlight w:val="none"/>
          <w:lang w:val="en-US" w:eastAsia="zh-CN"/>
        </w:rPr>
      </w:pPr>
      <w:r>
        <w:rPr>
          <w:rStyle w:val="58"/>
          <w:color w:val="000000"/>
          <w:sz w:val="28"/>
          <w:highlight w:val="none"/>
        </w:rPr>
        <w:fldChar w:fldCharType="begin"/>
      </w:r>
      <w:r>
        <w:rPr>
          <w:rStyle w:val="58"/>
          <w:color w:val="000000"/>
          <w:sz w:val="28"/>
          <w:highlight w:val="none"/>
        </w:rPr>
        <w:instrText xml:space="preserve"> </w:instrText>
      </w:r>
      <w:r>
        <w:rPr>
          <w:color w:val="000000"/>
          <w:sz w:val="28"/>
          <w:highlight w:val="none"/>
        </w:rPr>
        <w:instrText xml:space="preserve">HYPERLINK \l "_Toc95223531"</w:instrText>
      </w:r>
      <w:r>
        <w:rPr>
          <w:rStyle w:val="58"/>
          <w:color w:val="000000"/>
          <w:sz w:val="28"/>
          <w:highlight w:val="none"/>
        </w:rPr>
        <w:instrText xml:space="preserve"> </w:instrText>
      </w:r>
      <w:r>
        <w:rPr>
          <w:rStyle w:val="58"/>
          <w:color w:val="000000"/>
          <w:sz w:val="28"/>
          <w:highlight w:val="none"/>
        </w:rPr>
        <w:fldChar w:fldCharType="separate"/>
      </w:r>
      <w:r>
        <w:rPr>
          <w:rStyle w:val="58"/>
          <w:rFonts w:hint="eastAsia"/>
          <w:color w:val="000000"/>
          <w:sz w:val="28"/>
          <w:highlight w:val="none"/>
        </w:rPr>
        <w:t>第</w:t>
      </w:r>
      <w:r>
        <w:rPr>
          <w:rStyle w:val="58"/>
          <w:rFonts w:hint="eastAsia"/>
          <w:color w:val="000000"/>
          <w:sz w:val="28"/>
          <w:highlight w:val="none"/>
          <w:lang w:val="en-US" w:eastAsia="zh-CN"/>
        </w:rPr>
        <w:t>七</w:t>
      </w:r>
      <w:r>
        <w:rPr>
          <w:rStyle w:val="58"/>
          <w:rFonts w:hint="eastAsia"/>
          <w:color w:val="000000"/>
          <w:sz w:val="28"/>
          <w:highlight w:val="none"/>
        </w:rPr>
        <w:t>章 投标文件格式</w:t>
      </w:r>
      <w:r>
        <w:rPr>
          <w:color w:val="000000"/>
          <w:sz w:val="28"/>
          <w:highlight w:val="none"/>
        </w:rPr>
        <w:tab/>
      </w:r>
      <w:r>
        <w:rPr>
          <w:rFonts w:hint="eastAsia"/>
          <w:color w:val="000000"/>
          <w:sz w:val="28"/>
          <w:highlight w:val="none"/>
          <w:lang w:val="en-US" w:eastAsia="zh-CN"/>
        </w:rPr>
        <w:t>3</w:t>
      </w:r>
      <w:r>
        <w:rPr>
          <w:rStyle w:val="58"/>
          <w:color w:val="000000"/>
          <w:sz w:val="28"/>
          <w:highlight w:val="none"/>
        </w:rPr>
        <w:fldChar w:fldCharType="end"/>
      </w:r>
      <w:r>
        <w:rPr>
          <w:rStyle w:val="58"/>
          <w:rFonts w:hint="eastAsia"/>
          <w:color w:val="000000"/>
          <w:sz w:val="28"/>
          <w:highlight w:val="none"/>
          <w:lang w:val="en-US" w:eastAsia="zh-CN"/>
        </w:rPr>
        <w:t>1</w:t>
      </w:r>
    </w:p>
    <w:p w14:paraId="63D8DA84">
      <w:pPr>
        <w:pStyle w:val="31"/>
        <w:tabs>
          <w:tab w:val="right" w:leader="dot" w:pos="10120"/>
        </w:tabs>
        <w:rPr>
          <w:rFonts w:hint="eastAsia" w:ascii="Calibri" w:hAnsi="Calibri" w:eastAsia="宋体"/>
          <w:b w:val="0"/>
          <w:bCs w:val="0"/>
          <w:caps w:val="0"/>
          <w:color w:val="000000"/>
          <w:sz w:val="32"/>
          <w:szCs w:val="22"/>
          <w:highlight w:val="none"/>
          <w:lang w:val="en-US" w:eastAsia="zh-CN"/>
        </w:rPr>
      </w:pPr>
      <w:r>
        <w:rPr>
          <w:rStyle w:val="58"/>
          <w:b w:val="0"/>
          <w:bCs w:val="0"/>
          <w:color w:val="000000"/>
          <w:sz w:val="28"/>
          <w:highlight w:val="none"/>
        </w:rPr>
        <w:fldChar w:fldCharType="begin"/>
      </w:r>
      <w:r>
        <w:rPr>
          <w:rStyle w:val="58"/>
          <w:b w:val="0"/>
          <w:bCs w:val="0"/>
          <w:color w:val="000000"/>
          <w:sz w:val="28"/>
          <w:highlight w:val="none"/>
        </w:rPr>
        <w:instrText xml:space="preserve"> </w:instrText>
      </w:r>
      <w:r>
        <w:rPr>
          <w:b w:val="0"/>
          <w:bCs w:val="0"/>
          <w:color w:val="000000"/>
          <w:sz w:val="28"/>
          <w:highlight w:val="none"/>
        </w:rPr>
        <w:instrText xml:space="preserve">HYPERLINK \l "_Toc95223547"</w:instrText>
      </w:r>
      <w:r>
        <w:rPr>
          <w:rStyle w:val="58"/>
          <w:b w:val="0"/>
          <w:bCs w:val="0"/>
          <w:color w:val="000000"/>
          <w:sz w:val="28"/>
          <w:highlight w:val="none"/>
        </w:rPr>
        <w:instrText xml:space="preserve"> </w:instrText>
      </w:r>
      <w:r>
        <w:rPr>
          <w:rStyle w:val="58"/>
          <w:b w:val="0"/>
          <w:bCs w:val="0"/>
          <w:color w:val="000000"/>
          <w:sz w:val="28"/>
          <w:highlight w:val="none"/>
        </w:rPr>
        <w:fldChar w:fldCharType="separate"/>
      </w:r>
      <w:r>
        <w:rPr>
          <w:rStyle w:val="58"/>
          <w:rFonts w:hint="eastAsia" w:eastAsia="黑体"/>
          <w:b w:val="0"/>
          <w:bCs w:val="0"/>
          <w:color w:val="000000"/>
          <w:sz w:val="28"/>
          <w:highlight w:val="none"/>
        </w:rPr>
        <w:t>第</w:t>
      </w:r>
      <w:r>
        <w:rPr>
          <w:rStyle w:val="58"/>
          <w:rFonts w:hint="eastAsia" w:eastAsia="黑体"/>
          <w:b w:val="0"/>
          <w:bCs w:val="0"/>
          <w:color w:val="000000"/>
          <w:sz w:val="28"/>
          <w:highlight w:val="none"/>
          <w:lang w:val="en-US" w:eastAsia="zh-CN"/>
        </w:rPr>
        <w:t>八</w:t>
      </w:r>
      <w:r>
        <w:rPr>
          <w:rStyle w:val="58"/>
          <w:rFonts w:hint="eastAsia" w:eastAsia="黑体"/>
          <w:b w:val="0"/>
          <w:bCs w:val="0"/>
          <w:color w:val="000000"/>
          <w:sz w:val="28"/>
          <w:highlight w:val="none"/>
        </w:rPr>
        <w:t>章</w:t>
      </w:r>
      <w:r>
        <w:rPr>
          <w:rStyle w:val="58"/>
          <w:rFonts w:eastAsia="黑体"/>
          <w:b w:val="0"/>
          <w:bCs w:val="0"/>
          <w:color w:val="000000"/>
          <w:sz w:val="28"/>
          <w:highlight w:val="none"/>
        </w:rPr>
        <w:t xml:space="preserve"> </w:t>
      </w:r>
      <w:r>
        <w:rPr>
          <w:rStyle w:val="58"/>
          <w:rFonts w:hint="eastAsia" w:eastAsia="黑体"/>
          <w:b w:val="0"/>
          <w:bCs w:val="0"/>
          <w:color w:val="000000"/>
          <w:sz w:val="28"/>
          <w:highlight w:val="none"/>
        </w:rPr>
        <w:t>招标人、招标代理机构对本招标文件的确认</w:t>
      </w:r>
      <w:bookmarkStart w:id="17" w:name="_Hlt95223551"/>
      <w:bookmarkStart w:id="18" w:name="_Hlt95223550"/>
      <w:r>
        <w:rPr>
          <w:b w:val="0"/>
          <w:bCs w:val="0"/>
          <w:color w:val="000000"/>
          <w:sz w:val="28"/>
          <w:highlight w:val="none"/>
        </w:rPr>
        <w:tab/>
      </w:r>
      <w:bookmarkEnd w:id="17"/>
      <w:bookmarkEnd w:id="18"/>
      <w:r>
        <w:rPr>
          <w:rFonts w:hint="eastAsia"/>
          <w:b w:val="0"/>
          <w:bCs w:val="0"/>
          <w:color w:val="000000"/>
          <w:sz w:val="28"/>
          <w:highlight w:val="none"/>
          <w:lang w:val="en-US" w:eastAsia="zh-CN"/>
        </w:rPr>
        <w:t>4</w:t>
      </w:r>
      <w:r>
        <w:rPr>
          <w:rStyle w:val="58"/>
          <w:b w:val="0"/>
          <w:bCs w:val="0"/>
          <w:color w:val="000000"/>
          <w:sz w:val="28"/>
          <w:highlight w:val="none"/>
        </w:rPr>
        <w:fldChar w:fldCharType="end"/>
      </w:r>
      <w:r>
        <w:rPr>
          <w:rStyle w:val="58"/>
          <w:rFonts w:hint="eastAsia"/>
          <w:b w:val="0"/>
          <w:bCs w:val="0"/>
          <w:color w:val="000000"/>
          <w:sz w:val="28"/>
          <w:highlight w:val="none"/>
          <w:lang w:val="en-US" w:eastAsia="zh-CN"/>
        </w:rPr>
        <w:t>0</w:t>
      </w:r>
    </w:p>
    <w:p w14:paraId="328C7EE3">
      <w:pPr>
        <w:pStyle w:val="31"/>
        <w:tabs>
          <w:tab w:val="right" w:leader="dot" w:pos="10120"/>
        </w:tabs>
        <w:rPr>
          <w:rFonts w:hint="eastAsia" w:ascii="Calibri" w:hAnsi="Calibri" w:eastAsia="宋体"/>
          <w:b w:val="0"/>
          <w:bCs w:val="0"/>
          <w:caps w:val="0"/>
          <w:color w:val="000000"/>
          <w:sz w:val="32"/>
          <w:szCs w:val="22"/>
          <w:highlight w:val="none"/>
          <w:lang w:val="en-US" w:eastAsia="zh-CN"/>
        </w:rPr>
      </w:pPr>
      <w:r>
        <w:rPr>
          <w:rStyle w:val="58"/>
          <w:color w:val="000000"/>
          <w:sz w:val="28"/>
          <w:highlight w:val="none"/>
        </w:rPr>
        <w:fldChar w:fldCharType="begin"/>
      </w:r>
      <w:r>
        <w:rPr>
          <w:rStyle w:val="58"/>
          <w:color w:val="000000"/>
          <w:sz w:val="28"/>
          <w:highlight w:val="none"/>
        </w:rPr>
        <w:instrText xml:space="preserve"> </w:instrText>
      </w:r>
      <w:r>
        <w:rPr>
          <w:color w:val="000000"/>
          <w:sz w:val="28"/>
          <w:highlight w:val="none"/>
        </w:rPr>
        <w:instrText xml:space="preserve">HYPERLINK \l "_Toc95223548"</w:instrText>
      </w:r>
      <w:r>
        <w:rPr>
          <w:rStyle w:val="58"/>
          <w:color w:val="000000"/>
          <w:sz w:val="28"/>
          <w:highlight w:val="none"/>
        </w:rPr>
        <w:instrText xml:space="preserve"> </w:instrText>
      </w:r>
      <w:r>
        <w:rPr>
          <w:rStyle w:val="58"/>
          <w:color w:val="000000"/>
          <w:sz w:val="28"/>
          <w:highlight w:val="none"/>
        </w:rPr>
        <w:fldChar w:fldCharType="separate"/>
      </w:r>
      <w:r>
        <w:rPr>
          <w:rStyle w:val="58"/>
          <w:rFonts w:hint="eastAsia" w:ascii="黑体" w:hAnsi="黑体" w:eastAsia="黑体"/>
          <w:color w:val="000000"/>
          <w:sz w:val="28"/>
          <w:highlight w:val="none"/>
        </w:rPr>
        <w:t>附件</w:t>
      </w:r>
      <w:r>
        <w:rPr>
          <w:rStyle w:val="58"/>
          <w:rFonts w:ascii="黑体" w:hAnsi="黑体" w:eastAsia="黑体"/>
          <w:color w:val="000000"/>
          <w:sz w:val="28"/>
          <w:highlight w:val="none"/>
        </w:rPr>
        <w:t xml:space="preserve">1 </w:t>
      </w:r>
      <w:r>
        <w:rPr>
          <w:rStyle w:val="58"/>
          <w:rFonts w:hint="eastAsia" w:ascii="黑体" w:hAnsi="黑体" w:eastAsia="黑体"/>
          <w:color w:val="000000"/>
          <w:sz w:val="28"/>
          <w:highlight w:val="none"/>
        </w:rPr>
        <w:t>关于联合惩戒失信行为加强信用查询管理的通知</w:t>
      </w:r>
      <w:r>
        <w:rPr>
          <w:color w:val="000000"/>
          <w:sz w:val="28"/>
          <w:highlight w:val="none"/>
        </w:rPr>
        <w:tab/>
      </w:r>
      <w:r>
        <w:rPr>
          <w:rFonts w:hint="eastAsia"/>
          <w:color w:val="000000"/>
          <w:sz w:val="28"/>
          <w:highlight w:val="none"/>
          <w:lang w:val="en-US" w:eastAsia="zh-CN"/>
        </w:rPr>
        <w:t>4</w:t>
      </w:r>
      <w:r>
        <w:rPr>
          <w:rStyle w:val="58"/>
          <w:color w:val="000000"/>
          <w:sz w:val="28"/>
          <w:highlight w:val="none"/>
        </w:rPr>
        <w:fldChar w:fldCharType="end"/>
      </w:r>
      <w:r>
        <w:rPr>
          <w:rStyle w:val="58"/>
          <w:rFonts w:hint="eastAsia"/>
          <w:color w:val="000000"/>
          <w:sz w:val="28"/>
          <w:highlight w:val="none"/>
          <w:lang w:val="en-US" w:eastAsia="zh-CN"/>
        </w:rPr>
        <w:t>1</w:t>
      </w:r>
    </w:p>
    <w:p w14:paraId="13C7F18B">
      <w:pPr>
        <w:pStyle w:val="31"/>
        <w:tabs>
          <w:tab w:val="right" w:leader="dot" w:pos="10120"/>
        </w:tabs>
        <w:rPr>
          <w:rStyle w:val="58"/>
          <w:rFonts w:hint="eastAsia"/>
          <w:color w:val="000000"/>
          <w:sz w:val="28"/>
          <w:highlight w:val="none"/>
        </w:rPr>
      </w:pPr>
      <w:r>
        <w:rPr>
          <w:rStyle w:val="58"/>
          <w:color w:val="000000"/>
          <w:sz w:val="28"/>
          <w:highlight w:val="none"/>
        </w:rPr>
        <w:fldChar w:fldCharType="begin"/>
      </w:r>
      <w:r>
        <w:rPr>
          <w:rStyle w:val="58"/>
          <w:color w:val="000000"/>
          <w:sz w:val="28"/>
          <w:highlight w:val="none"/>
        </w:rPr>
        <w:instrText xml:space="preserve"> </w:instrText>
      </w:r>
      <w:r>
        <w:rPr>
          <w:color w:val="000000"/>
          <w:sz w:val="28"/>
          <w:highlight w:val="none"/>
        </w:rPr>
        <w:instrText xml:space="preserve">HYPERLINK \l "_Toc95223549"</w:instrText>
      </w:r>
      <w:r>
        <w:rPr>
          <w:rStyle w:val="58"/>
          <w:color w:val="000000"/>
          <w:sz w:val="28"/>
          <w:highlight w:val="none"/>
        </w:rPr>
        <w:instrText xml:space="preserve"> </w:instrText>
      </w:r>
      <w:r>
        <w:rPr>
          <w:rStyle w:val="58"/>
          <w:color w:val="000000"/>
          <w:sz w:val="28"/>
          <w:highlight w:val="none"/>
        </w:rPr>
        <w:fldChar w:fldCharType="separate"/>
      </w:r>
      <w:r>
        <w:rPr>
          <w:rStyle w:val="58"/>
          <w:rFonts w:hint="eastAsia" w:ascii="黑体" w:hAnsi="黑体" w:eastAsia="黑体"/>
          <w:color w:val="000000"/>
          <w:sz w:val="28"/>
          <w:highlight w:val="none"/>
        </w:rPr>
        <w:t>附件</w:t>
      </w:r>
      <w:r>
        <w:rPr>
          <w:rStyle w:val="58"/>
          <w:rFonts w:ascii="黑体" w:hAnsi="黑体" w:eastAsia="黑体"/>
          <w:color w:val="000000"/>
          <w:sz w:val="28"/>
          <w:highlight w:val="none"/>
        </w:rPr>
        <w:t xml:space="preserve">2 </w:t>
      </w:r>
      <w:r>
        <w:rPr>
          <w:rStyle w:val="58"/>
          <w:rFonts w:hint="eastAsia" w:ascii="黑体" w:hAnsi="黑体" w:eastAsia="黑体"/>
          <w:color w:val="000000"/>
          <w:sz w:val="28"/>
          <w:highlight w:val="none"/>
        </w:rPr>
        <w:t>“信用中国”查询的严重失信行为类别及判定依据</w:t>
      </w:r>
      <w:r>
        <w:rPr>
          <w:color w:val="000000"/>
          <w:sz w:val="28"/>
          <w:highlight w:val="none"/>
        </w:rPr>
        <w:tab/>
      </w:r>
      <w:r>
        <w:rPr>
          <w:rFonts w:hint="eastAsia"/>
          <w:color w:val="000000"/>
          <w:sz w:val="28"/>
          <w:highlight w:val="none"/>
          <w:lang w:val="en-US" w:eastAsia="zh-CN"/>
        </w:rPr>
        <w:t>45</w:t>
      </w:r>
      <w:r>
        <w:rPr>
          <w:rStyle w:val="58"/>
          <w:color w:val="000000"/>
          <w:sz w:val="28"/>
          <w:highlight w:val="none"/>
        </w:rPr>
        <w:fldChar w:fldCharType="end"/>
      </w:r>
    </w:p>
    <w:p w14:paraId="5052B2D4">
      <w:pPr>
        <w:pStyle w:val="2"/>
        <w:spacing w:line="700" w:lineRule="exact"/>
        <w:ind w:left="0" w:leftChars="0" w:firstLine="480"/>
        <w:jc w:val="left"/>
        <w:rPr>
          <w:sz w:val="24"/>
          <w:szCs w:val="24"/>
          <w:highlight w:val="none"/>
        </w:rPr>
      </w:pPr>
    </w:p>
    <w:p w14:paraId="3004C8EC">
      <w:pPr>
        <w:pStyle w:val="44"/>
        <w:spacing w:line="700" w:lineRule="exact"/>
        <w:jc w:val="left"/>
        <w:rPr>
          <w:sz w:val="24"/>
          <w:szCs w:val="24"/>
          <w:highlight w:val="none"/>
        </w:rPr>
        <w:sectPr>
          <w:footerReference r:id="rId5" w:type="default"/>
          <w:pgSz w:w="11906" w:h="16838"/>
          <w:pgMar w:top="1134" w:right="1417" w:bottom="1134" w:left="1417" w:header="851" w:footer="992" w:gutter="0"/>
          <w:pgNumType w:start="1"/>
          <w:cols w:space="720" w:num="1"/>
          <w:docGrid w:type="lines" w:linePitch="312" w:charSpace="0"/>
        </w:sectPr>
      </w:pPr>
    </w:p>
    <w:bookmarkEnd w:id="12"/>
    <w:bookmarkEnd w:id="13"/>
    <w:bookmarkEnd w:id="14"/>
    <w:bookmarkEnd w:id="15"/>
    <w:p w14:paraId="2EC261B3">
      <w:pPr>
        <w:pStyle w:val="44"/>
        <w:spacing w:beforeLines="50" w:afterLines="50" w:line="440" w:lineRule="exact"/>
        <w:rPr>
          <w:rFonts w:hint="eastAsia"/>
          <w:bCs/>
          <w:szCs w:val="32"/>
          <w:highlight w:val="none"/>
        </w:rPr>
      </w:pPr>
      <w:bookmarkStart w:id="19" w:name="_Toc78803320"/>
      <w:bookmarkStart w:id="20" w:name="_Toc246996173"/>
      <w:bookmarkStart w:id="21" w:name="_Toc152045527"/>
      <w:bookmarkStart w:id="22" w:name="_Toc179632544"/>
      <w:bookmarkStart w:id="23" w:name="_Toc35425050"/>
      <w:bookmarkStart w:id="24" w:name="_Toc247085687"/>
      <w:bookmarkStart w:id="25" w:name="_Toc246996916"/>
      <w:bookmarkStart w:id="26" w:name="_Toc152042303"/>
      <w:bookmarkStart w:id="27" w:name="_Toc324404813"/>
      <w:bookmarkStart w:id="28" w:name="_Toc35424883"/>
      <w:bookmarkStart w:id="29" w:name="_Toc506107267"/>
      <w:bookmarkStart w:id="30" w:name="_Toc144974495"/>
      <w:bookmarkStart w:id="31" w:name="_Toc15058844"/>
      <w:r>
        <w:rPr>
          <w:rFonts w:hint="eastAsia"/>
          <w:bCs/>
          <w:szCs w:val="32"/>
          <w:highlight w:val="none"/>
          <w:lang w:val="en-US" w:eastAsia="zh-CN"/>
        </w:rPr>
        <w:t xml:space="preserve">第一章 </w:t>
      </w:r>
      <w:r>
        <w:rPr>
          <w:rFonts w:hint="eastAsia"/>
          <w:bCs/>
          <w:szCs w:val="32"/>
          <w:highlight w:val="none"/>
        </w:rPr>
        <w:t>招标公告</w:t>
      </w:r>
      <w:bookmarkEnd w:id="19"/>
    </w:p>
    <w:tbl>
      <w:tblPr>
        <w:tblStyle w:val="47"/>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7997"/>
      </w:tblGrid>
      <w:tr w14:paraId="48A3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4E31D11C">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kern w:val="1"/>
                <w:sz w:val="21"/>
                <w:szCs w:val="21"/>
                <w:highlight w:val="none"/>
              </w:rPr>
            </w:pPr>
            <w:r>
              <w:rPr>
                <w:rFonts w:hint="eastAsia" w:ascii="宋体" w:hAnsi="宋体" w:eastAsia="宋体" w:cs="宋体"/>
                <w:b/>
                <w:bCs/>
                <w:color w:val="auto"/>
                <w:sz w:val="21"/>
                <w:szCs w:val="21"/>
                <w:highlight w:val="none"/>
              </w:rPr>
              <w:t>招标条件</w:t>
            </w:r>
          </w:p>
        </w:tc>
      </w:tr>
      <w:tr w14:paraId="07E82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933" w:type="dxa"/>
            <w:noWrap w:val="0"/>
            <w:vAlign w:val="center"/>
          </w:tcPr>
          <w:p w14:paraId="2E39E459">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项目</w:t>
            </w:r>
            <w:r>
              <w:rPr>
                <w:rFonts w:hint="eastAsia" w:ascii="宋体" w:hAnsi="宋体" w:eastAsia="宋体" w:cs="宋体"/>
                <w:color w:val="auto"/>
                <w:kern w:val="0"/>
                <w:sz w:val="21"/>
                <w:szCs w:val="21"/>
                <w:highlight w:val="none"/>
              </w:rPr>
              <w:t>名称</w:t>
            </w:r>
          </w:p>
        </w:tc>
        <w:tc>
          <w:tcPr>
            <w:tcW w:w="7997" w:type="dxa"/>
            <w:noWrap w:val="0"/>
            <w:vAlign w:val="top"/>
          </w:tcPr>
          <w:p w14:paraId="223FE30B">
            <w:pPr>
              <w:keepNext w:val="0"/>
              <w:keepLines w:val="0"/>
              <w:pageBreakBefore w:val="0"/>
              <w:kinsoku/>
              <w:wordWrap w:val="0"/>
              <w:overflowPunct/>
              <w:topLinePunct w:val="0"/>
              <w:autoSpaceDE/>
              <w:autoSpaceDN/>
              <w:bidi w:val="0"/>
              <w:adjustRightInd/>
              <w:snapToGrid/>
              <w:spacing w:line="440" w:lineRule="exact"/>
              <w:jc w:val="left"/>
              <w:textAlignment w:val="auto"/>
              <w:rPr>
                <w:rFonts w:hint="eastAsia" w:ascii="宋体" w:hAnsi="宋体" w:eastAsia="宋体" w:cs="宋体"/>
                <w:bCs/>
                <w:color w:val="auto"/>
                <w:kern w:val="1"/>
                <w:sz w:val="21"/>
                <w:szCs w:val="21"/>
                <w:highlight w:val="none"/>
              </w:rPr>
            </w:pPr>
            <w:r>
              <w:rPr>
                <w:rFonts w:hint="eastAsia" w:ascii="宋体" w:hAnsi="宋体" w:cs="宋体"/>
                <w:bCs/>
                <w:color w:val="auto"/>
                <w:kern w:val="1"/>
                <w:sz w:val="21"/>
                <w:szCs w:val="21"/>
                <w:highlight w:val="none"/>
                <w:lang w:eastAsia="zh-CN"/>
              </w:rPr>
              <w:t>滁州清流污水处理厂工商业分布式光伏发电初步设计项目</w:t>
            </w:r>
          </w:p>
        </w:tc>
      </w:tr>
      <w:tr w14:paraId="3EF6D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2832571D">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Cs/>
                <w:snapToGrid w:val="0"/>
                <w:color w:val="auto"/>
                <w:kern w:val="0"/>
                <w:sz w:val="21"/>
                <w:szCs w:val="21"/>
                <w:highlight w:val="none"/>
              </w:rPr>
              <w:t>招标人</w:t>
            </w:r>
          </w:p>
        </w:tc>
        <w:tc>
          <w:tcPr>
            <w:tcW w:w="7997" w:type="dxa"/>
            <w:noWrap w:val="0"/>
            <w:vAlign w:val="center"/>
          </w:tcPr>
          <w:p w14:paraId="41AA07EF">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bCs/>
                <w:color w:val="auto"/>
                <w:kern w:val="1"/>
                <w:sz w:val="21"/>
                <w:szCs w:val="21"/>
                <w:highlight w:val="none"/>
                <w:lang w:eastAsia="zh-CN"/>
              </w:rPr>
              <w:t>滁州工投新能源开发有限公司</w:t>
            </w:r>
          </w:p>
        </w:tc>
      </w:tr>
      <w:tr w14:paraId="2A24F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2638D1C">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项目业主</w:t>
            </w:r>
          </w:p>
        </w:tc>
        <w:tc>
          <w:tcPr>
            <w:tcW w:w="7997" w:type="dxa"/>
            <w:noWrap w:val="0"/>
            <w:vAlign w:val="center"/>
          </w:tcPr>
          <w:p w14:paraId="3EF79F1D">
            <w:pPr>
              <w:keepNext w:val="0"/>
              <w:keepLines w:val="0"/>
              <w:pageBreakBefore w:val="0"/>
              <w:widowControl/>
              <w:shd w:val="clear" w:color="auto" w:fill="auto"/>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滁州工投新能源开发有限公司</w:t>
            </w:r>
          </w:p>
        </w:tc>
      </w:tr>
      <w:tr w14:paraId="515C1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ECD1AE3">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资金来源</w:t>
            </w:r>
          </w:p>
        </w:tc>
        <w:tc>
          <w:tcPr>
            <w:tcW w:w="7997" w:type="dxa"/>
            <w:noWrap w:val="0"/>
            <w:vAlign w:val="center"/>
          </w:tcPr>
          <w:p w14:paraId="13E4CD21">
            <w:pPr>
              <w:keepNext w:val="0"/>
              <w:keepLines w:val="0"/>
              <w:pageBreakBefore w:val="0"/>
              <w:widowControl/>
              <w:kinsoku/>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自筹资金</w:t>
            </w:r>
          </w:p>
        </w:tc>
      </w:tr>
      <w:tr w14:paraId="1CA8B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F489FD2">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项目出资比例</w:t>
            </w:r>
          </w:p>
        </w:tc>
        <w:tc>
          <w:tcPr>
            <w:tcW w:w="7997" w:type="dxa"/>
            <w:noWrap w:val="0"/>
            <w:vAlign w:val="center"/>
          </w:tcPr>
          <w:p w14:paraId="612A619C">
            <w:pPr>
              <w:keepNext w:val="0"/>
              <w:keepLines w:val="0"/>
              <w:pageBreakBefore w:val="0"/>
              <w:widowControl/>
              <w:kinsoku/>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100%</w:t>
            </w:r>
          </w:p>
        </w:tc>
      </w:tr>
      <w:tr w14:paraId="2F993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3DEFCFF6">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招标方式</w:t>
            </w:r>
          </w:p>
        </w:tc>
        <w:tc>
          <w:tcPr>
            <w:tcW w:w="7997" w:type="dxa"/>
            <w:noWrap w:val="0"/>
            <w:vAlign w:val="center"/>
          </w:tcPr>
          <w:p w14:paraId="53A0BB3B">
            <w:pPr>
              <w:keepNext w:val="0"/>
              <w:keepLines w:val="0"/>
              <w:pageBreakBefore w:val="0"/>
              <w:widowControl/>
              <w:kinsoku/>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rPr>
              <w:t>公开招标</w:t>
            </w:r>
          </w:p>
        </w:tc>
      </w:tr>
      <w:tr w14:paraId="62884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70C4438E">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评标办法</w:t>
            </w:r>
          </w:p>
        </w:tc>
        <w:tc>
          <w:tcPr>
            <w:tcW w:w="7997" w:type="dxa"/>
            <w:noWrap w:val="0"/>
            <w:vAlign w:val="center"/>
          </w:tcPr>
          <w:p w14:paraId="64728417">
            <w:pPr>
              <w:keepNext w:val="0"/>
              <w:keepLines w:val="0"/>
              <w:pageBreakBefore w:val="0"/>
              <w:widowControl/>
              <w:kinsoku/>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rPr>
              <w:t>合理价格竞争法</w:t>
            </w:r>
          </w:p>
        </w:tc>
      </w:tr>
      <w:tr w14:paraId="3CB3E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1EBFED8D">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项目概况与招标范围</w:t>
            </w:r>
          </w:p>
        </w:tc>
      </w:tr>
      <w:tr w14:paraId="1B542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4A1F1B52">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招标项目名称</w:t>
            </w:r>
          </w:p>
        </w:tc>
        <w:tc>
          <w:tcPr>
            <w:tcW w:w="7997" w:type="dxa"/>
            <w:noWrap w:val="0"/>
            <w:vAlign w:val="center"/>
          </w:tcPr>
          <w:p w14:paraId="3BB4B767">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滁州清流污水处理厂工商业分布式光伏发电初步设计项目</w:t>
            </w:r>
          </w:p>
        </w:tc>
      </w:tr>
      <w:tr w14:paraId="488A5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33" w:type="dxa"/>
            <w:noWrap w:val="0"/>
            <w:vAlign w:val="center"/>
          </w:tcPr>
          <w:p w14:paraId="40B1C46C">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标段划分</w:t>
            </w:r>
          </w:p>
        </w:tc>
        <w:tc>
          <w:tcPr>
            <w:tcW w:w="7997" w:type="dxa"/>
            <w:noWrap w:val="0"/>
            <w:vAlign w:val="center"/>
          </w:tcPr>
          <w:p w14:paraId="062D55A9">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szCs w:val="21"/>
                <w:highlight w:val="none"/>
                <w:lang w:val="en-US" w:eastAsia="zh-CN"/>
              </w:rPr>
              <w:t>一个标段</w:t>
            </w:r>
          </w:p>
        </w:tc>
      </w:tr>
      <w:tr w14:paraId="40733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74A4EA69">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建设地点</w:t>
            </w:r>
          </w:p>
        </w:tc>
        <w:tc>
          <w:tcPr>
            <w:tcW w:w="7997" w:type="dxa"/>
            <w:noWrap w:val="0"/>
            <w:vAlign w:val="center"/>
          </w:tcPr>
          <w:p w14:paraId="2C527A97">
            <w:pPr>
              <w:pStyle w:val="2"/>
              <w:keepNext w:val="0"/>
              <w:keepLines w:val="0"/>
              <w:pageBreakBefore w:val="0"/>
              <w:kinsoku/>
              <w:wordWrap w:val="0"/>
              <w:overflowPunct/>
              <w:topLinePunct w:val="0"/>
              <w:autoSpaceDE/>
              <w:autoSpaceDN/>
              <w:bidi w:val="0"/>
              <w:adjustRightInd/>
              <w:snapToGrid/>
              <w:spacing w:after="0" w:afterLines="0" w:line="440" w:lineRule="exact"/>
              <w:ind w:left="0" w:leftChars="0" w:firstLine="0" w:firstLineChars="0"/>
              <w:textAlignment w:val="auto"/>
              <w:rPr>
                <w:rFonts w:hint="eastAsia" w:ascii="宋体" w:hAnsi="宋体" w:eastAsia="宋体" w:cs="宋体"/>
                <w:szCs w:val="21"/>
                <w:highlight w:val="none"/>
              </w:rPr>
            </w:pPr>
            <w:r>
              <w:rPr>
                <w:rFonts w:hint="eastAsia" w:ascii="宋体" w:hAnsi="宋体" w:cs="宋体"/>
                <w:bCs/>
                <w:color w:val="auto"/>
                <w:kern w:val="1"/>
                <w:sz w:val="21"/>
                <w:szCs w:val="21"/>
                <w:highlight w:val="none"/>
                <w:lang w:eastAsia="zh-CN"/>
              </w:rPr>
              <w:t>滁州清流污水处理厂</w:t>
            </w:r>
            <w:r>
              <w:rPr>
                <w:rFonts w:hint="eastAsia" w:ascii="宋体" w:hAnsi="宋体" w:eastAsia="宋体" w:cs="宋体"/>
                <w:szCs w:val="21"/>
                <w:highlight w:val="none"/>
                <w:lang w:val="en-US" w:eastAsia="zh-CN"/>
              </w:rPr>
              <w:t>，招标人指定地点</w:t>
            </w:r>
          </w:p>
        </w:tc>
      </w:tr>
      <w:tr w14:paraId="3A6ED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3BBF1A7D">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建设规模</w:t>
            </w:r>
          </w:p>
        </w:tc>
        <w:tc>
          <w:tcPr>
            <w:tcW w:w="7997" w:type="dxa"/>
            <w:noWrap w:val="0"/>
            <w:vAlign w:val="center"/>
          </w:tcPr>
          <w:p w14:paraId="6E8E9896">
            <w:pPr>
              <w:pStyle w:val="2"/>
              <w:keepNext w:val="0"/>
              <w:keepLines w:val="0"/>
              <w:pageBreakBefore w:val="0"/>
              <w:widowControl w:val="0"/>
              <w:kinsoku/>
              <w:wordWrap w:val="0"/>
              <w:overflowPunct/>
              <w:topLinePunct w:val="0"/>
              <w:autoSpaceDE/>
              <w:autoSpaceDN/>
              <w:bidi w:val="0"/>
              <w:adjustRightInd/>
              <w:snapToGrid/>
              <w:spacing w:after="0" w:afterLines="0" w:line="400" w:lineRule="exact"/>
              <w:ind w:left="0" w:leftChars="0" w:firstLine="0" w:firstLineChars="0"/>
              <w:textAlignment w:val="auto"/>
              <w:rPr>
                <w:rFonts w:hint="eastAsia" w:ascii="宋体" w:hAnsi="宋体" w:eastAsia="宋体" w:cs="宋体"/>
                <w:szCs w:val="21"/>
                <w:highlight w:val="none"/>
                <w:lang w:val="en-US" w:eastAsia="zh-CN"/>
              </w:rPr>
            </w:pPr>
            <w:r>
              <w:rPr>
                <w:rFonts w:hint="default" w:ascii="宋体" w:hAnsi="宋体" w:cs="宋体"/>
                <w:bCs/>
                <w:color w:val="auto"/>
                <w:kern w:val="1"/>
                <w:sz w:val="21"/>
                <w:szCs w:val="21"/>
                <w:highlight w:val="none"/>
                <w:lang w:val="en-US" w:eastAsia="zh-CN"/>
              </w:rPr>
              <w:t>利用</w:t>
            </w:r>
            <w:r>
              <w:rPr>
                <w:rFonts w:hint="eastAsia" w:ascii="宋体" w:hAnsi="宋体" w:cs="宋体"/>
                <w:bCs/>
                <w:color w:val="auto"/>
                <w:kern w:val="1"/>
                <w:sz w:val="21"/>
                <w:szCs w:val="21"/>
                <w:highlight w:val="none"/>
                <w:lang w:val="en-US" w:eastAsia="zh-CN"/>
              </w:rPr>
              <w:t>滁州清流污水处理厂</w:t>
            </w:r>
            <w:r>
              <w:rPr>
                <w:rFonts w:hint="default" w:ascii="宋体" w:hAnsi="宋体" w:cs="宋体"/>
                <w:bCs/>
                <w:color w:val="auto"/>
                <w:kern w:val="1"/>
                <w:sz w:val="21"/>
                <w:szCs w:val="21"/>
                <w:highlight w:val="none"/>
                <w:lang w:val="en-US" w:eastAsia="zh-CN"/>
              </w:rPr>
              <w:t>生化池、二沉池和相关建</w:t>
            </w:r>
            <w:r>
              <w:rPr>
                <w:rFonts w:hint="eastAsia" w:ascii="宋体" w:hAnsi="宋体" w:cs="宋体"/>
                <w:bCs/>
                <w:color w:val="auto"/>
                <w:kern w:val="1"/>
                <w:sz w:val="21"/>
                <w:szCs w:val="21"/>
                <w:highlight w:val="none"/>
                <w:lang w:val="en-US" w:eastAsia="zh-CN"/>
              </w:rPr>
              <w:t>筑物屋顶</w:t>
            </w:r>
            <w:r>
              <w:rPr>
                <w:rFonts w:hint="eastAsia" w:hAnsi="宋体" w:cs="宋体"/>
                <w:bCs/>
                <w:color w:val="auto"/>
                <w:kern w:val="1"/>
                <w:sz w:val="21"/>
                <w:szCs w:val="21"/>
                <w:highlight w:val="none"/>
                <w:lang w:val="en-US" w:eastAsia="zh-CN"/>
              </w:rPr>
              <w:t>、场地</w:t>
            </w:r>
            <w:r>
              <w:rPr>
                <w:rFonts w:hint="eastAsia" w:ascii="宋体" w:hAnsi="宋体" w:cs="宋体"/>
                <w:bCs/>
                <w:color w:val="auto"/>
                <w:kern w:val="1"/>
                <w:sz w:val="21"/>
                <w:szCs w:val="21"/>
                <w:highlight w:val="none"/>
                <w:lang w:val="en-US" w:eastAsia="zh-CN"/>
              </w:rPr>
              <w:t>，建设分布式光伏</w:t>
            </w:r>
            <w:r>
              <w:rPr>
                <w:rFonts w:hint="eastAsia" w:hAnsi="宋体" w:cs="宋体"/>
                <w:bCs/>
                <w:color w:val="auto"/>
                <w:kern w:val="1"/>
                <w:sz w:val="21"/>
                <w:szCs w:val="21"/>
                <w:highlight w:val="none"/>
                <w:lang w:val="en-US" w:eastAsia="zh-CN"/>
              </w:rPr>
              <w:t>。</w:t>
            </w:r>
            <w:r>
              <w:rPr>
                <w:rFonts w:hint="eastAsia" w:ascii="宋体" w:hAnsi="宋体" w:cs="宋体"/>
                <w:bCs/>
                <w:color w:val="auto"/>
                <w:kern w:val="1"/>
                <w:sz w:val="21"/>
                <w:szCs w:val="21"/>
                <w:highlight w:val="none"/>
                <w:lang w:eastAsia="zh-CN"/>
              </w:rPr>
              <w:t>装机总容量</w:t>
            </w:r>
            <w:r>
              <w:rPr>
                <w:rFonts w:hint="eastAsia" w:hAnsi="宋体" w:cs="宋体"/>
                <w:bCs/>
                <w:color w:val="auto"/>
                <w:kern w:val="1"/>
                <w:sz w:val="21"/>
                <w:szCs w:val="21"/>
                <w:highlight w:val="none"/>
                <w:lang w:val="en-US" w:eastAsia="zh-CN"/>
              </w:rPr>
              <w:t>初步约</w:t>
            </w:r>
            <w:r>
              <w:rPr>
                <w:rFonts w:hint="eastAsia" w:ascii="宋体" w:hAnsi="宋体" w:cs="宋体"/>
                <w:bCs/>
                <w:color w:val="auto"/>
                <w:kern w:val="1"/>
                <w:sz w:val="21"/>
                <w:szCs w:val="21"/>
                <w:highlight w:val="none"/>
                <w:lang w:eastAsia="zh-CN"/>
              </w:rPr>
              <w:t>为</w:t>
            </w:r>
            <w:r>
              <w:rPr>
                <w:rFonts w:hint="eastAsia" w:hAnsi="宋体" w:cs="宋体"/>
                <w:bCs/>
                <w:color w:val="auto"/>
                <w:kern w:val="1"/>
                <w:sz w:val="21"/>
                <w:szCs w:val="21"/>
                <w:highlight w:val="none"/>
                <w:lang w:val="en-US" w:eastAsia="zh-CN"/>
              </w:rPr>
              <w:t>5</w:t>
            </w:r>
            <w:r>
              <w:rPr>
                <w:rFonts w:hint="eastAsia" w:ascii="宋体" w:hAnsi="宋体" w:cs="宋体"/>
                <w:bCs/>
                <w:color w:val="auto"/>
                <w:kern w:val="1"/>
                <w:sz w:val="21"/>
                <w:szCs w:val="21"/>
                <w:highlight w:val="none"/>
                <w:lang w:eastAsia="zh-CN"/>
              </w:rPr>
              <w:t>兆瓦（</w:t>
            </w:r>
            <w:r>
              <w:rPr>
                <w:rFonts w:hint="eastAsia" w:ascii="宋体" w:hAnsi="宋体" w:cs="宋体"/>
                <w:bCs/>
                <w:color w:val="auto"/>
                <w:kern w:val="1"/>
                <w:sz w:val="21"/>
                <w:szCs w:val="21"/>
                <w:highlight w:val="none"/>
                <w:lang w:val="en-US" w:eastAsia="zh-CN"/>
              </w:rPr>
              <w:t>直流侧）</w:t>
            </w:r>
            <w:r>
              <w:rPr>
                <w:rFonts w:hint="eastAsia" w:hAnsi="宋体" w:cs="宋体"/>
                <w:bCs/>
                <w:color w:val="auto"/>
                <w:kern w:val="1"/>
                <w:sz w:val="21"/>
                <w:szCs w:val="21"/>
                <w:highlight w:val="none"/>
                <w:lang w:val="en-US" w:eastAsia="zh-CN"/>
              </w:rPr>
              <w:t>（按实际审批容量为准）</w:t>
            </w:r>
            <w:r>
              <w:rPr>
                <w:rFonts w:hint="eastAsia" w:ascii="宋体" w:hAnsi="宋体" w:cs="宋体"/>
                <w:bCs/>
                <w:color w:val="auto"/>
                <w:kern w:val="1"/>
                <w:sz w:val="21"/>
                <w:szCs w:val="21"/>
                <w:highlight w:val="none"/>
                <w:lang w:val="en-US" w:eastAsia="zh-CN"/>
              </w:rPr>
              <w:t>，采用“自发自用，余电上网”发电模式</w:t>
            </w:r>
            <w:r>
              <w:rPr>
                <w:rFonts w:hint="eastAsia" w:hAnsi="宋体" w:cs="宋体"/>
                <w:bCs/>
                <w:color w:val="auto"/>
                <w:kern w:val="1"/>
                <w:sz w:val="21"/>
                <w:szCs w:val="21"/>
                <w:highlight w:val="none"/>
                <w:lang w:val="en-US" w:eastAsia="zh-CN"/>
              </w:rPr>
              <w:t>。</w:t>
            </w:r>
          </w:p>
        </w:tc>
      </w:tr>
      <w:tr w14:paraId="5DC77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3230461">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预算金额</w:t>
            </w:r>
          </w:p>
        </w:tc>
        <w:tc>
          <w:tcPr>
            <w:tcW w:w="7997" w:type="dxa"/>
            <w:noWrap w:val="0"/>
            <w:vAlign w:val="center"/>
          </w:tcPr>
          <w:p w14:paraId="2618AED0">
            <w:pPr>
              <w:pStyle w:val="2"/>
              <w:keepNext w:val="0"/>
              <w:keepLines w:val="0"/>
              <w:pageBreakBefore w:val="0"/>
              <w:widowControl w:val="0"/>
              <w:kinsoku/>
              <w:wordWrap w:val="0"/>
              <w:overflowPunct/>
              <w:topLinePunct w:val="0"/>
              <w:autoSpaceDE/>
              <w:autoSpaceDN/>
              <w:bidi w:val="0"/>
              <w:adjustRightInd/>
              <w:snapToGrid/>
              <w:spacing w:after="0" w:afterLines="0" w:line="400" w:lineRule="exact"/>
              <w:ind w:left="0" w:leftChars="0" w:firstLine="0" w:firstLineChars="0"/>
              <w:jc w:val="left"/>
              <w:textAlignment w:val="auto"/>
              <w:rPr>
                <w:rFonts w:hint="default" w:ascii="宋体" w:hAnsi="宋体" w:eastAsia="宋体" w:cs="宋体"/>
                <w:color w:val="auto"/>
                <w:sz w:val="21"/>
                <w:szCs w:val="21"/>
                <w:highlight w:val="none"/>
                <w:lang w:val="en-US"/>
              </w:rPr>
            </w:pPr>
            <w:r>
              <w:rPr>
                <w:rFonts w:hint="eastAsia" w:cs="Times New Roman"/>
                <w:b w:val="0"/>
                <w:bCs w:val="0"/>
                <w:color w:val="auto"/>
                <w:szCs w:val="21"/>
                <w:highlight w:val="none"/>
                <w:lang w:val="en-US" w:eastAsia="zh-CN"/>
              </w:rPr>
              <w:t>约25万元</w:t>
            </w:r>
          </w:p>
        </w:tc>
      </w:tr>
      <w:tr w14:paraId="6BEC3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6F6947A">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计划工期</w:t>
            </w:r>
          </w:p>
        </w:tc>
        <w:tc>
          <w:tcPr>
            <w:tcW w:w="7997" w:type="dxa"/>
            <w:noWrap w:val="0"/>
            <w:vAlign w:val="center"/>
          </w:tcPr>
          <w:p w14:paraId="241300B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不高于30个日历</w:t>
            </w:r>
            <w:r>
              <w:rPr>
                <w:rFonts w:hint="eastAsia" w:ascii="宋体" w:hAnsi="宋体" w:eastAsia="宋体" w:cs="宋体"/>
                <w:color w:val="auto"/>
                <w:sz w:val="21"/>
                <w:szCs w:val="21"/>
                <w:highlight w:val="none"/>
                <w:lang w:val="en-US" w:eastAsia="zh-CN"/>
              </w:rPr>
              <w:t>天</w:t>
            </w:r>
          </w:p>
        </w:tc>
      </w:tr>
      <w:tr w14:paraId="42C90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43CAB737">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招标范围</w:t>
            </w:r>
          </w:p>
        </w:tc>
        <w:tc>
          <w:tcPr>
            <w:tcW w:w="7997" w:type="dxa"/>
            <w:noWrap w:val="0"/>
            <w:vAlign w:val="center"/>
          </w:tcPr>
          <w:p w14:paraId="2450FD06">
            <w:pPr>
              <w:pStyle w:val="2"/>
              <w:keepNext w:val="0"/>
              <w:keepLines w:val="0"/>
              <w:pageBreakBefore w:val="0"/>
              <w:kinsoku/>
              <w:wordWrap/>
              <w:overflowPunct/>
              <w:topLinePunct w:val="0"/>
              <w:autoSpaceDE/>
              <w:autoSpaceDN/>
              <w:bidi w:val="0"/>
              <w:adjustRightInd/>
              <w:snapToGrid/>
              <w:spacing w:after="0" w:afterLines="0" w:line="400" w:lineRule="exact"/>
              <w:ind w:left="0" w:leftChars="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包括滁州清流污水处理厂生化池、二沉池和相关建筑物屋顶、场地等区域。要求编写可行性研究报告，再根据可研报告、污水处理厂光伏项目案例研究报告(不少于两例)等基础资料完成初步设计报告（审定稿）编制工作，需通过配合单位内部评审，参与业主组织的初步设计报告第三方评审（如需），并按评审意见修改报告，完成初步设计报告（审定稿）；初步设计需包含报告、设计图纸、概算、初步勘察、社会环境评价（如需）等完整资料，并完成项目备案、电力并网接入申请等手续和提供有关资料；同时将其余配合单位相关成果汇合成本项目最终成果文件。</w:t>
            </w:r>
          </w:p>
        </w:tc>
      </w:tr>
      <w:tr w14:paraId="39737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B3C45EE">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val="en-US" w:eastAsia="zh-CN"/>
              </w:rPr>
              <w:t>项目类别</w:t>
            </w:r>
          </w:p>
        </w:tc>
        <w:tc>
          <w:tcPr>
            <w:tcW w:w="7997" w:type="dxa"/>
            <w:noWrap w:val="0"/>
            <w:vAlign w:val="center"/>
          </w:tcPr>
          <w:p w14:paraId="6D56053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工程设计咨询服务</w:t>
            </w:r>
          </w:p>
        </w:tc>
      </w:tr>
      <w:tr w14:paraId="48969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7211EA0D">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其他</w:t>
            </w:r>
          </w:p>
        </w:tc>
        <w:tc>
          <w:tcPr>
            <w:tcW w:w="7997" w:type="dxa"/>
            <w:noWrap w:val="0"/>
            <w:vAlign w:val="center"/>
          </w:tcPr>
          <w:p w14:paraId="27D131B1">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w:t>
            </w:r>
          </w:p>
        </w:tc>
      </w:tr>
      <w:tr w14:paraId="44008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24CBF6E1">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投标人资格要求</w:t>
            </w:r>
          </w:p>
        </w:tc>
      </w:tr>
      <w:tr w14:paraId="54BAD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3D8EAA9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投标人资质要求</w:t>
            </w:r>
          </w:p>
        </w:tc>
        <w:tc>
          <w:tcPr>
            <w:tcW w:w="7997" w:type="dxa"/>
            <w:noWrap w:val="0"/>
            <w:vAlign w:val="center"/>
          </w:tcPr>
          <w:p w14:paraId="53F3907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投标人满足下列第①条要求或同时满足下列第②和</w:t>
            </w:r>
            <w:r>
              <w:rPr>
                <w:rFonts w:hint="default" w:ascii="宋体" w:hAnsi="宋体" w:eastAsia="宋体" w:cs="宋体"/>
                <w:color w:val="auto"/>
                <w:sz w:val="21"/>
                <w:szCs w:val="21"/>
                <w:highlight w:val="none"/>
                <w:lang w:val="en-US" w:eastAsia="zh-CN"/>
              </w:rPr>
              <w:t>③</w:t>
            </w:r>
            <w:r>
              <w:rPr>
                <w:rFonts w:hint="eastAsia" w:ascii="宋体" w:hAnsi="宋体" w:eastAsia="宋体" w:cs="宋体"/>
                <w:color w:val="auto"/>
                <w:sz w:val="21"/>
                <w:szCs w:val="21"/>
                <w:highlight w:val="none"/>
                <w:lang w:val="en-US" w:eastAsia="zh-CN"/>
              </w:rPr>
              <w:t>条要求：</w:t>
            </w:r>
          </w:p>
          <w:p w14:paraId="2FD9179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①具备建设行政主管部门颁发的工程设计综合资质</w:t>
            </w:r>
            <w:r>
              <w:rPr>
                <w:rFonts w:hint="eastAsia" w:ascii="宋体" w:hAnsi="宋体" w:cs="宋体"/>
                <w:color w:val="auto"/>
                <w:sz w:val="21"/>
                <w:szCs w:val="21"/>
                <w:highlight w:val="none"/>
                <w:lang w:val="en-US" w:eastAsia="zh-CN"/>
              </w:rPr>
              <w:t>。</w:t>
            </w:r>
          </w:p>
          <w:p w14:paraId="19D7894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②具备建设行政主管部门颁发的工程设计电力行业乙级（或以上）或工程设计电力行业（新能源发电）专业</w:t>
            </w:r>
            <w:r>
              <w:rPr>
                <w:rFonts w:hint="eastAsia" w:ascii="宋体" w:hAnsi="宋体" w:cs="宋体"/>
                <w:color w:val="auto"/>
                <w:sz w:val="21"/>
                <w:szCs w:val="21"/>
                <w:highlight w:val="none"/>
                <w:lang w:val="en-US" w:eastAsia="zh-CN"/>
              </w:rPr>
              <w:t>乙级</w:t>
            </w:r>
            <w:r>
              <w:rPr>
                <w:rFonts w:hint="eastAsia" w:ascii="宋体" w:hAnsi="宋体" w:eastAsia="宋体" w:cs="宋体"/>
                <w:color w:val="auto"/>
                <w:sz w:val="21"/>
                <w:szCs w:val="21"/>
                <w:highlight w:val="none"/>
                <w:lang w:val="en-US" w:eastAsia="zh-CN"/>
              </w:rPr>
              <w:t>资质。</w:t>
            </w:r>
          </w:p>
          <w:p w14:paraId="2F9D114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③具备建设行政主管部门颁发的工程设计</w:t>
            </w:r>
            <w:r>
              <w:rPr>
                <w:rFonts w:hint="eastAsia" w:ascii="宋体" w:hAnsi="宋体" w:eastAsia="宋体" w:cs="宋体"/>
                <w:color w:val="auto"/>
                <w:szCs w:val="21"/>
                <w:highlight w:val="none"/>
              </w:rPr>
              <w:t>建筑行业乙级</w:t>
            </w:r>
            <w:r>
              <w:rPr>
                <w:rFonts w:hint="eastAsia" w:ascii="宋体" w:hAnsi="宋体" w:eastAsia="宋体" w:cs="宋体"/>
                <w:color w:val="auto"/>
                <w:sz w:val="21"/>
                <w:szCs w:val="21"/>
                <w:highlight w:val="none"/>
                <w:lang w:val="en-US" w:eastAsia="zh-CN"/>
              </w:rPr>
              <w:t>（或以上）或</w:t>
            </w:r>
            <w:r>
              <w:rPr>
                <w:rFonts w:hint="eastAsia" w:ascii="宋体" w:hAnsi="宋体" w:eastAsia="宋体" w:cs="宋体"/>
                <w:color w:val="auto"/>
                <w:szCs w:val="21"/>
                <w:highlight w:val="none"/>
              </w:rPr>
              <w:t>建筑行业（建筑工程）专业乙级</w:t>
            </w:r>
            <w:r>
              <w:rPr>
                <w:rFonts w:hint="eastAsia" w:ascii="宋体" w:hAnsi="宋体" w:eastAsia="宋体" w:cs="宋体"/>
                <w:color w:val="auto"/>
                <w:sz w:val="21"/>
                <w:szCs w:val="21"/>
                <w:highlight w:val="none"/>
                <w:lang w:val="en-US" w:eastAsia="zh-CN"/>
              </w:rPr>
              <w:t>（或以上）</w:t>
            </w:r>
            <w:r>
              <w:rPr>
                <w:rFonts w:hint="eastAsia" w:ascii="宋体" w:hAnsi="宋体" w:eastAsia="宋体" w:cs="宋体"/>
                <w:color w:val="auto"/>
                <w:szCs w:val="21"/>
                <w:highlight w:val="none"/>
              </w:rPr>
              <w:t>或轻型钢结构工程设计专项</w:t>
            </w:r>
            <w:r>
              <w:rPr>
                <w:rFonts w:hint="eastAsia" w:ascii="宋体" w:hAnsi="宋体" w:eastAsia="宋体" w:cs="宋体"/>
                <w:color w:val="auto"/>
                <w:szCs w:val="21"/>
                <w:highlight w:val="none"/>
                <w:lang w:val="en-US" w:eastAsia="zh-CN"/>
              </w:rPr>
              <w:t>乙级</w:t>
            </w:r>
            <w:r>
              <w:rPr>
                <w:rFonts w:hint="eastAsia" w:ascii="宋体" w:hAnsi="宋体" w:eastAsia="宋体" w:cs="宋体"/>
                <w:color w:val="auto"/>
                <w:sz w:val="21"/>
                <w:szCs w:val="21"/>
                <w:highlight w:val="none"/>
                <w:lang w:val="en-US" w:eastAsia="zh-CN"/>
              </w:rPr>
              <w:t>（或以上）资质。</w:t>
            </w:r>
          </w:p>
        </w:tc>
      </w:tr>
      <w:tr w14:paraId="07C28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541401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Cs/>
                <w:snapToGrid w:val="0"/>
                <w:color w:val="auto"/>
                <w:kern w:val="0"/>
                <w:sz w:val="21"/>
                <w:szCs w:val="21"/>
                <w:highlight w:val="none"/>
              </w:rPr>
              <w:t>项目</w:t>
            </w:r>
            <w:r>
              <w:rPr>
                <w:rFonts w:hint="eastAsia" w:ascii="宋体" w:hAnsi="宋体" w:cs="宋体"/>
                <w:bCs/>
                <w:snapToGrid w:val="0"/>
                <w:color w:val="auto"/>
                <w:kern w:val="0"/>
                <w:sz w:val="21"/>
                <w:szCs w:val="21"/>
                <w:highlight w:val="none"/>
                <w:lang w:val="en-US" w:eastAsia="zh-CN"/>
              </w:rPr>
              <w:t>团队</w:t>
            </w:r>
            <w:r>
              <w:rPr>
                <w:rFonts w:hint="eastAsia" w:ascii="宋体" w:hAnsi="宋体" w:eastAsia="宋体" w:cs="宋体"/>
                <w:bCs/>
                <w:snapToGrid w:val="0"/>
                <w:color w:val="auto"/>
                <w:kern w:val="0"/>
                <w:sz w:val="21"/>
                <w:szCs w:val="21"/>
                <w:highlight w:val="none"/>
              </w:rPr>
              <w:t>资格要求</w:t>
            </w:r>
          </w:p>
        </w:tc>
        <w:tc>
          <w:tcPr>
            <w:tcW w:w="7997" w:type="dxa"/>
            <w:noWrap w:val="0"/>
            <w:vAlign w:val="center"/>
          </w:tcPr>
          <w:p w14:paraId="387D4F97">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项目团队不少于3人，且同时满足下列要求：</w:t>
            </w:r>
          </w:p>
          <w:p w14:paraId="51B3EE9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Cs w:val="21"/>
                <w:highlight w:val="none"/>
                <w:lang w:val="en-US" w:eastAsia="zh-CN"/>
              </w:rPr>
              <w:t>①</w:t>
            </w:r>
            <w:r>
              <w:rPr>
                <w:rFonts w:hint="eastAsia" w:ascii="宋体" w:hAnsi="宋体"/>
                <w:color w:val="auto"/>
                <w:szCs w:val="21"/>
                <w:highlight w:val="none"/>
                <w:lang w:val="en-US" w:eastAsia="zh-CN"/>
              </w:rPr>
              <w:t>拟派的项目负责人</w:t>
            </w:r>
            <w:r>
              <w:rPr>
                <w:rFonts w:hint="eastAsia" w:ascii="宋体" w:hAnsi="宋体" w:eastAsia="宋体" w:cs="宋体"/>
                <w:color w:val="auto"/>
                <w:sz w:val="21"/>
                <w:szCs w:val="21"/>
                <w:highlight w:val="none"/>
                <w:lang w:val="en-US" w:eastAsia="zh-CN"/>
              </w:rPr>
              <w:t>具备</w:t>
            </w:r>
            <w:r>
              <w:rPr>
                <w:rFonts w:hint="default" w:ascii="宋体" w:hAnsi="宋体" w:eastAsia="宋体" w:cs="宋体"/>
                <w:color w:val="auto"/>
                <w:sz w:val="21"/>
                <w:szCs w:val="21"/>
                <w:highlight w:val="none"/>
                <w:lang w:val="en-US" w:eastAsia="zh-CN"/>
              </w:rPr>
              <w:t>注册电气工程师执业资格</w:t>
            </w:r>
            <w:r>
              <w:rPr>
                <w:rFonts w:hint="eastAsia" w:ascii="宋体" w:hAnsi="宋体" w:eastAsia="宋体" w:cs="宋体"/>
                <w:color w:val="auto"/>
                <w:sz w:val="21"/>
                <w:szCs w:val="21"/>
                <w:highlight w:val="none"/>
                <w:lang w:val="en-US" w:eastAsia="zh-CN"/>
              </w:rPr>
              <w:t>。</w:t>
            </w:r>
          </w:p>
          <w:p w14:paraId="62C84290">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w:t>
            </w:r>
            <w:r>
              <w:rPr>
                <w:rFonts w:hint="eastAsia" w:ascii="宋体" w:hAnsi="宋体"/>
                <w:color w:val="auto"/>
                <w:szCs w:val="21"/>
                <w:highlight w:val="none"/>
                <w:lang w:val="en-US" w:eastAsia="zh-CN"/>
              </w:rPr>
              <w:t>拟派的项目团队成员至少具备1个注册建筑师二级</w:t>
            </w:r>
            <w:r>
              <w:rPr>
                <w:rFonts w:hint="eastAsia" w:ascii="宋体" w:hAnsi="宋体" w:eastAsia="宋体" w:cs="宋体"/>
                <w:color w:val="auto"/>
                <w:sz w:val="21"/>
                <w:szCs w:val="21"/>
                <w:highlight w:val="none"/>
                <w:lang w:val="en-US" w:eastAsia="zh-CN"/>
              </w:rPr>
              <w:t>（或以上）</w:t>
            </w:r>
            <w:r>
              <w:rPr>
                <w:rFonts w:hint="eastAsia" w:ascii="宋体" w:hAnsi="宋体"/>
                <w:color w:val="auto"/>
                <w:szCs w:val="21"/>
                <w:highlight w:val="none"/>
                <w:lang w:val="en-US" w:eastAsia="zh-CN"/>
              </w:rPr>
              <w:t>证书。</w:t>
            </w:r>
          </w:p>
          <w:p w14:paraId="48D31DB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olor w:val="auto"/>
                <w:szCs w:val="21"/>
                <w:highlight w:val="none"/>
                <w:lang w:val="en-US" w:eastAsia="zh-CN"/>
              </w:rPr>
            </w:pPr>
            <w:r>
              <w:rPr>
                <w:rFonts w:hint="eastAsia" w:ascii="宋体" w:hAnsi="宋体" w:eastAsia="宋体" w:cs="宋体"/>
                <w:color w:val="auto"/>
                <w:sz w:val="21"/>
                <w:szCs w:val="21"/>
                <w:highlight w:val="none"/>
                <w:lang w:val="en-US" w:eastAsia="zh-CN"/>
              </w:rPr>
              <w:t>③</w:t>
            </w:r>
            <w:r>
              <w:rPr>
                <w:rFonts w:hint="eastAsia" w:ascii="宋体" w:hAnsi="宋体"/>
                <w:color w:val="auto"/>
                <w:szCs w:val="21"/>
                <w:highlight w:val="none"/>
                <w:lang w:val="en-US" w:eastAsia="zh-CN"/>
              </w:rPr>
              <w:t>拟派的项目团队成员至少具备1个注册结构工程师二级</w:t>
            </w:r>
            <w:r>
              <w:rPr>
                <w:rFonts w:hint="eastAsia" w:ascii="宋体" w:hAnsi="宋体" w:eastAsia="宋体" w:cs="宋体"/>
                <w:color w:val="auto"/>
                <w:sz w:val="21"/>
                <w:szCs w:val="21"/>
                <w:highlight w:val="none"/>
                <w:lang w:val="en-US" w:eastAsia="zh-CN"/>
              </w:rPr>
              <w:t>（或以上）</w:t>
            </w:r>
            <w:r>
              <w:rPr>
                <w:rFonts w:hint="eastAsia" w:ascii="宋体" w:hAnsi="宋体"/>
                <w:color w:val="auto"/>
                <w:szCs w:val="21"/>
                <w:highlight w:val="none"/>
                <w:lang w:val="en-US" w:eastAsia="zh-CN"/>
              </w:rPr>
              <w:t>证书。</w:t>
            </w:r>
          </w:p>
          <w:p w14:paraId="1FD0F4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注：同一人具有多个证书的予以认可。</w:t>
            </w:r>
          </w:p>
        </w:tc>
      </w:tr>
      <w:tr w14:paraId="5D76E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1FF232E">
            <w:pPr>
              <w:widowControl/>
              <w:spacing w:line="560" w:lineRule="exact"/>
              <w:jc w:val="center"/>
              <w:rPr>
                <w:rFonts w:hint="eastAsia" w:ascii="宋体" w:hAnsi="宋体" w:eastAsia="宋体" w:cs="宋体"/>
                <w:bCs/>
                <w:snapToGrid w:val="0"/>
                <w:color w:val="auto"/>
                <w:kern w:val="0"/>
                <w:sz w:val="21"/>
                <w:szCs w:val="21"/>
                <w:highlight w:val="none"/>
              </w:rPr>
            </w:pPr>
            <w:r>
              <w:rPr>
                <w:rFonts w:hint="eastAsia" w:ascii="宋体" w:hAnsi="宋体" w:cs="宋体"/>
                <w:color w:val="000000"/>
                <w:kern w:val="0"/>
                <w:szCs w:val="21"/>
                <w:highlight w:val="none"/>
              </w:rPr>
              <w:t>信誉要求</w:t>
            </w:r>
          </w:p>
        </w:tc>
        <w:tc>
          <w:tcPr>
            <w:tcW w:w="7997" w:type="dxa"/>
            <w:noWrap w:val="0"/>
            <w:vAlign w:val="center"/>
          </w:tcPr>
          <w:p w14:paraId="17E249C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1、投标人存在以下情形之一的，不得被确定为中标人：</w:t>
            </w:r>
          </w:p>
          <w:p w14:paraId="1E4DF83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①被列入“信用中国”网站“失信被执行人”的</w:t>
            </w:r>
            <w:r>
              <w:rPr>
                <w:rFonts w:hint="eastAsia" w:ascii="宋体" w:hAnsi="宋体" w:cs="宋体"/>
                <w:color w:val="auto"/>
                <w:sz w:val="21"/>
                <w:szCs w:val="21"/>
                <w:highlight w:val="none"/>
                <w:lang w:val="en-US" w:eastAsia="zh-CN"/>
              </w:rPr>
              <w:t>；</w:t>
            </w:r>
          </w:p>
          <w:p w14:paraId="4EE22F7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②被列入“信用中国”网站“重大税收违法失信主体”的；</w:t>
            </w:r>
          </w:p>
          <w:p w14:paraId="0E6CFDF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③被列入“信用中国”网站“拖欠农民工工资失信联合惩戒对象名单”的；</w:t>
            </w:r>
          </w:p>
          <w:p w14:paraId="7FA0F62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④被列入“信用中国”网站 “严重失信主体名单”的；</w:t>
            </w:r>
          </w:p>
          <w:p w14:paraId="20745C9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⑤在“信用中国”网站上披露的仍在公示期的严重失信行为(具体行为类别及判定依据见附件2)的。</w:t>
            </w:r>
          </w:p>
          <w:p w14:paraId="6FB5FA4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⑥被列入国家企业信用信息公示系统网站“经营异常名录”或者“严重违法失信名单”的。</w:t>
            </w:r>
          </w:p>
          <w:p w14:paraId="272B53E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⑦前三年有行贿犯罪行为的单位和个人；</w:t>
            </w:r>
          </w:p>
          <w:p w14:paraId="376EAB5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⑧被滁州市县两级公管部门及各行业主管部门取消在一定期限内的投标资格且在取消期限内的；</w:t>
            </w:r>
          </w:p>
          <w:p w14:paraId="30A7F053">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⑨因拖欠农民工工资被县级及以上有关行政主管部门限制投标资格且在限制期限内的；</w:t>
            </w:r>
          </w:p>
          <w:p w14:paraId="631C70D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⑩被列入省级、市级农民工工资支付异常名录的施工企业，在限制其参加全市范围内房建和市政工程建设项目投标的期限内的；列入县级异常名录的施工企业，在限制其参加本行政区域内房建和市政建设项目投标的期限内的。</w:t>
            </w:r>
          </w:p>
          <w:p w14:paraId="383F884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2、投标人所属分公司、办事处等分支机构存在第1条信誉要求①-⑩项情形之一的，    接受其被确定为中标人。</w:t>
            </w:r>
          </w:p>
          <w:p w14:paraId="35AD1CB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color w:val="auto"/>
                <w:szCs w:val="21"/>
                <w:highlight w:val="none"/>
                <w:lang w:val="en-US" w:eastAsia="zh-CN"/>
              </w:rPr>
            </w:pPr>
            <w:r>
              <w:rPr>
                <w:rFonts w:hint="eastAsia" w:ascii="宋体" w:hAnsi="宋体" w:eastAsia="宋体" w:cs="宋体"/>
                <w:color w:val="auto"/>
                <w:sz w:val="21"/>
                <w:szCs w:val="21"/>
                <w:highlight w:val="none"/>
                <w:lang w:val="en-US" w:eastAsia="zh-CN"/>
              </w:rPr>
              <w:t>备注：第1、2条按照附件1“关于联合惩戒失信行为加强信用查询管理的通知”查询或承诺。</w:t>
            </w:r>
          </w:p>
        </w:tc>
      </w:tr>
      <w:tr w14:paraId="4DC6C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199D4C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联合体投标</w:t>
            </w:r>
          </w:p>
        </w:tc>
        <w:tc>
          <w:tcPr>
            <w:tcW w:w="7997" w:type="dxa"/>
            <w:noWrap w:val="0"/>
            <w:vAlign w:val="center"/>
          </w:tcPr>
          <w:p w14:paraId="7AE83122">
            <w:pPr>
              <w:keepNext w:val="0"/>
              <w:keepLines w:val="0"/>
              <w:pageBreakBefore w:val="0"/>
              <w:widowControl/>
              <w:kinsoku/>
              <w:overflowPunct/>
              <w:topLinePunct w:val="0"/>
              <w:autoSpaceDE/>
              <w:autoSpaceDN/>
              <w:bidi w:val="0"/>
              <w:adjustRightInd w:val="0"/>
              <w:snapToGrid w:val="0"/>
              <w:spacing w:line="400" w:lineRule="exact"/>
              <w:jc w:val="left"/>
              <w:textAlignment w:val="auto"/>
              <w:rPr>
                <w:rFonts w:ascii="宋体" w:hAnsi="宋体" w:cs="宋体"/>
                <w:kern w:val="0"/>
                <w:highlight w:val="none"/>
              </w:rPr>
            </w:pPr>
            <w:r>
              <w:rPr>
                <w:rFonts w:hint="eastAsia"/>
                <w:highlight w:val="none"/>
              </w:rPr>
              <w:t>本次招标</w:t>
            </w:r>
            <w:r>
              <w:rPr>
                <w:rFonts w:hint="eastAsia" w:ascii="宋体" w:hAnsi="宋体" w:cs="宋体"/>
                <w:kern w:val="0"/>
                <w:highlight w:val="none"/>
              </w:rPr>
              <w:t>接受</w:t>
            </w:r>
            <w:r>
              <w:rPr>
                <w:rFonts w:hint="eastAsia"/>
                <w:highlight w:val="none"/>
              </w:rPr>
              <w:t>联合体投标</w:t>
            </w:r>
            <w:r>
              <w:rPr>
                <w:rFonts w:hint="eastAsia" w:ascii="宋体" w:hAnsi="宋体" w:cs="宋体"/>
                <w:kern w:val="0"/>
                <w:highlight w:val="none"/>
              </w:rPr>
              <w:t>，应满足下列要求：</w:t>
            </w:r>
          </w:p>
          <w:p w14:paraId="5FC1F469">
            <w:pPr>
              <w:keepNext w:val="0"/>
              <w:keepLines w:val="0"/>
              <w:pageBreakBefore w:val="0"/>
              <w:widowControl/>
              <w:kinsoku/>
              <w:overflowPunct/>
              <w:topLinePunct w:val="0"/>
              <w:autoSpaceDE/>
              <w:autoSpaceDN/>
              <w:bidi w:val="0"/>
              <w:adjustRightInd w:val="0"/>
              <w:snapToGrid w:val="0"/>
              <w:spacing w:line="400" w:lineRule="exact"/>
              <w:jc w:val="left"/>
              <w:textAlignment w:val="auto"/>
              <w:rPr>
                <w:rFonts w:ascii="宋体" w:hAnsi="宋体" w:cs="宋体"/>
                <w:color w:val="000000"/>
                <w:kern w:val="0"/>
                <w:szCs w:val="21"/>
                <w:highlight w:val="none"/>
              </w:rPr>
            </w:pPr>
            <w:r>
              <w:rPr>
                <w:rFonts w:hint="eastAsia" w:ascii="宋体" w:hAnsi="宋体" w:cs="宋体"/>
                <w:bCs/>
                <w:color w:val="000000"/>
                <w:kern w:val="0"/>
                <w:szCs w:val="21"/>
                <w:highlight w:val="none"/>
                <w:lang w:val="en-US" w:eastAsia="zh-CN"/>
              </w:rPr>
              <w:t>1</w:t>
            </w:r>
            <w:r>
              <w:rPr>
                <w:rFonts w:hint="eastAsia" w:ascii="宋体" w:hAnsi="宋体" w:cs="宋体"/>
                <w:bCs/>
                <w:color w:val="000000"/>
                <w:kern w:val="0"/>
                <w:szCs w:val="21"/>
                <w:highlight w:val="none"/>
              </w:rPr>
              <w:t>、联合体参加投标的，</w:t>
            </w:r>
            <w:r>
              <w:rPr>
                <w:rFonts w:hint="eastAsia" w:ascii="宋体" w:hAnsi="宋体" w:cs="宋体"/>
                <w:b/>
                <w:color w:val="000000"/>
                <w:kern w:val="0"/>
                <w:szCs w:val="21"/>
                <w:highlight w:val="none"/>
              </w:rPr>
              <w:t xml:space="preserve">联合体（牵头方和成员方）总数不得超过 </w:t>
            </w:r>
            <w:r>
              <w:rPr>
                <w:rFonts w:hint="eastAsia" w:ascii="宋体" w:hAnsi="宋体" w:cs="宋体"/>
                <w:b/>
                <w:color w:val="000000"/>
                <w:kern w:val="0"/>
                <w:szCs w:val="21"/>
                <w:highlight w:val="none"/>
                <w:u w:val="single"/>
              </w:rPr>
              <w:t>2</w:t>
            </w:r>
            <w:r>
              <w:rPr>
                <w:rFonts w:hint="eastAsia" w:ascii="宋体" w:hAnsi="宋体" w:cs="宋体"/>
                <w:b/>
                <w:color w:val="000000"/>
                <w:kern w:val="0"/>
                <w:szCs w:val="21"/>
                <w:highlight w:val="none"/>
              </w:rPr>
              <w:t>家</w:t>
            </w:r>
            <w:r>
              <w:rPr>
                <w:color w:val="000000"/>
                <w:spacing w:val="-2"/>
                <w:szCs w:val="21"/>
                <w:highlight w:val="none"/>
              </w:rPr>
              <w:t>。</w:t>
            </w:r>
            <w:r>
              <w:rPr>
                <w:rFonts w:hint="eastAsia" w:ascii="宋体" w:hAnsi="宋体" w:cs="宋体"/>
                <w:bCs/>
                <w:color w:val="000000"/>
                <w:kern w:val="0"/>
                <w:szCs w:val="21"/>
                <w:highlight w:val="none"/>
              </w:rPr>
              <w:t>同一专业工程由一个单位承担的，按照承担单位资质确定资质等级；同一专业工程由两个单位共同承担的，按照资质等级较低的单位确定资质等级；不同专业工程由不同单位分别承担的，按照各单位的相应资质确定联合体</w:t>
            </w:r>
            <w:r>
              <w:rPr>
                <w:rFonts w:hint="eastAsia" w:ascii="宋体" w:hAnsi="宋体" w:cs="宋体"/>
                <w:color w:val="000000"/>
                <w:kern w:val="0"/>
                <w:szCs w:val="21"/>
                <w:highlight w:val="none"/>
              </w:rPr>
              <w:t>的资质。联合体牵头人和联合体成员按专业分工确定的联合体资质须满足招标文件的要求。</w:t>
            </w:r>
          </w:p>
          <w:p w14:paraId="6E89E2F3">
            <w:pPr>
              <w:keepNext w:val="0"/>
              <w:keepLines w:val="0"/>
              <w:pageBreakBefore w:val="0"/>
              <w:widowControl/>
              <w:kinsoku/>
              <w:overflowPunct/>
              <w:topLinePunct w:val="0"/>
              <w:autoSpaceDE/>
              <w:autoSpaceDN/>
              <w:bidi w:val="0"/>
              <w:adjustRightInd w:val="0"/>
              <w:snapToGrid w:val="0"/>
              <w:spacing w:line="400" w:lineRule="exact"/>
              <w:jc w:val="left"/>
              <w:textAlignment w:val="auto"/>
              <w:rPr>
                <w:rFonts w:ascii="宋体" w:hAnsi="宋体" w:cs="宋体"/>
                <w:color w:val="000000"/>
                <w:kern w:val="0"/>
                <w:szCs w:val="21"/>
                <w:highlight w:val="none"/>
              </w:rPr>
            </w:pPr>
            <w:r>
              <w:rPr>
                <w:rFonts w:hint="eastAsia" w:ascii="宋体" w:hAnsi="宋体" w:cs="宋体"/>
                <w:color w:val="000000"/>
                <w:kern w:val="0"/>
                <w:szCs w:val="21"/>
                <w:highlight w:val="none"/>
                <w:lang w:val="en-US" w:eastAsia="zh-CN"/>
              </w:rPr>
              <w:t>2</w:t>
            </w:r>
            <w:r>
              <w:rPr>
                <w:rFonts w:hint="eastAsia" w:ascii="宋体" w:hAnsi="宋体" w:cs="宋体"/>
                <w:color w:val="000000"/>
                <w:kern w:val="0"/>
                <w:szCs w:val="21"/>
                <w:highlight w:val="none"/>
              </w:rPr>
              <w:t>、联合体参加投标的，招标文件下载、投标文件编制、电子签章、网上递交标书等工作均由其牵头人负责办理，其他联合体成员方按招标文件要求提供相关材料即可。</w:t>
            </w:r>
          </w:p>
          <w:p w14:paraId="7ED6D8F7">
            <w:pPr>
              <w:keepNext w:val="0"/>
              <w:keepLines w:val="0"/>
              <w:pageBreakBefore w:val="0"/>
              <w:kinsoku/>
              <w:overflowPunct/>
              <w:topLinePunct w:val="0"/>
              <w:autoSpaceDE/>
              <w:autoSpaceDN/>
              <w:bidi w:val="0"/>
              <w:adjustRightInd w:val="0"/>
              <w:snapToGrid w:val="0"/>
              <w:spacing w:line="400" w:lineRule="exact"/>
              <w:textAlignment w:val="auto"/>
              <w:rPr>
                <w:rFonts w:ascii="宋体" w:hAnsi="宋体" w:cs="宋体"/>
                <w:color w:val="000000"/>
                <w:kern w:val="0"/>
                <w:szCs w:val="21"/>
                <w:highlight w:val="none"/>
              </w:rPr>
            </w:pPr>
            <w:r>
              <w:rPr>
                <w:rFonts w:hint="eastAsia" w:ascii="宋体" w:hAnsi="宋体" w:cs="宋体"/>
                <w:color w:val="000000"/>
                <w:kern w:val="0"/>
                <w:szCs w:val="21"/>
                <w:highlight w:val="none"/>
                <w:lang w:val="en-US" w:eastAsia="zh-CN"/>
              </w:rPr>
              <w:t>3</w:t>
            </w:r>
            <w:r>
              <w:rPr>
                <w:rFonts w:hint="eastAsia" w:ascii="宋体" w:hAnsi="宋体" w:cs="宋体"/>
                <w:color w:val="000000"/>
                <w:kern w:val="0"/>
                <w:szCs w:val="21"/>
                <w:highlight w:val="none"/>
              </w:rPr>
              <w:t>、联合体参加投标的，一旦中标，联合体各方将向招标人承担连带责任，各方应服从招标人的管理。</w:t>
            </w:r>
          </w:p>
          <w:p w14:paraId="72F58AD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1"/>
                <w:szCs w:val="21"/>
                <w:highlight w:val="none"/>
              </w:rPr>
            </w:pPr>
            <w:r>
              <w:rPr>
                <w:rFonts w:hint="eastAsia" w:ascii="宋体" w:hAnsi="宋体" w:cs="宋体"/>
                <w:color w:val="000000"/>
                <w:kern w:val="0"/>
                <w:szCs w:val="21"/>
                <w:highlight w:val="none"/>
                <w:lang w:val="en-US" w:eastAsia="zh-CN"/>
              </w:rPr>
              <w:t>4</w:t>
            </w:r>
            <w:r>
              <w:rPr>
                <w:rFonts w:hint="eastAsia" w:ascii="宋体" w:hAnsi="宋体" w:cs="宋体"/>
                <w:color w:val="000000"/>
                <w:kern w:val="0"/>
                <w:szCs w:val="21"/>
                <w:highlight w:val="none"/>
              </w:rPr>
              <w:t>、联合体牵头人及成员单位共同对所提交的投标文件及相关证书材料的真实合规性负责。</w:t>
            </w:r>
          </w:p>
        </w:tc>
      </w:tr>
      <w:tr w14:paraId="7DAEB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44733C9">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多标段投标</w:t>
            </w:r>
          </w:p>
        </w:tc>
        <w:tc>
          <w:tcPr>
            <w:tcW w:w="7997" w:type="dxa"/>
            <w:noWrap w:val="0"/>
            <w:vAlign w:val="center"/>
          </w:tcPr>
          <w:p w14:paraId="42579C26">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w:t>
            </w:r>
          </w:p>
        </w:tc>
      </w:tr>
      <w:tr w14:paraId="23297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2E77D0C0">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招标文件的获取</w:t>
            </w:r>
          </w:p>
        </w:tc>
      </w:tr>
      <w:tr w14:paraId="1729B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33" w:type="dxa"/>
            <w:noWrap w:val="0"/>
            <w:vAlign w:val="center"/>
          </w:tcPr>
          <w:p w14:paraId="00B9B13C">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获取时间</w:t>
            </w:r>
          </w:p>
        </w:tc>
        <w:tc>
          <w:tcPr>
            <w:tcW w:w="7997" w:type="dxa"/>
            <w:noWrap w:val="0"/>
            <w:vAlign w:val="center"/>
          </w:tcPr>
          <w:p w14:paraId="257A5F9C">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u w:val="single"/>
                <w:lang w:val="en-US" w:eastAsia="zh-CN"/>
              </w:rPr>
              <w:t>202</w:t>
            </w:r>
            <w:r>
              <w:rPr>
                <w:rFonts w:hint="eastAsia" w:ascii="宋体" w:hAnsi="宋体" w:cs="宋体"/>
                <w:bCs/>
                <w:snapToGrid w:val="0"/>
                <w:color w:val="000000"/>
                <w:kern w:val="0"/>
                <w:szCs w:val="21"/>
                <w:highlight w:val="none"/>
                <w:u w:val="single"/>
                <w:lang w:val="en-US" w:eastAsia="zh-CN"/>
              </w:rPr>
              <w:t>5</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年</w:t>
            </w:r>
            <w:r>
              <w:rPr>
                <w:rFonts w:hint="eastAsia" w:ascii="宋体" w:hAnsi="宋体" w:cs="宋体"/>
                <w:bCs/>
                <w:snapToGrid w:val="0"/>
                <w:color w:val="000000"/>
                <w:kern w:val="0"/>
                <w:szCs w:val="21"/>
                <w:highlight w:val="none"/>
                <w:u w:val="single"/>
                <w:lang w:val="en-US" w:eastAsia="zh-CN"/>
              </w:rPr>
              <w:t xml:space="preserve"> 8 </w:t>
            </w:r>
            <w:r>
              <w:rPr>
                <w:rFonts w:hint="eastAsia" w:ascii="宋体" w:hAnsi="宋体" w:eastAsia="宋体" w:cs="宋体"/>
                <w:bCs/>
                <w:snapToGrid w:val="0"/>
                <w:color w:val="000000"/>
                <w:kern w:val="0"/>
                <w:szCs w:val="21"/>
                <w:highlight w:val="none"/>
              </w:rPr>
              <w:t>月</w:t>
            </w:r>
            <w:r>
              <w:rPr>
                <w:rFonts w:hint="eastAsia" w:ascii="宋体" w:hAnsi="宋体" w:cs="宋体"/>
                <w:bCs/>
                <w:snapToGrid w:val="0"/>
                <w:color w:val="000000"/>
                <w:kern w:val="0"/>
                <w:szCs w:val="21"/>
                <w:highlight w:val="none"/>
                <w:u w:val="single"/>
                <w:lang w:val="en-US" w:eastAsia="zh-CN"/>
              </w:rPr>
              <w:t xml:space="preserve"> 15 </w:t>
            </w:r>
            <w:r>
              <w:rPr>
                <w:rFonts w:hint="eastAsia" w:ascii="宋体" w:hAnsi="宋体" w:eastAsia="宋体" w:cs="宋体"/>
                <w:bCs/>
                <w:snapToGrid w:val="0"/>
                <w:color w:val="000000"/>
                <w:kern w:val="0"/>
                <w:szCs w:val="21"/>
                <w:highlight w:val="none"/>
              </w:rPr>
              <w:t>日</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u w:val="single"/>
                <w:lang w:val="en-US" w:eastAsia="zh-CN"/>
              </w:rPr>
              <w:t>17</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时</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u w:val="single"/>
                <w:lang w:val="en-US" w:eastAsia="zh-CN"/>
              </w:rPr>
              <w:t>00</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分至</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u w:val="single"/>
                <w:lang w:val="en-US" w:eastAsia="zh-CN"/>
              </w:rPr>
              <w:t>202</w:t>
            </w:r>
            <w:r>
              <w:rPr>
                <w:rFonts w:hint="eastAsia" w:ascii="宋体" w:hAnsi="宋体" w:cs="宋体"/>
                <w:bCs/>
                <w:snapToGrid w:val="0"/>
                <w:color w:val="000000"/>
                <w:kern w:val="0"/>
                <w:szCs w:val="21"/>
                <w:highlight w:val="none"/>
                <w:u w:val="single"/>
                <w:lang w:val="en-US" w:eastAsia="zh-CN"/>
              </w:rPr>
              <w:t>5</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年</w:t>
            </w:r>
            <w:r>
              <w:rPr>
                <w:rFonts w:hint="eastAsia" w:ascii="宋体" w:hAnsi="宋体" w:cs="宋体"/>
                <w:bCs/>
                <w:snapToGrid w:val="0"/>
                <w:color w:val="000000"/>
                <w:kern w:val="0"/>
                <w:szCs w:val="21"/>
                <w:highlight w:val="none"/>
                <w:u w:val="single"/>
                <w:lang w:val="en-US" w:eastAsia="zh-CN"/>
              </w:rPr>
              <w:t xml:space="preserve"> 9 </w:t>
            </w:r>
            <w:r>
              <w:rPr>
                <w:rFonts w:hint="eastAsia" w:ascii="宋体" w:hAnsi="宋体" w:eastAsia="宋体" w:cs="宋体"/>
                <w:bCs/>
                <w:snapToGrid w:val="0"/>
                <w:color w:val="000000"/>
                <w:kern w:val="0"/>
                <w:szCs w:val="21"/>
                <w:highlight w:val="none"/>
              </w:rPr>
              <w:t>月</w:t>
            </w:r>
            <w:r>
              <w:rPr>
                <w:rFonts w:hint="eastAsia" w:ascii="宋体" w:hAnsi="宋体" w:cs="宋体"/>
                <w:bCs/>
                <w:snapToGrid w:val="0"/>
                <w:color w:val="000000"/>
                <w:kern w:val="0"/>
                <w:szCs w:val="21"/>
                <w:highlight w:val="none"/>
                <w:u w:val="single"/>
                <w:lang w:val="en-US" w:eastAsia="zh-CN"/>
              </w:rPr>
              <w:t xml:space="preserve"> 5 </w:t>
            </w:r>
            <w:r>
              <w:rPr>
                <w:rFonts w:hint="eastAsia" w:ascii="宋体" w:hAnsi="宋体" w:eastAsia="宋体" w:cs="宋体"/>
                <w:bCs/>
                <w:snapToGrid w:val="0"/>
                <w:color w:val="000000"/>
                <w:kern w:val="0"/>
                <w:szCs w:val="21"/>
                <w:highlight w:val="none"/>
              </w:rPr>
              <w:t>日</w:t>
            </w:r>
            <w:r>
              <w:rPr>
                <w:rFonts w:hint="eastAsia" w:ascii="宋体" w:hAnsi="宋体" w:eastAsia="宋体" w:cs="宋体"/>
                <w:bCs/>
                <w:snapToGrid w:val="0"/>
                <w:color w:val="000000"/>
                <w:kern w:val="0"/>
                <w:szCs w:val="21"/>
                <w:highlight w:val="none"/>
                <w:u w:val="single"/>
              </w:rPr>
              <w:t xml:space="preserve"> </w:t>
            </w:r>
            <w:r>
              <w:rPr>
                <w:rFonts w:hint="eastAsia" w:ascii="宋体" w:hAnsi="宋体" w:cs="宋体"/>
                <w:bCs/>
                <w:snapToGrid w:val="0"/>
                <w:color w:val="000000"/>
                <w:kern w:val="0"/>
                <w:szCs w:val="21"/>
                <w:highlight w:val="none"/>
                <w:u w:val="single"/>
                <w:lang w:val="en-US" w:eastAsia="zh-CN"/>
              </w:rPr>
              <w:t>15</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时</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u w:val="single"/>
                <w:lang w:val="en-US" w:eastAsia="zh-CN"/>
              </w:rPr>
              <w:t>00</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分。</w:t>
            </w:r>
          </w:p>
        </w:tc>
      </w:tr>
      <w:tr w14:paraId="1AFD9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30724589">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cs="宋体"/>
                <w:color w:val="000000"/>
                <w:kern w:val="0"/>
                <w:szCs w:val="21"/>
                <w:highlight w:val="none"/>
              </w:rPr>
              <w:t>获取方式</w:t>
            </w:r>
          </w:p>
        </w:tc>
        <w:tc>
          <w:tcPr>
            <w:tcW w:w="7997" w:type="dxa"/>
            <w:noWrap w:val="0"/>
            <w:vAlign w:val="center"/>
          </w:tcPr>
          <w:p w14:paraId="1CA3EC44">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rPr>
            </w:pPr>
            <w:r>
              <w:rPr>
                <w:rFonts w:hint="eastAsia" w:ascii="Times New Roman" w:hAnsi="Times New Roman" w:eastAsia="宋体" w:cs="Times New Roman"/>
                <w:highlight w:val="none"/>
                <w:lang w:val="en-US" w:eastAsia="zh-CN"/>
              </w:rPr>
              <w:t>请于公告发布之日起从</w:t>
            </w:r>
            <w:r>
              <w:rPr>
                <w:rFonts w:hint="eastAsia" w:ascii="宋体" w:hAnsi="宋体" w:cs="宋体"/>
                <w:color w:val="auto"/>
                <w:szCs w:val="21"/>
                <w:highlight w:val="none"/>
                <w:lang w:eastAsia="zh-CN"/>
              </w:rPr>
              <w:t>滁州市扬子工业投资集团有限公司官网（https://czyzgtjt.com/）、滁州市城投工程咨询管理有限公司（https://www.czctgczx.com/）</w:t>
            </w:r>
            <w:r>
              <w:rPr>
                <w:rFonts w:hint="eastAsia" w:ascii="Times New Roman" w:hAnsi="Times New Roman" w:eastAsia="宋体" w:cs="Times New Roman"/>
                <w:highlight w:val="none"/>
                <w:lang w:val="en-US" w:eastAsia="zh-CN"/>
              </w:rPr>
              <w:t>下载</w:t>
            </w:r>
          </w:p>
        </w:tc>
      </w:tr>
      <w:tr w14:paraId="552DC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77C699FD">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招标公告发布时间</w:t>
            </w:r>
          </w:p>
        </w:tc>
        <w:tc>
          <w:tcPr>
            <w:tcW w:w="7997" w:type="dxa"/>
            <w:noWrap w:val="0"/>
            <w:vAlign w:val="center"/>
          </w:tcPr>
          <w:p w14:paraId="0CB3AD82">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rPr>
              <w:t>20</w:t>
            </w:r>
            <w:r>
              <w:rPr>
                <w:rFonts w:hint="eastAsia" w:ascii="宋体" w:hAnsi="宋体" w:eastAsia="宋体" w:cs="宋体"/>
                <w:color w:val="auto"/>
                <w:szCs w:val="21"/>
                <w:highlight w:val="none"/>
                <w:lang w:val="en-US" w:eastAsia="zh-CN"/>
              </w:rPr>
              <w:t>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8</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15</w:t>
            </w:r>
            <w:r>
              <w:rPr>
                <w:rFonts w:hint="eastAsia" w:ascii="宋体" w:hAnsi="宋体" w:eastAsia="宋体" w:cs="宋体"/>
                <w:color w:val="auto"/>
                <w:szCs w:val="21"/>
                <w:highlight w:val="none"/>
              </w:rPr>
              <w:t>日</w:t>
            </w:r>
          </w:p>
        </w:tc>
      </w:tr>
      <w:tr w14:paraId="2E377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7B970DA1">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投标文件递交的截止时间</w:t>
            </w:r>
          </w:p>
        </w:tc>
        <w:tc>
          <w:tcPr>
            <w:tcW w:w="7997" w:type="dxa"/>
            <w:noWrap w:val="0"/>
            <w:vAlign w:val="center"/>
          </w:tcPr>
          <w:p w14:paraId="78350ADB">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202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年</w:t>
            </w:r>
            <w:r>
              <w:rPr>
                <w:rFonts w:hint="eastAsia" w:ascii="宋体" w:hAnsi="宋体" w:cs="宋体"/>
                <w:color w:val="auto"/>
                <w:szCs w:val="21"/>
                <w:highlight w:val="none"/>
                <w:lang w:val="en-US" w:eastAsia="zh-CN"/>
              </w:rPr>
              <w:t>9</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日</w:t>
            </w:r>
            <w:r>
              <w:rPr>
                <w:rFonts w:hint="eastAsia" w:ascii="宋体" w:hAnsi="宋体" w:cs="宋体"/>
                <w:color w:val="auto"/>
                <w:szCs w:val="21"/>
                <w:highlight w:val="none"/>
                <w:lang w:val="en-US" w:eastAsia="zh-CN"/>
              </w:rPr>
              <w:t>15</w:t>
            </w:r>
            <w:r>
              <w:rPr>
                <w:rFonts w:hint="eastAsia" w:ascii="宋体" w:hAnsi="宋体" w:eastAsia="宋体" w:cs="宋体"/>
                <w:color w:val="auto"/>
                <w:szCs w:val="21"/>
                <w:highlight w:val="none"/>
                <w:lang w:val="en-US" w:eastAsia="zh-CN"/>
              </w:rPr>
              <w:t>时00分</w:t>
            </w:r>
          </w:p>
        </w:tc>
      </w:tr>
      <w:tr w14:paraId="1D302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4CC335A0">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投标文件递交的方式</w:t>
            </w:r>
          </w:p>
        </w:tc>
        <w:tc>
          <w:tcPr>
            <w:tcW w:w="7997" w:type="dxa"/>
            <w:noWrap w:val="0"/>
            <w:vAlign w:val="center"/>
          </w:tcPr>
          <w:p w14:paraId="61B61AB5">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s="Times New Roman"/>
                <w:highlight w:val="none"/>
                <w:lang w:val="en-US" w:eastAsia="zh-CN"/>
              </w:rPr>
            </w:pPr>
            <w:r>
              <w:rPr>
                <w:rFonts w:hint="eastAsia" w:ascii="宋体" w:hAnsi="宋体" w:eastAsia="宋体" w:cs="宋体"/>
                <w:color w:val="auto"/>
                <w:szCs w:val="21"/>
                <w:highlight w:val="none"/>
                <w:lang w:val="en-US" w:eastAsia="zh-CN"/>
              </w:rPr>
              <w:t>①投标人须在投标文件截止时间前将投标文件以电子邮件的方式一次性发送至滁州市城投工程咨询管理有限公司邮箱（czsctgczx@163.com），投标文件格式限定为加密PDF格式，将文件命名为“投标单位名称（联系人及联系电话）+项目名称”，在提交投标文件截止时间后送达的投标文件将被拒绝，投标文件送达时间以滁州市城投工程咨询管理有限公司邮箱显示的邮件送达时间为准。若投标人重复发送电子投标文件的，将以投标文件截止时间前最后收到的投标文件为准。若投标文件无法打开的，投标文件将被拒绝。②在投标截止时间后30分钟内，将投标文件密码通过邮箱发送至滁州市城投工程咨询管理有限公司邮箱（czsctgczx@163.com），未在规定时间内发送密码或发送的密码无法正确打开投标文件的，投标文件将被拒绝。</w:t>
            </w:r>
          </w:p>
        </w:tc>
      </w:tr>
      <w:tr w14:paraId="7CED5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933" w:type="dxa"/>
            <w:noWrap w:val="0"/>
            <w:vAlign w:val="center"/>
          </w:tcPr>
          <w:p w14:paraId="746D341E">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开标时间</w:t>
            </w:r>
          </w:p>
        </w:tc>
        <w:tc>
          <w:tcPr>
            <w:tcW w:w="7997" w:type="dxa"/>
            <w:noWrap w:val="0"/>
            <w:vAlign w:val="center"/>
          </w:tcPr>
          <w:p w14:paraId="1DA66740">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2025年</w:t>
            </w:r>
            <w:r>
              <w:rPr>
                <w:rFonts w:hint="eastAsia" w:ascii="宋体" w:hAnsi="宋体" w:cs="宋体"/>
                <w:highlight w:val="none"/>
                <w:lang w:val="en-US" w:eastAsia="zh-CN"/>
              </w:rPr>
              <w:t>9</w:t>
            </w:r>
            <w:r>
              <w:rPr>
                <w:rFonts w:hint="eastAsia" w:ascii="宋体" w:hAnsi="宋体" w:eastAsia="宋体" w:cs="宋体"/>
                <w:highlight w:val="none"/>
                <w:lang w:val="en-US" w:eastAsia="zh-CN"/>
              </w:rPr>
              <w:t>月</w:t>
            </w:r>
            <w:r>
              <w:rPr>
                <w:rFonts w:hint="eastAsia" w:ascii="宋体" w:hAnsi="宋体" w:cs="宋体"/>
                <w:highlight w:val="none"/>
                <w:lang w:val="en-US" w:eastAsia="zh-CN"/>
              </w:rPr>
              <w:t>5</w:t>
            </w:r>
            <w:r>
              <w:rPr>
                <w:rFonts w:hint="eastAsia" w:ascii="宋体" w:hAnsi="宋体" w:eastAsia="宋体" w:cs="宋体"/>
                <w:highlight w:val="none"/>
                <w:lang w:val="en-US" w:eastAsia="zh-CN"/>
              </w:rPr>
              <w:t>日15时00分</w:t>
            </w:r>
          </w:p>
        </w:tc>
      </w:tr>
      <w:tr w14:paraId="5C7D4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933" w:type="dxa"/>
            <w:noWrap w:val="0"/>
            <w:vAlign w:val="center"/>
          </w:tcPr>
          <w:p w14:paraId="77B6227A">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开标地点</w:t>
            </w:r>
          </w:p>
        </w:tc>
        <w:tc>
          <w:tcPr>
            <w:tcW w:w="7997" w:type="dxa"/>
            <w:noWrap w:val="0"/>
            <w:vAlign w:val="center"/>
          </w:tcPr>
          <w:p w14:paraId="5E8A35B5">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滁州市城投工程咨询管理有限公司六楼603会议室（滁州市龙蟠大道109号房产商务大厦）</w:t>
            </w:r>
          </w:p>
        </w:tc>
      </w:tr>
      <w:tr w14:paraId="4E312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59163777">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招标文件</w:t>
            </w:r>
            <w:r>
              <w:rPr>
                <w:rFonts w:hint="eastAsia" w:ascii="宋体" w:hAnsi="宋体" w:cs="宋体"/>
                <w:color w:val="auto"/>
                <w:sz w:val="21"/>
                <w:szCs w:val="21"/>
                <w:highlight w:val="none"/>
                <w:lang w:val="en-US" w:eastAsia="zh-CN"/>
              </w:rPr>
              <w:t>售价</w:t>
            </w:r>
          </w:p>
        </w:tc>
        <w:tc>
          <w:tcPr>
            <w:tcW w:w="7997" w:type="dxa"/>
            <w:noWrap w:val="0"/>
            <w:vAlign w:val="center"/>
          </w:tcPr>
          <w:p w14:paraId="0FF1405C">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0元</w:t>
            </w:r>
          </w:p>
        </w:tc>
      </w:tr>
      <w:tr w14:paraId="7177A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7C4373F">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发布公告的媒介</w:t>
            </w:r>
          </w:p>
        </w:tc>
        <w:tc>
          <w:tcPr>
            <w:tcW w:w="7997" w:type="dxa"/>
            <w:noWrap w:val="0"/>
            <w:vAlign w:val="center"/>
          </w:tcPr>
          <w:p w14:paraId="50C6D68C">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滁州市扬子工业投资集团有限公司官网（https://czyzgtjt.com/）、</w:t>
            </w:r>
            <w:r>
              <w:rPr>
                <w:rFonts w:hint="eastAsia" w:ascii="Times New Roman" w:hAnsi="Times New Roman" w:eastAsia="宋体" w:cs="Times New Roman"/>
                <w:highlight w:val="none"/>
                <w:lang w:val="en-US" w:eastAsia="zh-CN"/>
              </w:rPr>
              <w:t>滁州市城投工程咨询管理有限公司（https://www.czctgczx.com/）</w:t>
            </w:r>
          </w:p>
        </w:tc>
      </w:tr>
      <w:tr w14:paraId="0857C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1930D497">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sz w:val="21"/>
                <w:szCs w:val="21"/>
                <w:highlight w:val="none"/>
              </w:rPr>
              <w:t>投标保证金收取</w:t>
            </w:r>
          </w:p>
        </w:tc>
      </w:tr>
      <w:tr w14:paraId="453B2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FC7C453">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保证金收取</w:t>
            </w:r>
          </w:p>
        </w:tc>
        <w:tc>
          <w:tcPr>
            <w:tcW w:w="7997" w:type="dxa"/>
            <w:noWrap w:val="0"/>
            <w:vAlign w:val="center"/>
          </w:tcPr>
          <w:p w14:paraId="31D7CE21">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olor w:val="auto"/>
                <w:szCs w:val="21"/>
                <w:highlight w:val="none"/>
              </w:rPr>
              <w:t>不要求投标人提交投标保证金。</w:t>
            </w:r>
          </w:p>
        </w:tc>
      </w:tr>
      <w:tr w14:paraId="711C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05DB97D6">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联系方式</w:t>
            </w:r>
          </w:p>
        </w:tc>
      </w:tr>
      <w:tr w14:paraId="6F247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42E16C3F">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招标人名称</w:t>
            </w:r>
          </w:p>
        </w:tc>
        <w:tc>
          <w:tcPr>
            <w:tcW w:w="7997" w:type="dxa"/>
            <w:noWrap w:val="0"/>
            <w:vAlign w:val="center"/>
          </w:tcPr>
          <w:p w14:paraId="2D2A6C29">
            <w:pPr>
              <w:keepNext w:val="0"/>
              <w:keepLines w:val="0"/>
              <w:pageBreakBefore w:val="0"/>
              <w:widowControl/>
              <w:shd w:val="clear" w:color="auto" w:fill="auto"/>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 xml:space="preserve">滁州工投新能源开发有限公司 </w:t>
            </w:r>
          </w:p>
        </w:tc>
      </w:tr>
      <w:tr w14:paraId="5C15C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28A63B0F">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招标人地址</w:t>
            </w:r>
          </w:p>
        </w:tc>
        <w:tc>
          <w:tcPr>
            <w:tcW w:w="7997" w:type="dxa"/>
            <w:noWrap w:val="0"/>
            <w:vAlign w:val="center"/>
          </w:tcPr>
          <w:p w14:paraId="721F56AB">
            <w:pPr>
              <w:keepNext w:val="0"/>
              <w:keepLines w:val="0"/>
              <w:pageBreakBefore w:val="0"/>
              <w:widowControl/>
              <w:shd w:val="clear" w:color="auto" w:fill="auto"/>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滁州市醉翁路与中都大道交叉口西南侧城投大厦</w:t>
            </w:r>
            <w:r>
              <w:rPr>
                <w:rFonts w:hint="eastAsia" w:ascii="宋体" w:hAnsi="宋体" w:eastAsia="宋体" w:cs="宋体"/>
                <w:color w:val="auto"/>
                <w:kern w:val="0"/>
                <w:sz w:val="21"/>
                <w:szCs w:val="21"/>
                <w:highlight w:val="none"/>
                <w:lang w:val="en-US" w:eastAsia="zh-CN"/>
              </w:rPr>
              <w:t>13楼</w:t>
            </w:r>
          </w:p>
        </w:tc>
      </w:tr>
      <w:tr w14:paraId="53D11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C32FFCA">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招标人联系人</w:t>
            </w:r>
          </w:p>
        </w:tc>
        <w:tc>
          <w:tcPr>
            <w:tcW w:w="7997" w:type="dxa"/>
            <w:noWrap w:val="0"/>
            <w:vAlign w:val="center"/>
          </w:tcPr>
          <w:p w14:paraId="0CA615D4">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李工</w:t>
            </w:r>
          </w:p>
        </w:tc>
      </w:tr>
      <w:tr w14:paraId="79E3C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C0D56E8">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招标人电话</w:t>
            </w:r>
          </w:p>
        </w:tc>
        <w:tc>
          <w:tcPr>
            <w:tcW w:w="7997" w:type="dxa"/>
            <w:noWrap w:val="0"/>
            <w:vAlign w:val="center"/>
          </w:tcPr>
          <w:p w14:paraId="0786EC85">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0550-3018358、19355082836</w:t>
            </w:r>
          </w:p>
        </w:tc>
      </w:tr>
      <w:tr w14:paraId="555FA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D32F697">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招标代理机构名称</w:t>
            </w:r>
          </w:p>
        </w:tc>
        <w:tc>
          <w:tcPr>
            <w:tcW w:w="7997" w:type="dxa"/>
            <w:noWrap w:val="0"/>
            <w:vAlign w:val="center"/>
          </w:tcPr>
          <w:p w14:paraId="6FF9C0EE">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滁州市城投工程咨询管理有限公司</w:t>
            </w:r>
          </w:p>
        </w:tc>
      </w:tr>
      <w:tr w14:paraId="2D8B7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5C1F41F8">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招标代理机构地址</w:t>
            </w:r>
          </w:p>
        </w:tc>
        <w:tc>
          <w:tcPr>
            <w:tcW w:w="7997" w:type="dxa"/>
            <w:noWrap w:val="0"/>
            <w:vAlign w:val="center"/>
          </w:tcPr>
          <w:p w14:paraId="6D12C6BB">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highlight w:val="none"/>
              </w:rPr>
              <w:t>滁州市龙蟠大道109号房产大厦6楼</w:t>
            </w:r>
            <w:r>
              <w:rPr>
                <w:rFonts w:hint="eastAsia" w:ascii="宋体" w:hAnsi="宋体" w:eastAsia="宋体" w:cs="宋体"/>
                <w:color w:val="auto"/>
                <w:sz w:val="21"/>
                <w:szCs w:val="21"/>
                <w:highlight w:val="none"/>
                <w:lang w:val="en-US" w:eastAsia="zh-CN"/>
              </w:rPr>
              <w:t>605室</w:t>
            </w:r>
          </w:p>
        </w:tc>
      </w:tr>
      <w:tr w14:paraId="5ECC4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59B20423">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招标代理机构    联系人</w:t>
            </w:r>
          </w:p>
        </w:tc>
        <w:tc>
          <w:tcPr>
            <w:tcW w:w="7997" w:type="dxa"/>
            <w:noWrap w:val="0"/>
            <w:vAlign w:val="center"/>
          </w:tcPr>
          <w:p w14:paraId="508420A3">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周蓓蕾</w:t>
            </w:r>
          </w:p>
        </w:tc>
      </w:tr>
      <w:tr w14:paraId="2DBA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4D7E1BD9">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代理机构电话</w:t>
            </w:r>
          </w:p>
        </w:tc>
        <w:tc>
          <w:tcPr>
            <w:tcW w:w="7997" w:type="dxa"/>
            <w:noWrap w:val="0"/>
            <w:vAlign w:val="center"/>
          </w:tcPr>
          <w:p w14:paraId="57DEDBE8">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0550-3519519</w:t>
            </w:r>
            <w:r>
              <w:rPr>
                <w:rFonts w:hint="eastAsia" w:ascii="宋体" w:hAnsi="宋体" w:eastAsia="宋体" w:cs="宋体"/>
                <w:color w:val="auto"/>
                <w:sz w:val="21"/>
                <w:szCs w:val="21"/>
                <w:highlight w:val="none"/>
                <w:lang w:val="en-US" w:eastAsia="zh-CN"/>
              </w:rPr>
              <w:t>、18005505728</w:t>
            </w:r>
          </w:p>
        </w:tc>
      </w:tr>
      <w:tr w14:paraId="6A8C2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E12FD78">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default" w:ascii="宋体" w:hAnsi="宋体" w:eastAsia="宋体" w:cs="宋体"/>
                <w:bCs/>
                <w:color w:val="auto"/>
                <w:spacing w:val="-6"/>
                <w:sz w:val="21"/>
                <w:szCs w:val="21"/>
                <w:highlight w:val="none"/>
                <w:lang w:val="en-US" w:eastAsia="zh-CN"/>
              </w:rPr>
            </w:pPr>
            <w:r>
              <w:rPr>
                <w:rFonts w:hint="eastAsia" w:ascii="宋体" w:hAnsi="宋体" w:cs="宋体"/>
                <w:bCs/>
                <w:color w:val="auto"/>
                <w:spacing w:val="-6"/>
                <w:sz w:val="21"/>
                <w:szCs w:val="21"/>
                <w:highlight w:val="none"/>
                <w:lang w:val="en-US" w:eastAsia="zh-CN"/>
              </w:rPr>
              <w:t>监督电话</w:t>
            </w:r>
          </w:p>
        </w:tc>
        <w:tc>
          <w:tcPr>
            <w:tcW w:w="7997" w:type="dxa"/>
            <w:noWrap w:val="0"/>
            <w:vAlign w:val="center"/>
          </w:tcPr>
          <w:p w14:paraId="03BDE3CE">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0550-3017855</w:t>
            </w:r>
          </w:p>
        </w:tc>
      </w:tr>
    </w:tbl>
    <w:p w14:paraId="2FE0DF3B">
      <w:pPr>
        <w:jc w:val="left"/>
        <w:rPr>
          <w:highlight w:val="none"/>
        </w:rPr>
      </w:pPr>
    </w:p>
    <w:p w14:paraId="32A53F0D">
      <w:pPr>
        <w:pStyle w:val="44"/>
        <w:spacing w:beforeLines="50" w:afterLines="50" w:line="440" w:lineRule="exact"/>
        <w:rPr>
          <w:bCs/>
          <w:szCs w:val="32"/>
          <w:highlight w:val="none"/>
        </w:rPr>
      </w:pPr>
      <w:bookmarkStart w:id="32" w:name="_Toc78803321"/>
      <w:r>
        <w:rPr>
          <w:rFonts w:hint="eastAsia"/>
          <w:bCs/>
          <w:szCs w:val="32"/>
          <w:highlight w:val="none"/>
        </w:rPr>
        <w:br w:type="page"/>
      </w:r>
      <w:r>
        <w:rPr>
          <w:rFonts w:hint="eastAsia"/>
          <w:bCs/>
          <w:szCs w:val="32"/>
          <w:highlight w:val="none"/>
        </w:rPr>
        <w:t>第</w:t>
      </w:r>
      <w:r>
        <w:rPr>
          <w:rFonts w:hint="eastAsia"/>
          <w:bCs/>
          <w:szCs w:val="32"/>
          <w:highlight w:val="none"/>
          <w:lang w:val="en-US" w:eastAsia="zh-CN"/>
        </w:rPr>
        <w:t>二</w:t>
      </w:r>
      <w:r>
        <w:rPr>
          <w:rFonts w:hint="eastAsia"/>
          <w:bCs/>
          <w:szCs w:val="32"/>
          <w:highlight w:val="none"/>
        </w:rPr>
        <w:t>章  投标人须知</w:t>
      </w:r>
      <w:bookmarkEnd w:id="20"/>
      <w:bookmarkEnd w:id="21"/>
      <w:bookmarkEnd w:id="22"/>
      <w:bookmarkEnd w:id="23"/>
      <w:bookmarkEnd w:id="24"/>
      <w:bookmarkEnd w:id="25"/>
      <w:bookmarkEnd w:id="26"/>
      <w:bookmarkEnd w:id="27"/>
      <w:bookmarkEnd w:id="28"/>
      <w:bookmarkEnd w:id="29"/>
      <w:bookmarkEnd w:id="30"/>
      <w:bookmarkEnd w:id="31"/>
      <w:bookmarkEnd w:id="32"/>
    </w:p>
    <w:p w14:paraId="594BBBF6">
      <w:pPr>
        <w:spacing w:beforeLines="50" w:afterLines="50" w:line="440" w:lineRule="exact"/>
        <w:jc w:val="center"/>
        <w:rPr>
          <w:b/>
          <w:bCs/>
          <w:sz w:val="28"/>
          <w:szCs w:val="28"/>
          <w:highlight w:val="none"/>
        </w:rPr>
      </w:pPr>
      <w:bookmarkStart w:id="33" w:name="_Toc35425051"/>
      <w:bookmarkStart w:id="34" w:name="_Toc506107268"/>
      <w:bookmarkStart w:id="35" w:name="_Toc35424884"/>
      <w:bookmarkStart w:id="36" w:name="_Toc15058845"/>
      <w:bookmarkStart w:id="37" w:name="_Toc144974496"/>
      <w:bookmarkStart w:id="38" w:name="_Toc246996917"/>
      <w:bookmarkStart w:id="39" w:name="_Toc247085688"/>
      <w:bookmarkStart w:id="40" w:name="_Toc152042304"/>
      <w:bookmarkStart w:id="41" w:name="_Toc324404814"/>
      <w:bookmarkStart w:id="42" w:name="_Toc246996174"/>
      <w:bookmarkStart w:id="43" w:name="_Toc152045528"/>
      <w:bookmarkStart w:id="44" w:name="_Toc179632545"/>
      <w:r>
        <w:rPr>
          <w:rFonts w:hint="eastAsia"/>
          <w:b/>
          <w:bCs/>
          <w:sz w:val="28"/>
          <w:szCs w:val="28"/>
          <w:highlight w:val="none"/>
        </w:rPr>
        <w:t>投标人须知前附表</w:t>
      </w:r>
      <w:bookmarkEnd w:id="33"/>
      <w:bookmarkEnd w:id="34"/>
      <w:bookmarkEnd w:id="35"/>
      <w:bookmarkEnd w:id="36"/>
      <w:bookmarkEnd w:id="37"/>
      <w:bookmarkEnd w:id="38"/>
      <w:bookmarkEnd w:id="39"/>
      <w:bookmarkEnd w:id="40"/>
      <w:bookmarkEnd w:id="41"/>
      <w:bookmarkEnd w:id="42"/>
      <w:bookmarkEnd w:id="43"/>
      <w:bookmarkEnd w:id="44"/>
    </w:p>
    <w:tbl>
      <w:tblPr>
        <w:tblStyle w:val="47"/>
        <w:tblW w:w="10328" w:type="dxa"/>
        <w:jc w:val="center"/>
        <w:tblLayout w:type="fixed"/>
        <w:tblCellMar>
          <w:top w:w="0" w:type="dxa"/>
          <w:left w:w="108" w:type="dxa"/>
          <w:bottom w:w="0" w:type="dxa"/>
          <w:right w:w="108" w:type="dxa"/>
        </w:tblCellMar>
      </w:tblPr>
      <w:tblGrid>
        <w:gridCol w:w="868"/>
        <w:gridCol w:w="910"/>
        <w:gridCol w:w="1299"/>
        <w:gridCol w:w="7251"/>
      </w:tblGrid>
      <w:tr w14:paraId="37A3BBD6">
        <w:tblPrEx>
          <w:tblCellMar>
            <w:top w:w="0" w:type="dxa"/>
            <w:left w:w="108" w:type="dxa"/>
            <w:bottom w:w="0" w:type="dxa"/>
            <w:right w:w="108" w:type="dxa"/>
          </w:tblCellMar>
        </w:tblPrEx>
        <w:trPr>
          <w:trHeight w:val="52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5319F0F">
            <w:pPr>
              <w:keepNext w:val="0"/>
              <w:keepLines w:val="0"/>
              <w:pageBreakBefore w:val="0"/>
              <w:kinsoku/>
              <w:wordWrap/>
              <w:overflowPunct/>
              <w:autoSpaceDN/>
              <w:bidi w:val="0"/>
              <w:spacing w:line="360" w:lineRule="auto"/>
              <w:jc w:val="center"/>
              <w:textAlignment w:val="auto"/>
              <w:rPr>
                <w:rFonts w:ascii="宋体" w:hAnsi="宋体" w:cs="宋体"/>
                <w:b/>
                <w:szCs w:val="21"/>
                <w:highlight w:val="none"/>
              </w:rPr>
            </w:pPr>
            <w:bookmarkStart w:id="45" w:name="_Toc152045529"/>
            <w:bookmarkStart w:id="46" w:name="_Toc247085689"/>
            <w:bookmarkStart w:id="47" w:name="_Toc506107269"/>
            <w:bookmarkStart w:id="48" w:name="_Toc144974497"/>
            <w:bookmarkStart w:id="49" w:name="_Toc324404815"/>
            <w:bookmarkStart w:id="50" w:name="_Toc152042305"/>
            <w:bookmarkStart w:id="51" w:name="_Toc179632546"/>
            <w:bookmarkStart w:id="52" w:name="_Toc246996918"/>
            <w:bookmarkStart w:id="53" w:name="_Toc246996175"/>
            <w:r>
              <w:rPr>
                <w:rFonts w:hint="eastAsia" w:ascii="宋体" w:hAnsi="宋体" w:cs="宋体"/>
                <w:b/>
                <w:szCs w:val="21"/>
                <w:highlight w:val="none"/>
              </w:rPr>
              <w:t>序号</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109513C">
            <w:pPr>
              <w:keepNext w:val="0"/>
              <w:keepLines w:val="0"/>
              <w:pageBreakBefore w:val="0"/>
              <w:kinsoku/>
              <w:wordWrap/>
              <w:overflowPunct/>
              <w:autoSpaceDN/>
              <w:bidi w:val="0"/>
              <w:spacing w:line="360" w:lineRule="auto"/>
              <w:jc w:val="center"/>
              <w:textAlignment w:val="auto"/>
              <w:rPr>
                <w:rFonts w:ascii="宋体" w:hAnsi="宋体" w:cs="宋体"/>
                <w:b/>
                <w:szCs w:val="21"/>
                <w:highlight w:val="none"/>
              </w:rPr>
            </w:pPr>
            <w:r>
              <w:rPr>
                <w:rFonts w:hint="eastAsia" w:ascii="宋体" w:hAnsi="宋体" w:cs="宋体"/>
                <w:b/>
                <w:szCs w:val="21"/>
                <w:highlight w:val="none"/>
              </w:rPr>
              <w:t>条  款  名  称</w:t>
            </w:r>
          </w:p>
        </w:tc>
        <w:tc>
          <w:tcPr>
            <w:tcW w:w="7251" w:type="dxa"/>
            <w:tcBorders>
              <w:top w:val="single" w:color="auto" w:sz="4" w:space="0"/>
              <w:left w:val="single" w:color="auto" w:sz="4" w:space="0"/>
              <w:bottom w:val="single" w:color="auto" w:sz="4" w:space="0"/>
              <w:right w:val="single" w:color="auto" w:sz="4" w:space="0"/>
            </w:tcBorders>
            <w:noWrap/>
            <w:vAlign w:val="center"/>
          </w:tcPr>
          <w:p w14:paraId="175926BC">
            <w:pPr>
              <w:keepNext w:val="0"/>
              <w:keepLines w:val="0"/>
              <w:pageBreakBefore w:val="0"/>
              <w:kinsoku/>
              <w:wordWrap/>
              <w:overflowPunct/>
              <w:autoSpaceDN/>
              <w:bidi w:val="0"/>
              <w:spacing w:line="360" w:lineRule="auto"/>
              <w:jc w:val="center"/>
              <w:textAlignment w:val="auto"/>
              <w:rPr>
                <w:rFonts w:ascii="宋体" w:hAnsi="宋体" w:cs="宋体"/>
                <w:b/>
                <w:szCs w:val="21"/>
                <w:highlight w:val="none"/>
              </w:rPr>
            </w:pPr>
            <w:r>
              <w:rPr>
                <w:rFonts w:hint="eastAsia" w:ascii="宋体" w:hAnsi="宋体" w:cs="宋体"/>
                <w:b/>
                <w:szCs w:val="21"/>
                <w:highlight w:val="none"/>
              </w:rPr>
              <w:t>编  列  内  容</w:t>
            </w:r>
          </w:p>
        </w:tc>
      </w:tr>
      <w:tr w14:paraId="399B8822">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EA00D87">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24588F4B">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招标人</w:t>
            </w:r>
          </w:p>
        </w:tc>
        <w:tc>
          <w:tcPr>
            <w:tcW w:w="7251" w:type="dxa"/>
            <w:tcBorders>
              <w:top w:val="single" w:color="auto" w:sz="4" w:space="0"/>
              <w:left w:val="single" w:color="auto" w:sz="4" w:space="0"/>
              <w:bottom w:val="single" w:color="auto" w:sz="4" w:space="0"/>
              <w:right w:val="single" w:color="auto" w:sz="4" w:space="0"/>
            </w:tcBorders>
            <w:noWrap/>
            <w:vAlign w:val="center"/>
          </w:tcPr>
          <w:p w14:paraId="10407BB1">
            <w:pPr>
              <w:pStyle w:val="93"/>
              <w:keepNext w:val="0"/>
              <w:keepLines w:val="0"/>
              <w:pageBreakBefore w:val="0"/>
              <w:kinsoku/>
              <w:wordWrap/>
              <w:overflowPunct/>
              <w:autoSpaceDN/>
              <w:bidi w:val="0"/>
              <w:adjustRightInd w:val="0"/>
              <w:snapToGrid w:val="0"/>
              <w:spacing w:line="360" w:lineRule="auto"/>
              <w:jc w:val="left"/>
              <w:textAlignment w:val="auto"/>
              <w:rPr>
                <w:rFonts w:hint="eastAsia" w:eastAsia="宋体"/>
                <w:kern w:val="2"/>
                <w:sz w:val="21"/>
                <w:szCs w:val="21"/>
                <w:highlight w:val="none"/>
                <w:lang w:eastAsia="zh-CN"/>
              </w:rPr>
            </w:pPr>
            <w:r>
              <w:rPr>
                <w:rFonts w:hint="eastAsia" w:ascii="宋体" w:hAnsi="宋体" w:cs="宋体"/>
                <w:color w:val="auto"/>
                <w:sz w:val="21"/>
                <w:szCs w:val="21"/>
                <w:highlight w:val="none"/>
              </w:rPr>
              <w:t>见招标公告</w:t>
            </w:r>
          </w:p>
        </w:tc>
      </w:tr>
      <w:tr w14:paraId="2BB50941">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7F2ABC2">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88F0F11">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招标代理机构</w:t>
            </w:r>
          </w:p>
        </w:tc>
        <w:tc>
          <w:tcPr>
            <w:tcW w:w="7251" w:type="dxa"/>
            <w:tcBorders>
              <w:top w:val="single" w:color="auto" w:sz="4" w:space="0"/>
              <w:left w:val="single" w:color="auto" w:sz="4" w:space="0"/>
              <w:bottom w:val="single" w:color="auto" w:sz="4" w:space="0"/>
              <w:right w:val="single" w:color="auto" w:sz="4" w:space="0"/>
            </w:tcBorders>
            <w:noWrap/>
            <w:vAlign w:val="center"/>
          </w:tcPr>
          <w:p w14:paraId="10F9436F">
            <w:pPr>
              <w:keepNext w:val="0"/>
              <w:keepLines w:val="0"/>
              <w:pageBreakBefore w:val="0"/>
              <w:kinsoku/>
              <w:wordWrap/>
              <w:overflowPunct/>
              <w:autoSpaceDN/>
              <w:bidi w:val="0"/>
              <w:adjustRightInd w:val="0"/>
              <w:snapToGrid w:val="0"/>
              <w:spacing w:line="360" w:lineRule="auto"/>
              <w:textAlignment w:val="auto"/>
              <w:rPr>
                <w:rFonts w:hint="default" w:ascii="宋体" w:hAnsi="宋体" w:eastAsia="宋体" w:cs="宋体"/>
                <w:szCs w:val="21"/>
                <w:highlight w:val="none"/>
                <w:lang w:val="en-US" w:eastAsia="zh-CN"/>
              </w:rPr>
            </w:pPr>
            <w:r>
              <w:rPr>
                <w:rFonts w:hint="eastAsia" w:ascii="宋体" w:hAnsi="宋体" w:cs="宋体"/>
                <w:color w:val="auto"/>
                <w:sz w:val="21"/>
                <w:szCs w:val="21"/>
                <w:highlight w:val="none"/>
              </w:rPr>
              <w:t>见招标公告</w:t>
            </w:r>
          </w:p>
        </w:tc>
      </w:tr>
      <w:tr w14:paraId="6E88FEC4">
        <w:tblPrEx>
          <w:tblCellMar>
            <w:top w:w="0" w:type="dxa"/>
            <w:left w:w="108" w:type="dxa"/>
            <w:bottom w:w="0" w:type="dxa"/>
            <w:right w:w="108" w:type="dxa"/>
          </w:tblCellMar>
        </w:tblPrEx>
        <w:trPr>
          <w:trHeight w:val="52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B21D750">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1C1999A0">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项目名称</w:t>
            </w:r>
          </w:p>
        </w:tc>
        <w:tc>
          <w:tcPr>
            <w:tcW w:w="7251" w:type="dxa"/>
            <w:tcBorders>
              <w:top w:val="single" w:color="auto" w:sz="4" w:space="0"/>
              <w:left w:val="single" w:color="auto" w:sz="4" w:space="0"/>
              <w:bottom w:val="single" w:color="auto" w:sz="4" w:space="0"/>
              <w:right w:val="single" w:color="auto" w:sz="4" w:space="0"/>
            </w:tcBorders>
            <w:noWrap/>
            <w:vAlign w:val="center"/>
          </w:tcPr>
          <w:p w14:paraId="3CF94C9C">
            <w:pPr>
              <w:keepNext w:val="0"/>
              <w:keepLines w:val="0"/>
              <w:pageBreakBefore w:val="0"/>
              <w:kinsoku/>
              <w:wordWrap/>
              <w:overflowPunct/>
              <w:autoSpaceDN/>
              <w:bidi w:val="0"/>
              <w:adjustRightInd w:val="0"/>
              <w:snapToGrid w:val="0"/>
              <w:spacing w:line="360" w:lineRule="auto"/>
              <w:textAlignment w:val="auto"/>
              <w:rPr>
                <w:rFonts w:hint="eastAsia" w:ascii="宋体" w:hAnsi="宋体" w:eastAsia="宋体" w:cs="宋体"/>
                <w:szCs w:val="21"/>
                <w:highlight w:val="none"/>
                <w:lang w:eastAsia="zh-CN"/>
              </w:rPr>
            </w:pPr>
            <w:r>
              <w:rPr>
                <w:rFonts w:hint="eastAsia" w:ascii="宋体" w:hAnsi="宋体" w:cs="宋体"/>
                <w:color w:val="auto"/>
                <w:sz w:val="21"/>
                <w:szCs w:val="21"/>
                <w:highlight w:val="none"/>
              </w:rPr>
              <w:t>见招标公告</w:t>
            </w:r>
          </w:p>
        </w:tc>
      </w:tr>
      <w:tr w14:paraId="0D5FE2EA">
        <w:tblPrEx>
          <w:tblCellMar>
            <w:top w:w="0" w:type="dxa"/>
            <w:left w:w="108" w:type="dxa"/>
            <w:bottom w:w="0" w:type="dxa"/>
            <w:right w:w="108" w:type="dxa"/>
          </w:tblCellMar>
        </w:tblPrEx>
        <w:trPr>
          <w:trHeight w:val="50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1C8FAF44">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0A58F76">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建设地点</w:t>
            </w:r>
          </w:p>
        </w:tc>
        <w:tc>
          <w:tcPr>
            <w:tcW w:w="7251" w:type="dxa"/>
            <w:tcBorders>
              <w:top w:val="single" w:color="auto" w:sz="4" w:space="0"/>
              <w:left w:val="single" w:color="auto" w:sz="4" w:space="0"/>
              <w:bottom w:val="single" w:color="auto" w:sz="4" w:space="0"/>
              <w:right w:val="single" w:color="auto" w:sz="4" w:space="0"/>
            </w:tcBorders>
            <w:noWrap/>
            <w:vAlign w:val="center"/>
          </w:tcPr>
          <w:p w14:paraId="7B346AFB">
            <w:pPr>
              <w:keepNext w:val="0"/>
              <w:keepLines w:val="0"/>
              <w:pageBreakBefore w:val="0"/>
              <w:kinsoku/>
              <w:wordWrap/>
              <w:overflowPunct/>
              <w:autoSpaceDN/>
              <w:bidi w:val="0"/>
              <w:adjustRightInd w:val="0"/>
              <w:snapToGrid w:val="0"/>
              <w:spacing w:line="360" w:lineRule="auto"/>
              <w:textAlignment w:val="auto"/>
              <w:rPr>
                <w:rFonts w:ascii="宋体" w:hAnsi="宋体" w:cs="宋体"/>
                <w:szCs w:val="21"/>
                <w:highlight w:val="none"/>
              </w:rPr>
            </w:pPr>
            <w:r>
              <w:rPr>
                <w:rFonts w:hint="eastAsia" w:ascii="宋体" w:hAnsi="宋体" w:cs="宋体"/>
                <w:color w:val="auto"/>
                <w:sz w:val="21"/>
                <w:szCs w:val="21"/>
                <w:highlight w:val="none"/>
              </w:rPr>
              <w:t>见招标公告</w:t>
            </w:r>
          </w:p>
        </w:tc>
      </w:tr>
      <w:tr w14:paraId="27E33739">
        <w:tblPrEx>
          <w:tblCellMar>
            <w:top w:w="0" w:type="dxa"/>
            <w:left w:w="108" w:type="dxa"/>
            <w:bottom w:w="0" w:type="dxa"/>
            <w:right w:w="108" w:type="dxa"/>
          </w:tblCellMar>
        </w:tblPrEx>
        <w:trPr>
          <w:trHeight w:val="555"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6EAEC26">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5</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2CEC5559">
            <w:pPr>
              <w:keepNext w:val="0"/>
              <w:keepLines w:val="0"/>
              <w:pageBreakBefore w:val="0"/>
              <w:kinsoku/>
              <w:wordWrap/>
              <w:overflowPunct/>
              <w:autoSpaceDN/>
              <w:bidi w:val="0"/>
              <w:adjustRightInd w:val="0"/>
              <w:snapToGrid w:val="0"/>
              <w:spacing w:line="360" w:lineRule="auto"/>
              <w:jc w:val="center"/>
              <w:textAlignment w:val="auto"/>
              <w:rPr>
                <w:rFonts w:ascii="宋体" w:hAnsi="宋体" w:cs="宋体"/>
                <w:szCs w:val="21"/>
                <w:highlight w:val="none"/>
              </w:rPr>
            </w:pPr>
            <w:r>
              <w:rPr>
                <w:rFonts w:hint="eastAsia" w:ascii="宋体" w:hAnsi="宋体" w:cs="宋体"/>
                <w:color w:val="auto"/>
                <w:sz w:val="21"/>
                <w:szCs w:val="21"/>
                <w:highlight w:val="none"/>
              </w:rPr>
              <w:t>资金落实情况</w:t>
            </w:r>
          </w:p>
        </w:tc>
        <w:tc>
          <w:tcPr>
            <w:tcW w:w="7251" w:type="dxa"/>
            <w:tcBorders>
              <w:top w:val="single" w:color="auto" w:sz="4" w:space="0"/>
              <w:left w:val="single" w:color="auto" w:sz="4" w:space="0"/>
              <w:bottom w:val="single" w:color="auto" w:sz="4" w:space="0"/>
              <w:right w:val="single" w:color="auto" w:sz="4" w:space="0"/>
            </w:tcBorders>
            <w:noWrap/>
            <w:vAlign w:val="center"/>
          </w:tcPr>
          <w:p w14:paraId="60460FF1">
            <w:pPr>
              <w:keepNext w:val="0"/>
              <w:keepLines w:val="0"/>
              <w:pageBreakBefore w:val="0"/>
              <w:kinsoku/>
              <w:wordWrap/>
              <w:overflowPunct/>
              <w:autoSpaceDN/>
              <w:bidi w:val="0"/>
              <w:adjustRightInd w:val="0"/>
              <w:snapToGrid w:val="0"/>
              <w:spacing w:line="360" w:lineRule="auto"/>
              <w:textAlignment w:val="auto"/>
              <w:rPr>
                <w:rFonts w:ascii="宋体" w:hAnsi="宋体" w:cs="宋体"/>
                <w:szCs w:val="21"/>
                <w:highlight w:val="none"/>
              </w:rPr>
            </w:pPr>
            <w:r>
              <w:rPr>
                <w:rFonts w:hint="eastAsia" w:ascii="宋体" w:hAnsi="宋体" w:cs="宋体"/>
                <w:color w:val="auto"/>
                <w:sz w:val="21"/>
                <w:szCs w:val="21"/>
                <w:highlight w:val="none"/>
                <w:lang w:val="en-US" w:eastAsia="zh-CN"/>
              </w:rPr>
              <w:t>已落实</w:t>
            </w:r>
          </w:p>
        </w:tc>
      </w:tr>
      <w:tr w14:paraId="64D296C6">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B0EC8E8">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6</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516917A">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招标范围</w:t>
            </w:r>
          </w:p>
        </w:tc>
        <w:tc>
          <w:tcPr>
            <w:tcW w:w="7251" w:type="dxa"/>
            <w:tcBorders>
              <w:top w:val="single" w:color="auto" w:sz="4" w:space="0"/>
              <w:left w:val="single" w:color="auto" w:sz="4" w:space="0"/>
              <w:bottom w:val="single" w:color="auto" w:sz="4" w:space="0"/>
              <w:right w:val="single" w:color="auto" w:sz="4" w:space="0"/>
            </w:tcBorders>
            <w:noWrap/>
            <w:vAlign w:val="center"/>
          </w:tcPr>
          <w:p w14:paraId="6B3CA562">
            <w:pPr>
              <w:keepNext w:val="0"/>
              <w:keepLines w:val="0"/>
              <w:pageBreakBefore w:val="0"/>
              <w:kinsoku/>
              <w:wordWrap/>
              <w:overflowPunct/>
              <w:autoSpaceDN/>
              <w:bidi w:val="0"/>
              <w:spacing w:line="360" w:lineRule="auto"/>
              <w:textAlignment w:val="auto"/>
              <w:rPr>
                <w:rFonts w:ascii="宋体" w:hAnsi="宋体" w:cs="宋体"/>
                <w:szCs w:val="21"/>
                <w:highlight w:val="none"/>
              </w:rPr>
            </w:pPr>
            <w:r>
              <w:rPr>
                <w:rFonts w:hint="eastAsia"/>
                <w:color w:val="000000"/>
                <w:szCs w:val="21"/>
                <w:highlight w:val="none"/>
              </w:rPr>
              <w:t>见招标公告</w:t>
            </w:r>
          </w:p>
        </w:tc>
      </w:tr>
      <w:tr w14:paraId="4195E0D5">
        <w:tblPrEx>
          <w:tblCellMar>
            <w:top w:w="0" w:type="dxa"/>
            <w:left w:w="108" w:type="dxa"/>
            <w:bottom w:w="0" w:type="dxa"/>
            <w:right w:w="108" w:type="dxa"/>
          </w:tblCellMar>
        </w:tblPrEx>
        <w:trPr>
          <w:trHeight w:val="496"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2ABF706">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7</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222F7482">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评标办法</w:t>
            </w:r>
          </w:p>
        </w:tc>
        <w:tc>
          <w:tcPr>
            <w:tcW w:w="7251" w:type="dxa"/>
            <w:tcBorders>
              <w:top w:val="single" w:color="auto" w:sz="4" w:space="0"/>
              <w:left w:val="single" w:color="auto" w:sz="4" w:space="0"/>
              <w:bottom w:val="single" w:color="auto" w:sz="4" w:space="0"/>
              <w:right w:val="single" w:color="auto" w:sz="4" w:space="0"/>
            </w:tcBorders>
            <w:noWrap/>
            <w:vAlign w:val="center"/>
          </w:tcPr>
          <w:p w14:paraId="340D66FF">
            <w:pPr>
              <w:pStyle w:val="93"/>
              <w:keepNext w:val="0"/>
              <w:keepLines w:val="0"/>
              <w:pageBreakBefore w:val="0"/>
              <w:kinsoku/>
              <w:wordWrap/>
              <w:overflowPunct/>
              <w:autoSpaceDN/>
              <w:bidi w:val="0"/>
              <w:spacing w:line="360" w:lineRule="auto"/>
              <w:textAlignment w:val="auto"/>
              <w:rPr>
                <w:rFonts w:ascii="宋体" w:hAnsi="宋体" w:cs="宋体"/>
                <w:highlight w:val="none"/>
              </w:rPr>
            </w:pPr>
            <w:r>
              <w:rPr>
                <w:rFonts w:hint="eastAsia" w:ascii="宋体" w:hAnsi="宋体" w:cs="宋体"/>
                <w:color w:val="auto"/>
                <w:sz w:val="21"/>
                <w:szCs w:val="21"/>
                <w:highlight w:val="none"/>
              </w:rPr>
              <w:t>见招标公告</w:t>
            </w:r>
          </w:p>
        </w:tc>
      </w:tr>
      <w:tr w14:paraId="6E44BA52">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B12E6DA">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8</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9F9D96F">
            <w:pPr>
              <w:keepNext w:val="0"/>
              <w:keepLines w:val="0"/>
              <w:pageBreakBefore w:val="0"/>
              <w:kinsoku/>
              <w:wordWrap/>
              <w:overflowPunct/>
              <w:autoSpaceDE/>
              <w:autoSpaceDN/>
              <w:bidi w:val="0"/>
              <w:adjustRightInd w:val="0"/>
              <w:snapToGrid w:val="0"/>
              <w:spacing w:line="360" w:lineRule="auto"/>
              <w:jc w:val="center"/>
              <w:textAlignment w:val="auto"/>
              <w:rPr>
                <w:rFonts w:ascii="宋体" w:hAnsi="宋体" w:cs="宋体"/>
                <w:color w:val="auto"/>
                <w:szCs w:val="21"/>
                <w:highlight w:val="none"/>
              </w:rPr>
            </w:pPr>
            <w:r>
              <w:rPr>
                <w:rFonts w:hint="eastAsia" w:ascii="宋体" w:hAnsi="宋体" w:eastAsia="宋体" w:cs="宋体"/>
                <w:color w:val="auto"/>
                <w:sz w:val="21"/>
                <w:szCs w:val="21"/>
                <w:highlight w:val="none"/>
              </w:rPr>
              <w:t>计划工期</w:t>
            </w:r>
          </w:p>
        </w:tc>
        <w:tc>
          <w:tcPr>
            <w:tcW w:w="7251" w:type="dxa"/>
            <w:tcBorders>
              <w:top w:val="single" w:color="auto" w:sz="4" w:space="0"/>
              <w:left w:val="single" w:color="auto" w:sz="4" w:space="0"/>
              <w:bottom w:val="single" w:color="auto" w:sz="4" w:space="0"/>
              <w:right w:val="single" w:color="auto" w:sz="4" w:space="0"/>
            </w:tcBorders>
            <w:noWrap/>
            <w:vAlign w:val="center"/>
          </w:tcPr>
          <w:p w14:paraId="12C09492">
            <w:pPr>
              <w:keepNext w:val="0"/>
              <w:keepLines w:val="0"/>
              <w:pageBreakBefore w:val="0"/>
              <w:kinsoku/>
              <w:wordWrap/>
              <w:overflowPunct/>
              <w:autoSpaceDE/>
              <w:autoSpaceDN/>
              <w:bidi w:val="0"/>
              <w:adjustRightInd w:val="0"/>
              <w:snapToGrid w:val="0"/>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计划工</w:t>
            </w:r>
            <w:r>
              <w:rPr>
                <w:rFonts w:hint="eastAsia" w:ascii="宋体" w:hAnsi="宋体" w:eastAsia="宋体" w:cs="宋体"/>
                <w:b/>
                <w:color w:val="auto"/>
                <w:sz w:val="21"/>
                <w:szCs w:val="21"/>
                <w:highlight w:val="none"/>
                <w:lang w:eastAsia="zh-CN"/>
              </w:rPr>
              <w:t>期：</w:t>
            </w:r>
            <w:r>
              <w:rPr>
                <w:rFonts w:hint="eastAsia" w:ascii="宋体" w:hAnsi="宋体" w:eastAsia="宋体" w:cs="宋体"/>
                <w:b/>
                <w:color w:val="auto"/>
                <w:sz w:val="21"/>
                <w:szCs w:val="21"/>
                <w:highlight w:val="none"/>
                <w:lang w:val="en-US" w:eastAsia="zh-CN"/>
              </w:rPr>
              <w:t>不高于</w:t>
            </w:r>
            <w:r>
              <w:rPr>
                <w:rFonts w:hint="eastAsia" w:ascii="宋体" w:hAnsi="宋体" w:cs="宋体"/>
                <w:b/>
                <w:color w:val="auto"/>
                <w:sz w:val="21"/>
                <w:szCs w:val="21"/>
                <w:highlight w:val="none"/>
                <w:u w:val="single"/>
                <w:lang w:val="en-US" w:eastAsia="zh-CN"/>
              </w:rPr>
              <w:t>30个日历天</w:t>
            </w:r>
            <w:r>
              <w:rPr>
                <w:rFonts w:hint="eastAsia" w:ascii="宋体" w:hAnsi="宋体" w:eastAsia="宋体" w:cs="宋体"/>
                <w:b/>
                <w:color w:val="auto"/>
                <w:sz w:val="21"/>
                <w:szCs w:val="21"/>
                <w:highlight w:val="none"/>
                <w:lang w:eastAsia="zh-CN"/>
              </w:rPr>
              <w:t>。</w:t>
            </w:r>
          </w:p>
          <w:p w14:paraId="7365FC3B">
            <w:pPr>
              <w:keepNext w:val="0"/>
              <w:keepLines w:val="0"/>
              <w:pageBreakBefore w:val="0"/>
              <w:kinsoku/>
              <w:wordWrap/>
              <w:overflowPunct/>
              <w:autoSpaceDE/>
              <w:autoSpaceDN/>
              <w:bidi w:val="0"/>
              <w:adjustRightInd w:val="0"/>
              <w:snapToGrid w:val="0"/>
              <w:spacing w:line="360" w:lineRule="auto"/>
              <w:textAlignment w:val="auto"/>
              <w:rPr>
                <w:rFonts w:ascii="宋体" w:hAnsi="宋体" w:cs="宋体"/>
                <w:color w:val="auto"/>
                <w:szCs w:val="21"/>
                <w:highlight w:val="none"/>
              </w:rPr>
            </w:pPr>
            <w:r>
              <w:rPr>
                <w:rFonts w:hint="eastAsia" w:ascii="宋体" w:hAnsi="宋体" w:cs="宋体"/>
                <w:color w:val="auto"/>
                <w:sz w:val="21"/>
                <w:szCs w:val="21"/>
                <w:highlight w:val="none"/>
              </w:rPr>
              <w:t>注：投标人自报的承诺工期为考核标准</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工期每延误一天，处以</w:t>
            </w:r>
            <w:r>
              <w:rPr>
                <w:rFonts w:hint="eastAsia" w:ascii="宋体" w:hAnsi="宋体" w:cs="宋体"/>
                <w:color w:val="auto"/>
                <w:sz w:val="21"/>
                <w:szCs w:val="21"/>
                <w:highlight w:val="none"/>
                <w:u w:val="single"/>
                <w:lang w:val="en-US" w:eastAsia="zh-CN"/>
              </w:rPr>
              <w:t xml:space="preserve"> 1000 </w:t>
            </w:r>
            <w:r>
              <w:rPr>
                <w:rFonts w:hint="eastAsia" w:ascii="宋体" w:hAnsi="宋体" w:cs="宋体"/>
                <w:color w:val="auto"/>
                <w:sz w:val="21"/>
                <w:szCs w:val="21"/>
                <w:highlight w:val="none"/>
              </w:rPr>
              <w:t xml:space="preserve">元违约金，工期提前不奖励。 </w:t>
            </w:r>
            <w:r>
              <w:rPr>
                <w:rFonts w:hint="eastAsia" w:ascii="Times New Roman" w:hAnsi="Times New Roman" w:eastAsia="宋体" w:cs="Times New Roman"/>
                <w:color w:val="auto"/>
                <w:highlight w:val="none"/>
                <w:lang w:val="en-US" w:eastAsia="zh-CN"/>
              </w:rPr>
              <w:t xml:space="preserve">  </w:t>
            </w:r>
            <w:r>
              <w:rPr>
                <w:rFonts w:hint="eastAsia" w:ascii="宋体" w:hAnsi="宋体" w:eastAsia="宋体" w:cs="宋体"/>
                <w:color w:val="auto"/>
                <w:sz w:val="21"/>
                <w:szCs w:val="21"/>
                <w:highlight w:val="none"/>
              </w:rPr>
              <w:t xml:space="preserve">       </w:t>
            </w:r>
          </w:p>
        </w:tc>
      </w:tr>
      <w:tr w14:paraId="4024D16D">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52B29A18">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9</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10FB8891">
            <w:pPr>
              <w:keepNext w:val="0"/>
              <w:keepLines w:val="0"/>
              <w:pageBreakBefore w:val="0"/>
              <w:kinsoku/>
              <w:wordWrap/>
              <w:overflowPunct/>
              <w:autoSpaceDN/>
              <w:bidi w:val="0"/>
              <w:spacing w:line="360" w:lineRule="auto"/>
              <w:jc w:val="center"/>
              <w:textAlignment w:val="auto"/>
              <w:rPr>
                <w:rFonts w:ascii="宋体" w:hAnsi="宋体" w:cs="宋体"/>
                <w:color w:val="FF0000"/>
                <w:szCs w:val="21"/>
                <w:highlight w:val="none"/>
              </w:rPr>
            </w:pPr>
            <w:r>
              <w:rPr>
                <w:rFonts w:hint="eastAsia" w:ascii="宋体" w:hAnsi="宋体" w:cs="宋体"/>
                <w:szCs w:val="21"/>
                <w:highlight w:val="none"/>
              </w:rPr>
              <w:t>质量要求</w:t>
            </w:r>
          </w:p>
        </w:tc>
        <w:tc>
          <w:tcPr>
            <w:tcW w:w="7251" w:type="dxa"/>
            <w:tcBorders>
              <w:top w:val="single" w:color="auto" w:sz="4" w:space="0"/>
              <w:left w:val="single" w:color="auto" w:sz="4" w:space="0"/>
              <w:bottom w:val="single" w:color="auto" w:sz="4" w:space="0"/>
              <w:right w:val="single" w:color="auto" w:sz="4" w:space="0"/>
            </w:tcBorders>
            <w:noWrap/>
            <w:vAlign w:val="center"/>
          </w:tcPr>
          <w:p w14:paraId="222B8DA3">
            <w:pPr>
              <w:keepNext w:val="0"/>
              <w:keepLines w:val="0"/>
              <w:pageBreakBefore w:val="0"/>
              <w:kinsoku/>
              <w:wordWrap/>
              <w:overflowPunct/>
              <w:autoSpaceDN/>
              <w:bidi w:val="0"/>
              <w:spacing w:line="360" w:lineRule="auto"/>
              <w:textAlignment w:val="auto"/>
              <w:rPr>
                <w:rFonts w:ascii="宋体" w:hAnsi="宋体" w:cs="宋体"/>
                <w:szCs w:val="21"/>
                <w:highlight w:val="none"/>
              </w:rPr>
            </w:pPr>
            <w:r>
              <w:rPr>
                <w:rFonts w:hint="eastAsia" w:ascii="Times New Roman" w:hAnsi="Times New Roman" w:eastAsia="宋体" w:cs="Times New Roman"/>
                <w:color w:val="000000"/>
                <w:szCs w:val="21"/>
                <w:highlight w:val="none"/>
                <w:lang w:val="en-US" w:eastAsia="zh-CN"/>
              </w:rPr>
              <w:t>初步设计满足现行的电力工程建设标准、设计规范和本招标文件要求的设计深度；</w:t>
            </w:r>
            <w:r>
              <w:rPr>
                <w:rFonts w:hint="eastAsia" w:ascii="宋体" w:hAnsi="宋体" w:eastAsia="宋体" w:cs="Times New Roman"/>
                <w:color w:val="000000" w:themeColor="text1"/>
                <w:kern w:val="0"/>
                <w:szCs w:val="21"/>
                <w:highlight w:val="none"/>
                <w:lang w:bidi="en-US"/>
                <w14:textFill>
                  <w14:solidFill>
                    <w14:schemeClr w14:val="tx1"/>
                  </w14:solidFill>
                </w14:textFill>
              </w:rPr>
              <w:t>编制的可行性研究报告通过专家评审。</w:t>
            </w:r>
          </w:p>
        </w:tc>
      </w:tr>
      <w:tr w14:paraId="0610F1B6">
        <w:tblPrEx>
          <w:tblCellMar>
            <w:top w:w="0" w:type="dxa"/>
            <w:left w:w="108" w:type="dxa"/>
            <w:bottom w:w="0" w:type="dxa"/>
            <w:right w:w="108" w:type="dxa"/>
          </w:tblCellMar>
        </w:tblPrEx>
        <w:trPr>
          <w:trHeight w:val="90" w:hRule="atLeast"/>
          <w:jc w:val="center"/>
        </w:trPr>
        <w:tc>
          <w:tcPr>
            <w:tcW w:w="868" w:type="dxa"/>
            <w:vMerge w:val="restart"/>
            <w:tcBorders>
              <w:top w:val="single" w:color="auto" w:sz="4" w:space="0"/>
              <w:left w:val="single" w:color="auto" w:sz="4" w:space="0"/>
              <w:bottom w:val="single" w:color="auto" w:sz="4" w:space="0"/>
              <w:right w:val="single" w:color="auto" w:sz="4" w:space="0"/>
            </w:tcBorders>
            <w:noWrap/>
            <w:vAlign w:val="center"/>
          </w:tcPr>
          <w:p w14:paraId="6499B10A">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10</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27F75B5F">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投标人资质条件、能力和信誉</w:t>
            </w:r>
          </w:p>
        </w:tc>
        <w:tc>
          <w:tcPr>
            <w:tcW w:w="7251" w:type="dxa"/>
            <w:tcBorders>
              <w:top w:val="single" w:color="auto" w:sz="4" w:space="0"/>
              <w:left w:val="single" w:color="auto" w:sz="4" w:space="0"/>
              <w:bottom w:val="single" w:color="auto" w:sz="4" w:space="0"/>
              <w:right w:val="single" w:color="auto" w:sz="4" w:space="0"/>
            </w:tcBorders>
            <w:noWrap/>
            <w:vAlign w:val="center"/>
          </w:tcPr>
          <w:p w14:paraId="79A1E5A2">
            <w:pPr>
              <w:pStyle w:val="2"/>
              <w:keepNext w:val="0"/>
              <w:keepLines w:val="0"/>
              <w:pageBreakBefore w:val="0"/>
              <w:kinsoku/>
              <w:wordWrap/>
              <w:overflowPunct/>
              <w:autoSpaceDN/>
              <w:bidi w:val="0"/>
              <w:spacing w:line="360" w:lineRule="auto"/>
              <w:ind w:left="0" w:leftChars="0" w:firstLine="0" w:firstLineChars="0"/>
              <w:jc w:val="left"/>
              <w:textAlignment w:val="auto"/>
              <w:rPr>
                <w:rFonts w:hAnsi="宋体" w:cs="宋体"/>
                <w:szCs w:val="21"/>
                <w:highlight w:val="none"/>
                <w:u w:val="single"/>
              </w:rPr>
            </w:pPr>
            <w:r>
              <w:rPr>
                <w:rFonts w:hint="eastAsia" w:hAnsi="宋体" w:cs="宋体"/>
                <w:szCs w:val="21"/>
                <w:highlight w:val="none"/>
                <w:u w:val="single"/>
              </w:rPr>
              <w:t>见招标公告信息</w:t>
            </w:r>
          </w:p>
        </w:tc>
      </w:tr>
      <w:tr w14:paraId="34CDA60C">
        <w:tblPrEx>
          <w:tblCellMar>
            <w:top w:w="0" w:type="dxa"/>
            <w:left w:w="108" w:type="dxa"/>
            <w:bottom w:w="0" w:type="dxa"/>
            <w:right w:w="108" w:type="dxa"/>
          </w:tblCellMar>
        </w:tblPrEx>
        <w:trPr>
          <w:trHeight w:val="575" w:hRule="atLeast"/>
          <w:jc w:val="center"/>
        </w:trPr>
        <w:tc>
          <w:tcPr>
            <w:tcW w:w="868" w:type="dxa"/>
            <w:vMerge w:val="continue"/>
            <w:tcBorders>
              <w:top w:val="single" w:color="auto" w:sz="4" w:space="0"/>
              <w:left w:val="single" w:color="auto" w:sz="4" w:space="0"/>
              <w:bottom w:val="single" w:color="auto" w:sz="4" w:space="0"/>
              <w:right w:val="single" w:color="auto" w:sz="4" w:space="0"/>
            </w:tcBorders>
            <w:noWrap/>
            <w:vAlign w:val="center"/>
          </w:tcPr>
          <w:p w14:paraId="193EBDFC">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BC1C102">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招标文件发布时间：</w:t>
            </w:r>
          </w:p>
        </w:tc>
        <w:tc>
          <w:tcPr>
            <w:tcW w:w="7251" w:type="dxa"/>
            <w:tcBorders>
              <w:top w:val="single" w:color="auto" w:sz="4" w:space="0"/>
              <w:left w:val="single" w:color="auto" w:sz="4" w:space="0"/>
              <w:bottom w:val="single" w:color="auto" w:sz="4" w:space="0"/>
              <w:right w:val="single" w:color="auto" w:sz="4" w:space="0"/>
            </w:tcBorders>
            <w:noWrap/>
            <w:vAlign w:val="center"/>
          </w:tcPr>
          <w:p w14:paraId="00E3B91B">
            <w:pPr>
              <w:keepNext w:val="0"/>
              <w:keepLines w:val="0"/>
              <w:pageBreakBefore w:val="0"/>
              <w:kinsoku/>
              <w:wordWrap/>
              <w:overflowPunct/>
              <w:autoSpaceDN/>
              <w:bidi w:val="0"/>
              <w:spacing w:line="360" w:lineRule="auto"/>
              <w:textAlignment w:val="auto"/>
              <w:rPr>
                <w:rFonts w:ascii="宋体" w:hAnsi="宋体" w:cs="宋体"/>
                <w:kern w:val="0"/>
                <w:szCs w:val="21"/>
                <w:highlight w:val="none"/>
              </w:rPr>
            </w:pPr>
            <w:r>
              <w:rPr>
                <w:rFonts w:hint="eastAsia" w:ascii="宋体" w:hAnsi="宋体" w:cs="宋体"/>
                <w:kern w:val="0"/>
                <w:szCs w:val="21"/>
                <w:highlight w:val="none"/>
              </w:rPr>
              <w:t>见招标公告信息</w:t>
            </w:r>
          </w:p>
        </w:tc>
      </w:tr>
      <w:tr w14:paraId="52E33D5B">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2885CC7">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11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4E7DF90">
            <w:pPr>
              <w:keepNext w:val="0"/>
              <w:keepLines w:val="0"/>
              <w:pageBreakBefore w:val="0"/>
              <w:kinsoku/>
              <w:wordWrap/>
              <w:overflowPunct/>
              <w:autoSpaceDN/>
              <w:bidi w:val="0"/>
              <w:spacing w:line="360" w:lineRule="auto"/>
              <w:jc w:val="center"/>
              <w:textAlignment w:val="auto"/>
              <w:rPr>
                <w:rFonts w:ascii="宋体" w:hAnsi="宋体" w:cs="宋体"/>
                <w:spacing w:val="-4"/>
                <w:kern w:val="0"/>
                <w:szCs w:val="21"/>
                <w:highlight w:val="none"/>
              </w:rPr>
            </w:pPr>
            <w:r>
              <w:rPr>
                <w:rFonts w:hint="eastAsia" w:ascii="宋体" w:hAnsi="宋体" w:cs="宋体"/>
                <w:spacing w:val="-4"/>
                <w:kern w:val="0"/>
                <w:szCs w:val="21"/>
                <w:highlight w:val="none"/>
              </w:rPr>
              <w:t>踏勘现场</w:t>
            </w:r>
          </w:p>
        </w:tc>
        <w:tc>
          <w:tcPr>
            <w:tcW w:w="7251" w:type="dxa"/>
            <w:tcBorders>
              <w:top w:val="single" w:color="auto" w:sz="4" w:space="0"/>
              <w:left w:val="single" w:color="auto" w:sz="4" w:space="0"/>
              <w:bottom w:val="single" w:color="auto" w:sz="4" w:space="0"/>
              <w:right w:val="single" w:color="auto" w:sz="4" w:space="0"/>
            </w:tcBorders>
            <w:noWrap/>
            <w:vAlign w:val="center"/>
          </w:tcPr>
          <w:p w14:paraId="2EB7922D">
            <w:pPr>
              <w:pStyle w:val="19"/>
              <w:keepNext w:val="0"/>
              <w:keepLines w:val="0"/>
              <w:pageBreakBefore w:val="0"/>
              <w:kinsoku/>
              <w:wordWrap/>
              <w:overflowPunct/>
              <w:topLinePunct/>
              <w:autoSpaceDN/>
              <w:bidi w:val="0"/>
              <w:spacing w:line="360" w:lineRule="auto"/>
              <w:textAlignment w:val="auto"/>
              <w:rPr>
                <w:rFonts w:hAnsi="宋体" w:cs="宋体"/>
                <w:spacing w:val="-4"/>
                <w:kern w:val="0"/>
                <w:sz w:val="21"/>
                <w:szCs w:val="21"/>
                <w:highlight w:val="none"/>
              </w:rPr>
            </w:pPr>
            <w:r>
              <w:rPr>
                <w:rFonts w:hint="eastAsia" w:hAnsi="宋体" w:cs="宋体"/>
                <w:sz w:val="21"/>
                <w:szCs w:val="21"/>
                <w:highlight w:val="none"/>
              </w:rPr>
              <w:t>☑</w:t>
            </w:r>
            <w:r>
              <w:rPr>
                <w:rFonts w:hint="eastAsia" w:hAnsi="宋体" w:cs="宋体"/>
                <w:spacing w:val="-4"/>
                <w:kern w:val="0"/>
                <w:sz w:val="21"/>
                <w:szCs w:val="21"/>
                <w:highlight w:val="none"/>
              </w:rPr>
              <w:t>不组织，投标人自行组织踏勘现场</w:t>
            </w:r>
            <w:r>
              <w:rPr>
                <w:rFonts w:hint="eastAsia" w:hAnsi="宋体" w:cs="宋体"/>
                <w:sz w:val="21"/>
                <w:szCs w:val="21"/>
                <w:highlight w:val="none"/>
              </w:rPr>
              <w:t>；□组织</w:t>
            </w:r>
          </w:p>
        </w:tc>
      </w:tr>
      <w:tr w14:paraId="5938BD5A">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C77D58C">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12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9FD36A4">
            <w:pPr>
              <w:keepNext w:val="0"/>
              <w:keepLines w:val="0"/>
              <w:pageBreakBefore w:val="0"/>
              <w:kinsoku/>
              <w:wordWrap/>
              <w:overflowPunct/>
              <w:autoSpaceDN/>
              <w:bidi w:val="0"/>
              <w:spacing w:line="360" w:lineRule="auto"/>
              <w:jc w:val="center"/>
              <w:textAlignment w:val="auto"/>
              <w:rPr>
                <w:rFonts w:ascii="宋体" w:hAnsi="宋体" w:cs="宋体"/>
                <w:spacing w:val="-4"/>
                <w:kern w:val="0"/>
                <w:szCs w:val="21"/>
                <w:highlight w:val="none"/>
              </w:rPr>
            </w:pPr>
            <w:r>
              <w:rPr>
                <w:rFonts w:hint="eastAsia" w:ascii="宋体" w:hAnsi="宋体" w:cs="宋体"/>
                <w:spacing w:val="-4"/>
                <w:kern w:val="0"/>
                <w:szCs w:val="21"/>
                <w:highlight w:val="none"/>
              </w:rPr>
              <w:t>投标预备会</w:t>
            </w:r>
          </w:p>
        </w:tc>
        <w:tc>
          <w:tcPr>
            <w:tcW w:w="7251" w:type="dxa"/>
            <w:tcBorders>
              <w:top w:val="single" w:color="auto" w:sz="4" w:space="0"/>
              <w:left w:val="single" w:color="auto" w:sz="4" w:space="0"/>
              <w:bottom w:val="single" w:color="auto" w:sz="4" w:space="0"/>
              <w:right w:val="single" w:color="auto" w:sz="4" w:space="0"/>
            </w:tcBorders>
            <w:noWrap/>
            <w:vAlign w:val="center"/>
          </w:tcPr>
          <w:p w14:paraId="3343207B">
            <w:pPr>
              <w:pStyle w:val="19"/>
              <w:keepNext w:val="0"/>
              <w:keepLines w:val="0"/>
              <w:pageBreakBefore w:val="0"/>
              <w:kinsoku/>
              <w:wordWrap/>
              <w:overflowPunct/>
              <w:topLinePunct/>
              <w:autoSpaceDN/>
              <w:bidi w:val="0"/>
              <w:spacing w:line="360" w:lineRule="auto"/>
              <w:textAlignment w:val="auto"/>
              <w:rPr>
                <w:rFonts w:hAnsi="宋体" w:cs="宋体"/>
                <w:spacing w:val="-4"/>
                <w:kern w:val="0"/>
                <w:sz w:val="21"/>
                <w:szCs w:val="21"/>
                <w:highlight w:val="none"/>
              </w:rPr>
            </w:pPr>
            <w:r>
              <w:rPr>
                <w:rFonts w:hint="eastAsia" w:hAnsi="宋体" w:cs="宋体"/>
                <w:sz w:val="21"/>
                <w:szCs w:val="21"/>
                <w:highlight w:val="none"/>
              </w:rPr>
              <w:t>☑</w:t>
            </w:r>
            <w:r>
              <w:rPr>
                <w:rFonts w:hint="eastAsia" w:hAnsi="宋体" w:cs="宋体"/>
                <w:spacing w:val="-4"/>
                <w:kern w:val="0"/>
                <w:sz w:val="21"/>
                <w:szCs w:val="21"/>
                <w:highlight w:val="none"/>
              </w:rPr>
              <w:t>不召开</w:t>
            </w:r>
            <w:r>
              <w:rPr>
                <w:rFonts w:hint="eastAsia" w:hAnsi="宋体" w:cs="宋体"/>
                <w:sz w:val="21"/>
                <w:szCs w:val="21"/>
                <w:highlight w:val="none"/>
              </w:rPr>
              <w:t>；□召开</w:t>
            </w:r>
          </w:p>
        </w:tc>
      </w:tr>
      <w:tr w14:paraId="1A706311">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2418457">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13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111C62BE">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投标人提出问题的截止时间及方式</w:t>
            </w:r>
          </w:p>
        </w:tc>
        <w:tc>
          <w:tcPr>
            <w:tcW w:w="7251" w:type="dxa"/>
            <w:tcBorders>
              <w:top w:val="single" w:color="auto" w:sz="4" w:space="0"/>
              <w:left w:val="single" w:color="auto" w:sz="4" w:space="0"/>
              <w:bottom w:val="single" w:color="auto" w:sz="4" w:space="0"/>
              <w:right w:val="single" w:color="auto" w:sz="4" w:space="0"/>
            </w:tcBorders>
            <w:noWrap/>
            <w:vAlign w:val="center"/>
          </w:tcPr>
          <w:p w14:paraId="0FB0E6F2">
            <w:pPr>
              <w:pStyle w:val="24"/>
              <w:keepNext w:val="0"/>
              <w:keepLines w:val="0"/>
              <w:pageBreakBefore w:val="0"/>
              <w:kinsoku/>
              <w:wordWrap/>
              <w:overflowPunct/>
              <w:autoSpaceDN/>
              <w:bidi w:val="0"/>
              <w:spacing w:line="360" w:lineRule="auto"/>
              <w:textAlignment w:val="auto"/>
              <w:rPr>
                <w:rFonts w:hint="eastAsia" w:ascii="宋体" w:hAnsi="宋体" w:eastAsia="宋体" w:cs="宋体"/>
                <w:b w:val="0"/>
                <w:bCs w:val="0"/>
                <w:highlight w:val="none"/>
              </w:rPr>
            </w:pPr>
            <w:r>
              <w:rPr>
                <w:rFonts w:hint="eastAsia" w:ascii="宋体" w:hAnsi="宋体" w:eastAsia="宋体" w:cs="宋体"/>
                <w:b w:val="0"/>
                <w:bCs w:val="0"/>
                <w:highlight w:val="none"/>
              </w:rPr>
              <w:t>如投标人对招标文件有疑问，请于</w:t>
            </w:r>
            <w:r>
              <w:rPr>
                <w:rFonts w:hint="eastAsia" w:ascii="宋体" w:hAnsi="宋体" w:eastAsia="宋体" w:cs="宋体"/>
                <w:b w:val="0"/>
                <w:bCs w:val="0"/>
                <w:highlight w:val="none"/>
                <w:lang w:val="en-US"/>
              </w:rPr>
              <w:t>202</w:t>
            </w:r>
            <w:r>
              <w:rPr>
                <w:rFonts w:hint="eastAsia" w:ascii="宋体" w:hAnsi="宋体" w:eastAsia="宋体" w:cs="宋体"/>
                <w:b w:val="0"/>
                <w:bCs w:val="0"/>
                <w:highlight w:val="none"/>
                <w:lang w:val="en-US" w:eastAsia="zh-CN"/>
              </w:rPr>
              <w:t>5</w:t>
            </w:r>
            <w:r>
              <w:rPr>
                <w:rFonts w:hint="eastAsia" w:ascii="宋体" w:hAnsi="宋体" w:eastAsia="宋体" w:cs="宋体"/>
                <w:b w:val="0"/>
                <w:bCs w:val="0"/>
                <w:highlight w:val="none"/>
              </w:rPr>
              <w:t>年</w:t>
            </w:r>
            <w:r>
              <w:rPr>
                <w:rFonts w:hint="eastAsia" w:ascii="宋体" w:hAnsi="宋体" w:cs="宋体"/>
                <w:b w:val="0"/>
                <w:bCs w:val="0"/>
                <w:highlight w:val="none"/>
                <w:lang w:val="en-US" w:eastAsia="zh-CN"/>
              </w:rPr>
              <w:t>8月26</w:t>
            </w:r>
            <w:r>
              <w:rPr>
                <w:rFonts w:hint="eastAsia" w:ascii="宋体" w:hAnsi="宋体" w:eastAsia="宋体" w:cs="宋体"/>
                <w:b w:val="0"/>
                <w:bCs w:val="0"/>
                <w:highlight w:val="none"/>
              </w:rPr>
              <w:t>日</w:t>
            </w:r>
            <w:r>
              <w:rPr>
                <w:rFonts w:hint="eastAsia" w:ascii="宋体" w:hAnsi="宋体" w:eastAsia="宋体" w:cs="宋体"/>
                <w:b w:val="0"/>
                <w:bCs w:val="0"/>
                <w:highlight w:val="none"/>
                <w:lang w:val="en-US" w:eastAsia="zh-CN"/>
              </w:rPr>
              <w:t>12</w:t>
            </w:r>
            <w:r>
              <w:rPr>
                <w:rFonts w:hint="eastAsia" w:ascii="宋体" w:hAnsi="宋体" w:eastAsia="宋体" w:cs="宋体"/>
                <w:b w:val="0"/>
                <w:bCs w:val="0"/>
                <w:highlight w:val="none"/>
              </w:rPr>
              <w:t>时前将疑问内容以书面的形式加盖投标单位公章，发送至滁州市城投工程咨询管理有限公司邮箱（</w:t>
            </w:r>
            <w:r>
              <w:rPr>
                <w:rFonts w:hint="eastAsia" w:ascii="宋体" w:hAnsi="宋体" w:eastAsia="宋体" w:cs="宋体"/>
                <w:b w:val="0"/>
                <w:bCs w:val="0"/>
                <w:highlight w:val="none"/>
                <w:lang w:val="en-US"/>
              </w:rPr>
              <w:t>czsct</w:t>
            </w:r>
            <w:r>
              <w:rPr>
                <w:rFonts w:hint="eastAsia" w:ascii="宋体" w:hAnsi="宋体" w:eastAsia="宋体" w:cs="宋体"/>
                <w:b w:val="0"/>
                <w:bCs w:val="0"/>
                <w:highlight w:val="none"/>
                <w:lang w:val="en-US" w:eastAsia="zh-CN"/>
              </w:rPr>
              <w:t>gc</w:t>
            </w:r>
            <w:r>
              <w:rPr>
                <w:rFonts w:hint="eastAsia" w:ascii="宋体" w:hAnsi="宋体" w:eastAsia="宋体" w:cs="宋体"/>
                <w:b w:val="0"/>
                <w:bCs w:val="0"/>
                <w:highlight w:val="none"/>
                <w:lang w:val="en-US"/>
              </w:rPr>
              <w:t>zx@163.com</w:t>
            </w:r>
            <w:r>
              <w:rPr>
                <w:rFonts w:hint="eastAsia" w:ascii="宋体" w:hAnsi="宋体" w:eastAsia="宋体" w:cs="宋体"/>
                <w:b w:val="0"/>
                <w:bCs w:val="0"/>
                <w:highlight w:val="none"/>
              </w:rPr>
              <w:t>）。</w:t>
            </w:r>
          </w:p>
        </w:tc>
      </w:tr>
      <w:tr w14:paraId="2634A732">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D7940DC">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14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F9A4559">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招标人澄清的时间及方式</w:t>
            </w:r>
          </w:p>
        </w:tc>
        <w:tc>
          <w:tcPr>
            <w:tcW w:w="7251" w:type="dxa"/>
            <w:tcBorders>
              <w:top w:val="single" w:color="auto" w:sz="4" w:space="0"/>
              <w:left w:val="single" w:color="auto" w:sz="4" w:space="0"/>
              <w:bottom w:val="single" w:color="auto" w:sz="4" w:space="0"/>
              <w:right w:val="single" w:color="auto" w:sz="4" w:space="0"/>
            </w:tcBorders>
            <w:noWrap/>
            <w:vAlign w:val="center"/>
          </w:tcPr>
          <w:p w14:paraId="3EA44CCA">
            <w:pPr>
              <w:pStyle w:val="24"/>
              <w:keepNext w:val="0"/>
              <w:keepLines w:val="0"/>
              <w:pageBreakBefore w:val="0"/>
              <w:kinsoku/>
              <w:wordWrap/>
              <w:overflowPunct/>
              <w:autoSpaceDN/>
              <w:bidi w:val="0"/>
              <w:spacing w:line="360" w:lineRule="auto"/>
              <w:textAlignment w:val="auto"/>
              <w:rPr>
                <w:rFonts w:hint="eastAsia" w:ascii="宋体" w:hAnsi="宋体" w:eastAsia="宋体" w:cs="宋体"/>
                <w:b w:val="0"/>
                <w:bCs w:val="0"/>
                <w:highlight w:val="none"/>
              </w:rPr>
            </w:pPr>
            <w:r>
              <w:rPr>
                <w:rFonts w:hint="eastAsia" w:ascii="宋体" w:hAnsi="宋体" w:eastAsia="宋体" w:cs="宋体"/>
                <w:b w:val="0"/>
                <w:bCs w:val="0"/>
                <w:highlight w:val="none"/>
                <w:lang w:val="en-US" w:eastAsia="zh-CN"/>
              </w:rPr>
              <w:t>招标人将在2025年</w:t>
            </w:r>
            <w:r>
              <w:rPr>
                <w:rFonts w:hint="eastAsia" w:ascii="宋体" w:hAnsi="宋体" w:cs="宋体"/>
                <w:b w:val="0"/>
                <w:bCs w:val="0"/>
                <w:highlight w:val="none"/>
                <w:lang w:val="en-US" w:eastAsia="zh-CN"/>
              </w:rPr>
              <w:t>8月26</w:t>
            </w:r>
            <w:r>
              <w:rPr>
                <w:rFonts w:hint="eastAsia" w:ascii="宋体" w:hAnsi="宋体" w:eastAsia="宋体" w:cs="宋体"/>
                <w:b w:val="0"/>
                <w:bCs w:val="0"/>
                <w:highlight w:val="none"/>
                <w:lang w:val="en-US" w:eastAsia="zh-CN"/>
              </w:rPr>
              <w:t>日17时后以澄清公告形式在</w:t>
            </w:r>
            <w:r>
              <w:rPr>
                <w:rFonts w:hint="eastAsia" w:ascii="宋体" w:hAnsi="宋体" w:cs="宋体"/>
                <w:color w:val="auto"/>
                <w:szCs w:val="21"/>
                <w:highlight w:val="none"/>
                <w:lang w:eastAsia="zh-CN"/>
              </w:rPr>
              <w:t>滁州市扬子工业投资集团有限公司官网（https://czyzgtjt.com/）、滁州市城投工程咨询管理有限公司（https://www.czctgczx.com/）</w:t>
            </w:r>
            <w:r>
              <w:rPr>
                <w:rFonts w:hint="eastAsia" w:ascii="宋体" w:hAnsi="宋体" w:eastAsia="宋体" w:cs="宋体"/>
                <w:b w:val="0"/>
                <w:bCs w:val="0"/>
                <w:highlight w:val="none"/>
                <w:lang w:val="en-US" w:eastAsia="zh-CN"/>
              </w:rPr>
              <w:t>发布，但不指明澄清问题的来源。</w:t>
            </w:r>
          </w:p>
        </w:tc>
      </w:tr>
      <w:tr w14:paraId="5AD99380">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ACCAE51">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15</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6712731">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偏离</w:t>
            </w:r>
          </w:p>
        </w:tc>
        <w:tc>
          <w:tcPr>
            <w:tcW w:w="7251" w:type="dxa"/>
            <w:tcBorders>
              <w:top w:val="single" w:color="auto" w:sz="4" w:space="0"/>
              <w:left w:val="single" w:color="auto" w:sz="4" w:space="0"/>
              <w:bottom w:val="single" w:color="auto" w:sz="4" w:space="0"/>
              <w:right w:val="single" w:color="auto" w:sz="4" w:space="0"/>
            </w:tcBorders>
            <w:noWrap/>
            <w:vAlign w:val="center"/>
          </w:tcPr>
          <w:p w14:paraId="6F323E2E">
            <w:pPr>
              <w:pStyle w:val="19"/>
              <w:keepNext w:val="0"/>
              <w:keepLines w:val="0"/>
              <w:pageBreakBefore w:val="0"/>
              <w:kinsoku/>
              <w:wordWrap/>
              <w:overflowPunct/>
              <w:topLinePunct/>
              <w:autoSpaceDN/>
              <w:bidi w:val="0"/>
              <w:spacing w:line="360" w:lineRule="auto"/>
              <w:textAlignment w:val="auto"/>
              <w:rPr>
                <w:rFonts w:hAnsi="宋体" w:cs="宋体"/>
                <w:sz w:val="21"/>
                <w:szCs w:val="21"/>
                <w:highlight w:val="none"/>
              </w:rPr>
            </w:pPr>
            <w:r>
              <w:rPr>
                <w:rFonts w:hint="eastAsia"/>
                <w:highlight w:val="none"/>
              </w:rPr>
              <w:t>☑</w:t>
            </w:r>
            <w:r>
              <w:rPr>
                <w:rFonts w:hint="eastAsia" w:hAnsi="宋体" w:cs="宋体"/>
                <w:sz w:val="21"/>
                <w:szCs w:val="21"/>
                <w:highlight w:val="none"/>
              </w:rPr>
              <w:t>不允许；□允许</w:t>
            </w:r>
          </w:p>
        </w:tc>
      </w:tr>
      <w:tr w14:paraId="462F3D53">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61C0531">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16</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7653BA3">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构成招标文件的其他材料</w:t>
            </w:r>
          </w:p>
        </w:tc>
        <w:tc>
          <w:tcPr>
            <w:tcW w:w="7251" w:type="dxa"/>
            <w:tcBorders>
              <w:top w:val="single" w:color="auto" w:sz="4" w:space="0"/>
              <w:left w:val="single" w:color="auto" w:sz="4" w:space="0"/>
              <w:bottom w:val="single" w:color="auto" w:sz="4" w:space="0"/>
              <w:right w:val="single" w:color="auto" w:sz="4" w:space="0"/>
            </w:tcBorders>
            <w:noWrap/>
            <w:vAlign w:val="center"/>
          </w:tcPr>
          <w:p w14:paraId="07A7DB3C">
            <w:pPr>
              <w:keepNext w:val="0"/>
              <w:keepLines w:val="0"/>
              <w:pageBreakBefore w:val="0"/>
              <w:kinsoku/>
              <w:wordWrap/>
              <w:overflowPunct/>
              <w:autoSpaceDN/>
              <w:bidi w:val="0"/>
              <w:spacing w:line="360" w:lineRule="auto"/>
              <w:textAlignment w:val="auto"/>
              <w:rPr>
                <w:rFonts w:ascii="宋体" w:hAnsi="宋体" w:cs="宋体"/>
                <w:szCs w:val="21"/>
                <w:highlight w:val="none"/>
              </w:rPr>
            </w:pPr>
            <w:r>
              <w:rPr>
                <w:rFonts w:hint="eastAsia" w:ascii="宋体" w:hAnsi="宋体" w:cs="宋体"/>
                <w:szCs w:val="21"/>
                <w:highlight w:val="none"/>
              </w:rPr>
              <w:t>招标澄清答疑文件等。</w:t>
            </w:r>
          </w:p>
        </w:tc>
      </w:tr>
      <w:tr w14:paraId="132ABAE6">
        <w:tblPrEx>
          <w:tblCellMar>
            <w:top w:w="0" w:type="dxa"/>
            <w:left w:w="108" w:type="dxa"/>
            <w:bottom w:w="0" w:type="dxa"/>
            <w:right w:w="108" w:type="dxa"/>
          </w:tblCellMar>
        </w:tblPrEx>
        <w:trPr>
          <w:trHeight w:val="404"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9A34F72">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17</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C04F206">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投标人要求澄清招标文件的截止时间及方式</w:t>
            </w:r>
          </w:p>
        </w:tc>
        <w:tc>
          <w:tcPr>
            <w:tcW w:w="7251" w:type="dxa"/>
            <w:tcBorders>
              <w:top w:val="single" w:color="auto" w:sz="4" w:space="0"/>
              <w:left w:val="single" w:color="auto" w:sz="4" w:space="0"/>
              <w:bottom w:val="single" w:color="auto" w:sz="4" w:space="0"/>
              <w:right w:val="single" w:color="auto" w:sz="4" w:space="0"/>
            </w:tcBorders>
            <w:noWrap/>
            <w:vAlign w:val="center"/>
          </w:tcPr>
          <w:p w14:paraId="11154714">
            <w:pPr>
              <w:keepNext w:val="0"/>
              <w:keepLines w:val="0"/>
              <w:pageBreakBefore w:val="0"/>
              <w:kinsoku/>
              <w:wordWrap/>
              <w:overflowPunct/>
              <w:autoSpaceDN/>
              <w:bidi w:val="0"/>
              <w:spacing w:line="360" w:lineRule="auto"/>
              <w:textAlignment w:val="auto"/>
              <w:rPr>
                <w:rFonts w:ascii="宋体" w:hAnsi="宋体" w:cs="宋体"/>
                <w:szCs w:val="21"/>
                <w:highlight w:val="none"/>
              </w:rPr>
            </w:pPr>
            <w:r>
              <w:rPr>
                <w:rFonts w:hint="eastAsia" w:ascii="宋体" w:hAnsi="宋体" w:cs="宋体"/>
                <w:szCs w:val="21"/>
                <w:highlight w:val="none"/>
              </w:rPr>
              <w:t>同本表第13条</w:t>
            </w:r>
          </w:p>
        </w:tc>
      </w:tr>
      <w:tr w14:paraId="2A3378D3">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49441D8">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18</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0782B1E">
            <w:pPr>
              <w:keepNext w:val="0"/>
              <w:keepLines w:val="0"/>
              <w:pageBreakBefore w:val="0"/>
              <w:kinsoku/>
              <w:wordWrap/>
              <w:overflowPunct/>
              <w:autoSpaceDE/>
              <w:autoSpaceDN/>
              <w:bidi w:val="0"/>
              <w:adjustRightInd w:val="0"/>
              <w:snapToGrid w:val="0"/>
              <w:spacing w:line="360" w:lineRule="auto"/>
              <w:jc w:val="center"/>
              <w:textAlignment w:val="auto"/>
              <w:rPr>
                <w:rFonts w:ascii="宋体" w:hAnsi="宋体" w:cs="宋体"/>
                <w:color w:val="auto"/>
                <w:szCs w:val="21"/>
                <w:highlight w:val="none"/>
              </w:rPr>
            </w:pPr>
            <w:r>
              <w:rPr>
                <w:rFonts w:hint="eastAsia" w:ascii="宋体" w:hAnsi="宋体" w:eastAsia="宋体" w:cs="宋体"/>
                <w:b/>
                <w:bCs/>
                <w:color w:val="auto"/>
                <w:sz w:val="21"/>
                <w:szCs w:val="21"/>
                <w:highlight w:val="none"/>
              </w:rPr>
              <w:t>最高投标限价</w:t>
            </w:r>
          </w:p>
        </w:tc>
        <w:tc>
          <w:tcPr>
            <w:tcW w:w="7251" w:type="dxa"/>
            <w:tcBorders>
              <w:top w:val="single" w:color="auto" w:sz="4" w:space="0"/>
              <w:left w:val="single" w:color="auto" w:sz="4" w:space="0"/>
              <w:bottom w:val="single" w:color="auto" w:sz="4" w:space="0"/>
              <w:right w:val="single" w:color="auto" w:sz="4" w:space="0"/>
            </w:tcBorders>
            <w:noWrap/>
            <w:vAlign w:val="center"/>
          </w:tcPr>
          <w:p w14:paraId="449A9C5C">
            <w:pPr>
              <w:keepNext w:val="0"/>
              <w:keepLines w:val="0"/>
              <w:pageBreakBefore w:val="0"/>
              <w:kinsoku/>
              <w:wordWrap/>
              <w:overflowPunct/>
              <w:autoSpaceDE/>
              <w:autoSpaceDN/>
              <w:bidi w:val="0"/>
              <w:adjustRightInd w:val="0"/>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1.投标报价按照下浮率进行报价，投标人应仔细阅读招标文件，了解拟投标合同段的全部内容填报投标下浮率，投标下浮率≥0%，中标后的下浮率不做调整，报价保留两位小数，第三位四舍五入。</w:t>
            </w:r>
          </w:p>
          <w:p w14:paraId="56C313BA">
            <w:pPr>
              <w:keepNext w:val="0"/>
              <w:keepLines w:val="0"/>
              <w:pageBreakBefore w:val="0"/>
              <w:kinsoku/>
              <w:wordWrap/>
              <w:overflowPunct/>
              <w:autoSpaceDE/>
              <w:autoSpaceDN/>
              <w:bidi w:val="0"/>
              <w:adjustRightInd w:val="0"/>
              <w:snapToGrid w:val="0"/>
              <w:spacing w:line="360" w:lineRule="auto"/>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2.结算方式=经审批后的可研报告安装容量×0.05元/Wp×（1-下浮率）（含税）。</w:t>
            </w:r>
          </w:p>
          <w:p w14:paraId="1B2000CD">
            <w:pPr>
              <w:keepNext w:val="0"/>
              <w:keepLines w:val="0"/>
              <w:pageBreakBefore w:val="0"/>
              <w:kinsoku/>
              <w:wordWrap/>
              <w:overflowPunct/>
              <w:autoSpaceDE/>
              <w:autoSpaceDN/>
              <w:bidi w:val="0"/>
              <w:adjustRightInd w:val="0"/>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发布时间：</w:t>
            </w:r>
            <w:r>
              <w:rPr>
                <w:rFonts w:hint="eastAsia" w:ascii="宋体" w:hAnsi="宋体" w:cs="宋体"/>
                <w:color w:val="auto"/>
                <w:sz w:val="21"/>
                <w:szCs w:val="21"/>
                <w:highlight w:val="none"/>
                <w:u w:val="single"/>
                <w:lang w:val="en-US" w:eastAsia="zh-CN"/>
              </w:rPr>
              <w:t>2025年8月15日</w:t>
            </w:r>
            <w:r>
              <w:rPr>
                <w:rFonts w:hint="eastAsia" w:ascii="宋体" w:hAnsi="宋体" w:eastAsia="宋体" w:cs="宋体"/>
                <w:color w:val="auto"/>
                <w:sz w:val="21"/>
                <w:szCs w:val="21"/>
                <w:highlight w:val="none"/>
              </w:rPr>
              <w:t>。</w:t>
            </w:r>
          </w:p>
          <w:p w14:paraId="62B51156">
            <w:pPr>
              <w:keepNext w:val="0"/>
              <w:keepLines w:val="0"/>
              <w:pageBreakBefore w:val="0"/>
              <w:widowControl/>
              <w:kinsoku/>
              <w:wordWrap w:val="0"/>
              <w:overflowPunct/>
              <w:topLinePunct w:val="0"/>
              <w:autoSpaceDE/>
              <w:autoSpaceDN/>
              <w:bidi w:val="0"/>
              <w:adjustRightInd/>
              <w:snapToGrid/>
              <w:spacing w:line="360" w:lineRule="auto"/>
              <w:jc w:val="left"/>
              <w:textAlignment w:val="auto"/>
              <w:rPr>
                <w:rFonts w:hint="eastAsia" w:ascii="宋体" w:hAnsi="宋体" w:eastAsia="宋体" w:cs="宋体"/>
                <w:b/>
                <w:color w:val="auto"/>
                <w:szCs w:val="21"/>
                <w:highlight w:val="none"/>
                <w:u w:val="single"/>
                <w:lang w:eastAsia="zh-CN"/>
              </w:rPr>
            </w:pPr>
            <w:r>
              <w:rPr>
                <w:rFonts w:hint="eastAsia" w:ascii="宋体" w:hAnsi="宋体" w:eastAsia="宋体" w:cs="宋体"/>
                <w:b/>
                <w:bCs/>
                <w:color w:val="auto"/>
                <w:sz w:val="21"/>
                <w:szCs w:val="21"/>
                <w:highlight w:val="none"/>
              </w:rPr>
              <w:t>发布媒介：</w:t>
            </w:r>
            <w:r>
              <w:rPr>
                <w:rFonts w:hint="eastAsia" w:ascii="宋体" w:hAnsi="宋体" w:cs="宋体"/>
                <w:color w:val="auto"/>
                <w:szCs w:val="21"/>
                <w:highlight w:val="none"/>
                <w:lang w:eastAsia="zh-CN"/>
              </w:rPr>
              <w:t>滁州市扬子工业投资集团有限公司官网（https://czyzgtjt.com/）、滁州市城投工程咨询管理有限公司（https://www.czctgczx.com/）</w:t>
            </w:r>
          </w:p>
        </w:tc>
      </w:tr>
      <w:tr w14:paraId="33795C16">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A97BCD2">
            <w:pPr>
              <w:keepNext w:val="0"/>
              <w:keepLines w:val="0"/>
              <w:pageBreakBefore w:val="0"/>
              <w:kinsoku/>
              <w:wordWrap/>
              <w:overflowPunct/>
              <w:autoSpaceDN/>
              <w:bidi w:val="0"/>
              <w:spacing w:line="360" w:lineRule="auto"/>
              <w:jc w:val="center"/>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19</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940E36A">
            <w:pPr>
              <w:keepNext w:val="0"/>
              <w:keepLines w:val="0"/>
              <w:pageBreakBefore w:val="0"/>
              <w:kinsoku/>
              <w:wordWrap/>
              <w:overflowPunct/>
              <w:autoSpaceDE/>
              <w:autoSpaceDN/>
              <w:bidi w:val="0"/>
              <w:adjustRightInd w:val="0"/>
              <w:snapToGrid w:val="0"/>
              <w:spacing w:line="360" w:lineRule="auto"/>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投标报价的要求</w:t>
            </w:r>
          </w:p>
        </w:tc>
        <w:tc>
          <w:tcPr>
            <w:tcW w:w="7251" w:type="dxa"/>
            <w:tcBorders>
              <w:top w:val="single" w:color="auto" w:sz="4" w:space="0"/>
              <w:left w:val="single" w:color="auto" w:sz="4" w:space="0"/>
              <w:bottom w:val="single" w:color="auto" w:sz="4" w:space="0"/>
              <w:right w:val="single" w:color="auto" w:sz="4" w:space="0"/>
            </w:tcBorders>
            <w:noWrap/>
            <w:vAlign w:val="center"/>
          </w:tcPr>
          <w:p w14:paraId="7CB856C5">
            <w:pPr>
              <w:keepNext w:val="0"/>
              <w:keepLines w:val="0"/>
              <w:pageBreakBefore w:val="0"/>
              <w:kinsoku/>
              <w:overflowPunct/>
              <w:autoSpaceDN/>
              <w:bidi w:val="0"/>
              <w:spacing w:line="360" w:lineRule="auto"/>
              <w:ind w:right="-94" w:rightChars="-45"/>
              <w:textAlignment w:val="auto"/>
              <w:rPr>
                <w:rFonts w:hint="eastAsia" w:ascii="宋体" w:hAnsi="宋体" w:eastAsia="宋体" w:cs="宋体"/>
                <w:b/>
                <w:bCs/>
                <w:color w:val="auto"/>
                <w:sz w:val="21"/>
                <w:szCs w:val="21"/>
                <w:highlight w:val="none"/>
                <w:lang w:eastAsia="zh-CN"/>
              </w:rPr>
            </w:pPr>
            <w:r>
              <w:rPr>
                <w:rFonts w:hint="eastAsia" w:ascii="宋体" w:hAnsi="宋体" w:cs="宋体"/>
                <w:color w:val="auto"/>
                <w:szCs w:val="21"/>
                <w:highlight w:val="none"/>
              </w:rPr>
              <w:t>投标报价</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下浮率）</w:t>
            </w:r>
            <w:r>
              <w:rPr>
                <w:rFonts w:hint="eastAsia" w:ascii="宋体" w:hAnsi="宋体" w:cs="宋体"/>
                <w:color w:val="auto"/>
                <w:szCs w:val="21"/>
                <w:highlight w:val="none"/>
              </w:rPr>
              <w:t>包含完成本次招标范围内的</w:t>
            </w:r>
            <w:r>
              <w:rPr>
                <w:rFonts w:hint="eastAsia" w:ascii="宋体" w:hAnsi="宋体" w:cs="宋体"/>
                <w:bCs/>
                <w:color w:val="auto"/>
                <w:kern w:val="1"/>
                <w:sz w:val="21"/>
                <w:szCs w:val="21"/>
                <w:highlight w:val="none"/>
                <w:lang w:eastAsia="zh-CN"/>
              </w:rPr>
              <w:t>初步设计报告（含附图、概算等）编制和可行性研究报告编制</w:t>
            </w:r>
            <w:r>
              <w:rPr>
                <w:rFonts w:hint="eastAsia" w:ascii="宋体" w:hAnsi="宋体" w:cs="宋体"/>
                <w:color w:val="auto"/>
                <w:szCs w:val="21"/>
                <w:highlight w:val="none"/>
              </w:rPr>
              <w:t>等所需的全部人员费用（如人员工资、保险、加班、差旅等一切费用）、设备费用、材料费用、报告编制费、专家评审费、会务费、管理费、利润、国家对征收的各种税费及完成本项目服务所需的所有的费用，招标人不再另行支付</w:t>
            </w:r>
            <w:r>
              <w:rPr>
                <w:rFonts w:hint="eastAsia" w:ascii="宋体" w:hAnsi="宋体" w:cs="宋体"/>
                <w:color w:val="auto"/>
                <w:szCs w:val="21"/>
                <w:highlight w:val="none"/>
                <w:lang w:val="en-US" w:eastAsia="zh-CN"/>
              </w:rPr>
              <w:t>其他费用</w:t>
            </w:r>
            <w:r>
              <w:rPr>
                <w:rFonts w:hint="eastAsia" w:ascii="宋体" w:hAnsi="宋体" w:cs="宋体"/>
                <w:color w:val="auto"/>
                <w:szCs w:val="21"/>
                <w:highlight w:val="none"/>
                <w:lang w:eastAsia="zh-CN"/>
              </w:rPr>
              <w:t>。</w:t>
            </w:r>
          </w:p>
        </w:tc>
      </w:tr>
      <w:tr w14:paraId="6F126AFB">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A3375F5">
            <w:pPr>
              <w:keepNext w:val="0"/>
              <w:keepLines w:val="0"/>
              <w:pageBreakBefore w:val="0"/>
              <w:kinsoku/>
              <w:wordWrap/>
              <w:overflowPunct/>
              <w:autoSpaceDN/>
              <w:bidi w:val="0"/>
              <w:spacing w:line="360" w:lineRule="auto"/>
              <w:jc w:val="center"/>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20</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8366841">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投标有效期</w:t>
            </w:r>
          </w:p>
        </w:tc>
        <w:tc>
          <w:tcPr>
            <w:tcW w:w="7251" w:type="dxa"/>
            <w:tcBorders>
              <w:top w:val="single" w:color="auto" w:sz="4" w:space="0"/>
              <w:left w:val="single" w:color="auto" w:sz="4" w:space="0"/>
              <w:bottom w:val="single" w:color="auto" w:sz="4" w:space="0"/>
              <w:right w:val="single" w:color="auto" w:sz="4" w:space="0"/>
            </w:tcBorders>
            <w:noWrap/>
            <w:vAlign w:val="center"/>
          </w:tcPr>
          <w:p w14:paraId="3E143A0C">
            <w:pPr>
              <w:keepNext w:val="0"/>
              <w:keepLines w:val="0"/>
              <w:pageBreakBefore w:val="0"/>
              <w:kinsoku/>
              <w:wordWrap/>
              <w:overflowPunct/>
              <w:autoSpaceDN/>
              <w:bidi w:val="0"/>
              <w:spacing w:line="360" w:lineRule="auto"/>
              <w:textAlignment w:val="auto"/>
              <w:rPr>
                <w:rFonts w:ascii="宋体" w:hAnsi="宋体" w:cs="宋体"/>
                <w:szCs w:val="21"/>
                <w:highlight w:val="none"/>
              </w:rPr>
            </w:pPr>
            <w:r>
              <w:rPr>
                <w:rFonts w:hint="eastAsia" w:ascii="宋体" w:hAnsi="宋体" w:cs="宋体"/>
                <w:szCs w:val="21"/>
                <w:highlight w:val="none"/>
              </w:rPr>
              <w:t>投标有效期为</w:t>
            </w:r>
            <w:r>
              <w:rPr>
                <w:rFonts w:hint="eastAsia" w:ascii="宋体" w:hAnsi="宋体" w:cs="宋体"/>
                <w:szCs w:val="21"/>
                <w:highlight w:val="none"/>
                <w:u w:val="single"/>
              </w:rPr>
              <w:t>90</w:t>
            </w:r>
            <w:r>
              <w:rPr>
                <w:rFonts w:hint="eastAsia" w:ascii="宋体" w:hAnsi="宋体" w:cs="宋体"/>
                <w:szCs w:val="21"/>
                <w:highlight w:val="none"/>
              </w:rPr>
              <w:t>日历天（从投标截止之日算起）。在此期限内，凡符合本招标文件要求的投标文件均保持有效。</w:t>
            </w:r>
          </w:p>
        </w:tc>
      </w:tr>
      <w:tr w14:paraId="45AEDE17">
        <w:tblPrEx>
          <w:tblCellMar>
            <w:top w:w="0" w:type="dxa"/>
            <w:left w:w="108" w:type="dxa"/>
            <w:bottom w:w="0" w:type="dxa"/>
            <w:right w:w="108" w:type="dxa"/>
          </w:tblCellMar>
        </w:tblPrEx>
        <w:trPr>
          <w:trHeight w:val="52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EB6B29F">
            <w:pPr>
              <w:keepNext w:val="0"/>
              <w:keepLines w:val="0"/>
              <w:pageBreakBefore w:val="0"/>
              <w:kinsoku/>
              <w:wordWrap/>
              <w:overflowPunct/>
              <w:autoSpaceDN/>
              <w:bidi w:val="0"/>
              <w:spacing w:line="360" w:lineRule="auto"/>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rPr>
              <w:t>2</w:t>
            </w:r>
            <w:r>
              <w:rPr>
                <w:rFonts w:hint="eastAsia" w:ascii="宋体" w:hAnsi="宋体" w:cs="宋体"/>
                <w:szCs w:val="21"/>
                <w:highlight w:val="none"/>
                <w:lang w:val="en-US" w:eastAsia="zh-CN"/>
              </w:rPr>
              <w:t>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0129E91">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投标保证金</w:t>
            </w:r>
          </w:p>
        </w:tc>
        <w:tc>
          <w:tcPr>
            <w:tcW w:w="7251" w:type="dxa"/>
            <w:tcBorders>
              <w:top w:val="single" w:color="auto" w:sz="4" w:space="0"/>
              <w:left w:val="single" w:color="auto" w:sz="4" w:space="0"/>
              <w:bottom w:val="single" w:color="auto" w:sz="4" w:space="0"/>
              <w:right w:val="single" w:color="auto" w:sz="4" w:space="0"/>
            </w:tcBorders>
            <w:noWrap/>
            <w:vAlign w:val="center"/>
          </w:tcPr>
          <w:p w14:paraId="28186690">
            <w:pPr>
              <w:keepNext w:val="0"/>
              <w:keepLines w:val="0"/>
              <w:pageBreakBefore w:val="0"/>
              <w:kinsoku/>
              <w:wordWrap/>
              <w:overflowPunct/>
              <w:autoSpaceDN/>
              <w:bidi w:val="0"/>
              <w:spacing w:line="360" w:lineRule="auto"/>
              <w:textAlignment w:val="auto"/>
              <w:rPr>
                <w:rFonts w:ascii="宋体" w:hAnsi="宋体" w:cs="宋体"/>
                <w:szCs w:val="21"/>
                <w:highlight w:val="none"/>
              </w:rPr>
            </w:pPr>
            <w:r>
              <w:rPr>
                <w:rFonts w:hint="eastAsia" w:ascii="宋体" w:hAnsi="宋体" w:cs="宋体"/>
                <w:szCs w:val="21"/>
                <w:highlight w:val="none"/>
              </w:rPr>
              <w:t>详见招标公告信息</w:t>
            </w:r>
          </w:p>
        </w:tc>
      </w:tr>
      <w:tr w14:paraId="6E11FCA3">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7399921">
            <w:pPr>
              <w:keepNext w:val="0"/>
              <w:keepLines w:val="0"/>
              <w:pageBreakBefore w:val="0"/>
              <w:kinsoku/>
              <w:wordWrap/>
              <w:overflowPunct/>
              <w:autoSpaceDN/>
              <w:bidi w:val="0"/>
              <w:spacing w:line="360" w:lineRule="auto"/>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rPr>
              <w:t>2</w:t>
            </w:r>
            <w:r>
              <w:rPr>
                <w:rFonts w:hint="eastAsia" w:ascii="宋体" w:hAnsi="宋体" w:cs="宋体"/>
                <w:szCs w:val="21"/>
                <w:highlight w:val="none"/>
                <w:lang w:val="en-US" w:eastAsia="zh-CN"/>
              </w:rPr>
              <w:t>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50DF28D">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签字或盖章要求</w:t>
            </w:r>
          </w:p>
        </w:tc>
        <w:tc>
          <w:tcPr>
            <w:tcW w:w="7251" w:type="dxa"/>
            <w:tcBorders>
              <w:top w:val="single" w:color="auto" w:sz="4" w:space="0"/>
              <w:left w:val="single" w:color="auto" w:sz="4" w:space="0"/>
              <w:bottom w:val="single" w:color="auto" w:sz="4" w:space="0"/>
              <w:right w:val="single" w:color="auto" w:sz="4" w:space="0"/>
            </w:tcBorders>
            <w:noWrap/>
            <w:vAlign w:val="center"/>
          </w:tcPr>
          <w:p w14:paraId="5AFD1E77">
            <w:pPr>
              <w:keepNext w:val="0"/>
              <w:keepLines w:val="0"/>
              <w:pageBreakBefore w:val="0"/>
              <w:kinsoku/>
              <w:wordWrap/>
              <w:overflowPunct/>
              <w:autoSpaceDN/>
              <w:bidi w:val="0"/>
              <w:spacing w:line="360" w:lineRule="auto"/>
              <w:textAlignment w:val="auto"/>
              <w:rPr>
                <w:rFonts w:ascii="宋体" w:hAnsi="宋体" w:cs="宋体"/>
                <w:szCs w:val="21"/>
                <w:highlight w:val="none"/>
              </w:rPr>
            </w:pPr>
            <w:r>
              <w:rPr>
                <w:rFonts w:hint="eastAsia" w:ascii="宋体" w:hAnsi="宋体" w:cs="宋体"/>
                <w:szCs w:val="21"/>
                <w:highlight w:val="none"/>
              </w:rPr>
              <w:t>投标文件须按格式文件要求签字或盖章。否则经评委会一致认定后，按照无效投标处理。</w:t>
            </w:r>
          </w:p>
        </w:tc>
      </w:tr>
      <w:tr w14:paraId="2A0476EF">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596DF02">
            <w:pPr>
              <w:keepNext w:val="0"/>
              <w:keepLines w:val="0"/>
              <w:pageBreakBefore w:val="0"/>
              <w:kinsoku/>
              <w:wordWrap/>
              <w:overflowPunct/>
              <w:autoSpaceDN/>
              <w:bidi w:val="0"/>
              <w:spacing w:line="360" w:lineRule="auto"/>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rPr>
              <w:t>2</w:t>
            </w:r>
            <w:r>
              <w:rPr>
                <w:rFonts w:hint="eastAsia" w:ascii="宋体" w:hAnsi="宋体" w:cs="宋体"/>
                <w:szCs w:val="21"/>
                <w:highlight w:val="none"/>
                <w:lang w:val="en-US" w:eastAsia="zh-CN"/>
              </w:rPr>
              <w:t>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CA3299E">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投标文件份数</w:t>
            </w:r>
          </w:p>
        </w:tc>
        <w:tc>
          <w:tcPr>
            <w:tcW w:w="7251" w:type="dxa"/>
            <w:tcBorders>
              <w:top w:val="single" w:color="auto" w:sz="4" w:space="0"/>
              <w:left w:val="single" w:color="auto" w:sz="4" w:space="0"/>
              <w:bottom w:val="single" w:color="auto" w:sz="4" w:space="0"/>
              <w:right w:val="single" w:color="auto" w:sz="4" w:space="0"/>
            </w:tcBorders>
            <w:noWrap/>
            <w:vAlign w:val="center"/>
          </w:tcPr>
          <w:p w14:paraId="59E67BFB">
            <w:pPr>
              <w:pStyle w:val="2"/>
              <w:keepNext w:val="0"/>
              <w:keepLines w:val="0"/>
              <w:pageBreakBefore w:val="0"/>
              <w:kinsoku/>
              <w:wordWrap/>
              <w:overflowPunct/>
              <w:autoSpaceDN/>
              <w:bidi w:val="0"/>
              <w:spacing w:line="360" w:lineRule="auto"/>
              <w:ind w:left="0" w:leftChars="0" w:firstLine="0" w:firstLineChars="0"/>
              <w:textAlignment w:val="auto"/>
              <w:rPr>
                <w:highlight w:val="none"/>
              </w:rPr>
            </w:pPr>
            <w:r>
              <w:rPr>
                <w:rFonts w:hint="eastAsia" w:hAnsi="宋体" w:cs="宋体"/>
                <w:color w:val="auto"/>
                <w:szCs w:val="21"/>
                <w:highlight w:val="none"/>
                <w:lang w:val="en-US" w:eastAsia="zh-CN"/>
              </w:rPr>
              <w:t>加密</w:t>
            </w:r>
            <w:r>
              <w:rPr>
                <w:rFonts w:hint="eastAsia" w:ascii="宋体" w:hAnsi="宋体" w:eastAsia="宋体" w:cs="宋体"/>
                <w:color w:val="auto"/>
                <w:szCs w:val="21"/>
                <w:highlight w:val="none"/>
              </w:rPr>
              <w:t>PDF电子版投标文件一份，</w:t>
            </w:r>
            <w:r>
              <w:rPr>
                <w:rFonts w:hint="eastAsia" w:ascii="宋体" w:hAnsi="宋体" w:eastAsia="宋体" w:cs="宋体"/>
                <w:b/>
                <w:bCs/>
                <w:color w:val="auto"/>
                <w:kern w:val="0"/>
                <w:szCs w:val="21"/>
                <w:highlight w:val="none"/>
                <w:u w:val="single"/>
              </w:rPr>
              <w:t>（投标人中标后须递交与网上电子投标文件完全一致的纸质版投标文件，并按要求加盖单位章；</w:t>
            </w:r>
            <w:r>
              <w:rPr>
                <w:rFonts w:hint="eastAsia" w:ascii="宋体" w:hAnsi="宋体" w:cs="宋体"/>
                <w:b/>
                <w:bCs/>
                <w:color w:val="auto"/>
                <w:kern w:val="0"/>
                <w:szCs w:val="21"/>
                <w:highlight w:val="none"/>
                <w:u w:val="single"/>
              </w:rPr>
              <w:t>份数：正本1份，副本2份；中标单位领取中标通知书时，一并递交给代理机构）</w:t>
            </w:r>
          </w:p>
        </w:tc>
      </w:tr>
      <w:tr w14:paraId="0DE33C57">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0C592D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cs="宋体"/>
                <w:szCs w:val="21"/>
                <w:highlight w:val="none"/>
              </w:rPr>
            </w:pPr>
            <w:r>
              <w:rPr>
                <w:rFonts w:hint="eastAsia" w:ascii="宋体" w:hAnsi="宋体" w:eastAsia="宋体" w:cs="宋体"/>
                <w:kern w:val="2"/>
                <w:highlight w:val="none"/>
                <w:lang w:val="en-US" w:eastAsia="zh-CN"/>
              </w:rPr>
              <w:t>2</w:t>
            </w:r>
            <w:r>
              <w:rPr>
                <w:rFonts w:hint="eastAsia" w:ascii="宋体" w:hAnsi="宋体" w:cs="宋体"/>
                <w:kern w:val="2"/>
                <w:highlight w:val="none"/>
                <w:lang w:val="en-US" w:eastAsia="zh-CN"/>
              </w:rPr>
              <w:t>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954E81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cs="宋体"/>
                <w:szCs w:val="21"/>
                <w:highlight w:val="none"/>
              </w:rPr>
            </w:pPr>
            <w:r>
              <w:rPr>
                <w:rFonts w:hint="eastAsia" w:ascii="宋体"/>
                <w:color w:val="auto"/>
                <w:sz w:val="21"/>
                <w:szCs w:val="21"/>
                <w:highlight w:val="none"/>
              </w:rPr>
              <w:t>投标文件提交截止时间</w:t>
            </w:r>
          </w:p>
        </w:tc>
        <w:tc>
          <w:tcPr>
            <w:tcW w:w="7251" w:type="dxa"/>
            <w:tcBorders>
              <w:top w:val="single" w:color="auto" w:sz="4" w:space="0"/>
              <w:left w:val="single" w:color="auto" w:sz="4" w:space="0"/>
              <w:bottom w:val="single" w:color="auto" w:sz="4" w:space="0"/>
              <w:right w:val="single" w:color="auto" w:sz="4" w:space="0"/>
            </w:tcBorders>
            <w:noWrap/>
            <w:vAlign w:val="center"/>
          </w:tcPr>
          <w:p w14:paraId="49C7DBFE">
            <w:pPr>
              <w:keepNext w:val="0"/>
              <w:keepLines w:val="0"/>
              <w:pageBreakBefore w:val="0"/>
              <w:kinsoku/>
              <w:wordWrap/>
              <w:overflowPunct/>
              <w:autoSpaceDN/>
              <w:bidi w:val="0"/>
              <w:spacing w:line="360" w:lineRule="auto"/>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rPr>
              <w:t>在 202</w:t>
            </w:r>
            <w:r>
              <w:rPr>
                <w:rFonts w:hint="eastAsia" w:ascii="宋体" w:hAnsi="宋体" w:eastAsia="宋体" w:cs="宋体"/>
                <w:szCs w:val="21"/>
                <w:highlight w:val="none"/>
                <w:lang w:val="en-US" w:eastAsia="zh-CN"/>
              </w:rPr>
              <w:t>5</w:t>
            </w:r>
            <w:r>
              <w:rPr>
                <w:rFonts w:hint="eastAsia" w:ascii="宋体" w:hAnsi="宋体" w:eastAsia="宋体" w:cs="宋体"/>
                <w:szCs w:val="21"/>
                <w:highlight w:val="none"/>
              </w:rPr>
              <w:t>年</w:t>
            </w:r>
            <w:r>
              <w:rPr>
                <w:rFonts w:hint="eastAsia" w:ascii="宋体" w:hAnsi="宋体" w:cs="宋体"/>
                <w:szCs w:val="21"/>
                <w:highlight w:val="none"/>
                <w:lang w:val="en-US" w:eastAsia="zh-CN"/>
              </w:rPr>
              <w:t>9</w:t>
            </w:r>
            <w:r>
              <w:rPr>
                <w:rFonts w:hint="eastAsia" w:ascii="宋体" w:hAnsi="宋体" w:eastAsia="宋体" w:cs="宋体"/>
                <w:szCs w:val="21"/>
                <w:highlight w:val="none"/>
              </w:rPr>
              <w:t>月</w:t>
            </w:r>
            <w:r>
              <w:rPr>
                <w:rFonts w:hint="eastAsia" w:ascii="宋体" w:hAnsi="宋体" w:cs="宋体"/>
                <w:szCs w:val="21"/>
                <w:highlight w:val="none"/>
                <w:lang w:val="en-US" w:eastAsia="zh-CN"/>
              </w:rPr>
              <w:t>5</w:t>
            </w:r>
            <w:bookmarkStart w:id="967" w:name="_GoBack"/>
            <w:bookmarkEnd w:id="967"/>
            <w:r>
              <w:rPr>
                <w:rFonts w:hint="eastAsia" w:ascii="宋体" w:hAnsi="宋体" w:eastAsia="宋体" w:cs="宋体"/>
                <w:szCs w:val="21"/>
                <w:highlight w:val="none"/>
              </w:rPr>
              <w:t>日</w:t>
            </w:r>
            <w:r>
              <w:rPr>
                <w:rFonts w:hint="eastAsia" w:ascii="宋体" w:hAnsi="宋体" w:eastAsia="宋体" w:cs="宋体"/>
                <w:szCs w:val="21"/>
                <w:highlight w:val="none"/>
                <w:lang w:val="en-US" w:eastAsia="zh-CN"/>
              </w:rPr>
              <w:t>15</w:t>
            </w:r>
            <w:r>
              <w:rPr>
                <w:rFonts w:hint="eastAsia" w:ascii="宋体" w:hAnsi="宋体" w:eastAsia="宋体" w:cs="宋体"/>
                <w:szCs w:val="21"/>
                <w:highlight w:val="none"/>
              </w:rPr>
              <w:t>时00分（北京时间）</w:t>
            </w:r>
          </w:p>
        </w:tc>
      </w:tr>
      <w:tr w14:paraId="13689E49">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112D8F6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cs="宋体"/>
                <w:szCs w:val="21"/>
                <w:highlight w:val="none"/>
              </w:rPr>
            </w:pPr>
            <w:r>
              <w:rPr>
                <w:rFonts w:hint="eastAsia" w:ascii="宋体" w:hAnsi="宋体" w:eastAsia="宋体" w:cs="宋体"/>
                <w:kern w:val="2"/>
                <w:highlight w:val="none"/>
                <w:lang w:val="en-US" w:eastAsia="zh-CN"/>
              </w:rPr>
              <w:t>2</w:t>
            </w:r>
            <w:r>
              <w:rPr>
                <w:rFonts w:hint="eastAsia" w:ascii="宋体" w:hAnsi="宋体" w:cs="宋体"/>
                <w:kern w:val="2"/>
                <w:highlight w:val="none"/>
                <w:lang w:val="en-US" w:eastAsia="zh-CN"/>
              </w:rPr>
              <w:t>5</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C2F970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是否退还投标文件</w:t>
            </w:r>
          </w:p>
        </w:tc>
        <w:tc>
          <w:tcPr>
            <w:tcW w:w="7251" w:type="dxa"/>
            <w:tcBorders>
              <w:top w:val="single" w:color="auto" w:sz="4" w:space="0"/>
              <w:left w:val="single" w:color="auto" w:sz="4" w:space="0"/>
              <w:bottom w:val="single" w:color="auto" w:sz="4" w:space="0"/>
              <w:right w:val="single" w:color="auto" w:sz="4" w:space="0"/>
            </w:tcBorders>
            <w:noWrap/>
            <w:vAlign w:val="center"/>
          </w:tcPr>
          <w:p w14:paraId="49837F3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leftChars="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000000"/>
                <w:kern w:val="2"/>
                <w:sz w:val="21"/>
                <w:szCs w:val="21"/>
                <w:highlight w:val="none"/>
                <w:u w:color="000000"/>
                <w:lang w:val="en-US" w:eastAsia="zh-CN" w:bidi="ar"/>
              </w:rPr>
              <w:t>否</w:t>
            </w:r>
          </w:p>
        </w:tc>
      </w:tr>
      <w:tr w14:paraId="3E085A99">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993016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cs="宋体"/>
                <w:szCs w:val="21"/>
                <w:highlight w:val="none"/>
              </w:rPr>
            </w:pPr>
            <w:r>
              <w:rPr>
                <w:rFonts w:hint="eastAsia" w:ascii="宋体" w:hAnsi="宋体" w:eastAsia="宋体" w:cs="宋体"/>
                <w:kern w:val="2"/>
                <w:highlight w:val="none"/>
                <w:lang w:val="en-US" w:eastAsia="zh-CN"/>
              </w:rPr>
              <w:t>2</w:t>
            </w:r>
            <w:r>
              <w:rPr>
                <w:rFonts w:hint="eastAsia" w:ascii="宋体" w:hAnsi="宋体" w:cs="宋体"/>
                <w:kern w:val="2"/>
                <w:highlight w:val="none"/>
                <w:lang w:val="en-US" w:eastAsia="zh-CN"/>
              </w:rPr>
              <w:t>6</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7A3327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开标时间及地点</w:t>
            </w:r>
          </w:p>
        </w:tc>
        <w:tc>
          <w:tcPr>
            <w:tcW w:w="7251" w:type="dxa"/>
            <w:tcBorders>
              <w:top w:val="single" w:color="auto" w:sz="4" w:space="0"/>
              <w:left w:val="single" w:color="auto" w:sz="4" w:space="0"/>
              <w:bottom w:val="single" w:color="auto" w:sz="4" w:space="0"/>
              <w:right w:val="single" w:color="auto" w:sz="4" w:space="0"/>
            </w:tcBorders>
            <w:noWrap/>
            <w:vAlign w:val="center"/>
          </w:tcPr>
          <w:p w14:paraId="58E2D2E2">
            <w:pPr>
              <w:keepNext w:val="0"/>
              <w:keepLines w:val="0"/>
              <w:pageBreakBefore w:val="0"/>
              <w:kinsoku/>
              <w:wordWrap/>
              <w:overflowPunct/>
              <w:autoSpaceDN/>
              <w:bidi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szCs w:val="21"/>
                <w:highlight w:val="none"/>
              </w:rPr>
              <w:t>见招标公告信息</w:t>
            </w:r>
          </w:p>
        </w:tc>
      </w:tr>
      <w:tr w14:paraId="1992B37A">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95919A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cs="宋体"/>
                <w:szCs w:val="21"/>
                <w:highlight w:val="none"/>
              </w:rPr>
            </w:pPr>
            <w:r>
              <w:rPr>
                <w:rFonts w:hint="eastAsia" w:ascii="宋体" w:hAnsi="宋体" w:eastAsia="宋体" w:cs="宋体"/>
                <w:kern w:val="2"/>
                <w:highlight w:val="none"/>
                <w:lang w:val="en-US" w:eastAsia="zh-CN"/>
              </w:rPr>
              <w:t>2</w:t>
            </w:r>
            <w:r>
              <w:rPr>
                <w:rFonts w:hint="eastAsia" w:ascii="宋体" w:hAnsi="宋体" w:cs="宋体"/>
                <w:kern w:val="2"/>
                <w:highlight w:val="none"/>
                <w:lang w:val="en-US" w:eastAsia="zh-CN"/>
              </w:rPr>
              <w:t>7</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C8E870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开标程序</w:t>
            </w:r>
          </w:p>
        </w:tc>
        <w:tc>
          <w:tcPr>
            <w:tcW w:w="7251" w:type="dxa"/>
            <w:tcBorders>
              <w:top w:val="single" w:color="auto" w:sz="4" w:space="0"/>
              <w:left w:val="single" w:color="auto" w:sz="4" w:space="0"/>
              <w:bottom w:val="single" w:color="auto" w:sz="4" w:space="0"/>
              <w:right w:val="single" w:color="auto" w:sz="4" w:space="0"/>
            </w:tcBorders>
            <w:noWrap/>
            <w:vAlign w:val="center"/>
          </w:tcPr>
          <w:p w14:paraId="4FB8EA5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auto"/>
              <w:ind w:left="0" w:leftChars="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由代理机构开启电子投标文件，报评标委员会评审。</w:t>
            </w:r>
          </w:p>
        </w:tc>
      </w:tr>
      <w:tr w14:paraId="5625472C">
        <w:tblPrEx>
          <w:tblCellMar>
            <w:top w:w="0" w:type="dxa"/>
            <w:left w:w="108" w:type="dxa"/>
            <w:bottom w:w="0" w:type="dxa"/>
            <w:right w:w="108" w:type="dxa"/>
          </w:tblCellMar>
        </w:tblPrEx>
        <w:trPr>
          <w:trHeight w:val="488"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F3A70F5">
            <w:pPr>
              <w:keepNext w:val="0"/>
              <w:keepLines w:val="0"/>
              <w:pageBreakBefore w:val="0"/>
              <w:kinsoku/>
              <w:wordWrap/>
              <w:overflowPunct/>
              <w:autoSpaceDN/>
              <w:bidi w:val="0"/>
              <w:spacing w:line="360" w:lineRule="auto"/>
              <w:jc w:val="center"/>
              <w:textAlignment w:val="auto"/>
              <w:rPr>
                <w:rFonts w:hint="eastAsia" w:ascii="宋体" w:hAnsi="宋体" w:eastAsia="宋体" w:cs="宋体"/>
                <w:szCs w:val="21"/>
                <w:highlight w:val="none"/>
                <w:lang w:eastAsia="zh-CN"/>
              </w:rPr>
            </w:pPr>
            <w:r>
              <w:rPr>
                <w:rFonts w:hint="eastAsia" w:ascii="宋体" w:hAnsi="宋体" w:cs="宋体"/>
                <w:szCs w:val="21"/>
                <w:highlight w:val="none"/>
              </w:rPr>
              <w:t>2</w:t>
            </w:r>
            <w:r>
              <w:rPr>
                <w:rFonts w:hint="eastAsia" w:ascii="宋体" w:hAnsi="宋体" w:cs="宋体"/>
                <w:szCs w:val="21"/>
                <w:highlight w:val="none"/>
                <w:lang w:val="en-US" w:eastAsia="zh-CN"/>
              </w:rPr>
              <w:t>8</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68336EA">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评标委员会的组建</w:t>
            </w:r>
          </w:p>
        </w:tc>
        <w:tc>
          <w:tcPr>
            <w:tcW w:w="7251" w:type="dxa"/>
            <w:tcBorders>
              <w:top w:val="single" w:color="auto" w:sz="4" w:space="0"/>
              <w:left w:val="single" w:color="auto" w:sz="4" w:space="0"/>
              <w:bottom w:val="single" w:color="auto" w:sz="4" w:space="0"/>
              <w:right w:val="single" w:color="auto" w:sz="4" w:space="0"/>
            </w:tcBorders>
            <w:noWrap/>
            <w:vAlign w:val="center"/>
          </w:tcPr>
          <w:p w14:paraId="7523A5DC">
            <w:pPr>
              <w:keepNext w:val="0"/>
              <w:keepLines w:val="0"/>
              <w:pageBreakBefore w:val="0"/>
              <w:kinsoku/>
              <w:wordWrap/>
              <w:overflowPunct/>
              <w:autoSpaceDE/>
              <w:autoSpaceDN/>
              <w:bidi w:val="0"/>
              <w:spacing w:line="360" w:lineRule="auto"/>
              <w:textAlignment w:val="auto"/>
              <w:rPr>
                <w:rFonts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评标委员会由招标人依法组建。</w:t>
            </w:r>
          </w:p>
        </w:tc>
      </w:tr>
      <w:tr w14:paraId="7BAECC9A">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3DBFFAA">
            <w:pPr>
              <w:keepNext w:val="0"/>
              <w:keepLines w:val="0"/>
              <w:pageBreakBefore w:val="0"/>
              <w:kinsoku/>
              <w:wordWrap/>
              <w:overflowPunct/>
              <w:autoSpaceDN/>
              <w:bidi w:val="0"/>
              <w:spacing w:line="360" w:lineRule="auto"/>
              <w:jc w:val="center"/>
              <w:textAlignment w:val="auto"/>
              <w:rPr>
                <w:rFonts w:hint="eastAsia" w:ascii="宋体" w:hAnsi="宋体" w:eastAsia="宋体" w:cs="宋体"/>
                <w:b/>
                <w:bCs/>
                <w:szCs w:val="21"/>
                <w:highlight w:val="none"/>
                <w:lang w:eastAsia="zh-CN"/>
              </w:rPr>
            </w:pPr>
            <w:r>
              <w:rPr>
                <w:rFonts w:hint="eastAsia" w:ascii="宋体" w:hAnsi="宋体" w:cs="宋体"/>
                <w:szCs w:val="21"/>
                <w:highlight w:val="none"/>
              </w:rPr>
              <w:t>2</w:t>
            </w:r>
            <w:r>
              <w:rPr>
                <w:rFonts w:hint="eastAsia" w:ascii="宋体" w:hAnsi="宋体" w:cs="宋体"/>
                <w:szCs w:val="21"/>
                <w:highlight w:val="none"/>
                <w:lang w:val="en-US" w:eastAsia="zh-CN"/>
              </w:rPr>
              <w:t>9</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BE7473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ascii="宋体" w:hAnsi="宋体" w:cs="宋体"/>
                <w:bCs/>
                <w:color w:val="auto"/>
                <w:szCs w:val="21"/>
                <w:highlight w:val="none"/>
              </w:rPr>
            </w:pPr>
            <w:r>
              <w:rPr>
                <w:rFonts w:hint="eastAsia" w:ascii="宋体" w:hAnsi="宋体" w:eastAsia="宋体" w:cs="宋体"/>
                <w:b w:val="0"/>
                <w:bCs w:val="0"/>
                <w:color w:val="auto"/>
                <w:sz w:val="21"/>
                <w:szCs w:val="21"/>
                <w:highlight w:val="none"/>
              </w:rPr>
              <w:t>评标委员会确定中标候选人的人数</w:t>
            </w:r>
          </w:p>
        </w:tc>
        <w:tc>
          <w:tcPr>
            <w:tcW w:w="7251" w:type="dxa"/>
            <w:tcBorders>
              <w:top w:val="single" w:color="auto" w:sz="4" w:space="0"/>
              <w:left w:val="single" w:color="auto" w:sz="4" w:space="0"/>
              <w:bottom w:val="single" w:color="auto" w:sz="4" w:space="0"/>
              <w:right w:val="single" w:color="auto" w:sz="4" w:space="0"/>
            </w:tcBorders>
            <w:noWrap/>
            <w:vAlign w:val="center"/>
          </w:tcPr>
          <w:p w14:paraId="3FF3BC1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textAlignment w:val="auto"/>
              <w:rPr>
                <w:rFonts w:ascii="宋体" w:hAnsi="宋体" w:cs="宋体"/>
                <w:bCs/>
                <w:color w:val="auto"/>
                <w:szCs w:val="21"/>
                <w:highlight w:val="none"/>
              </w:rPr>
            </w:pP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名，并标明排序。</w:t>
            </w:r>
          </w:p>
        </w:tc>
      </w:tr>
      <w:tr w14:paraId="0948E9B2">
        <w:tblPrEx>
          <w:tblCellMar>
            <w:top w:w="0" w:type="dxa"/>
            <w:left w:w="108" w:type="dxa"/>
            <w:bottom w:w="0" w:type="dxa"/>
            <w:right w:w="108" w:type="dxa"/>
          </w:tblCellMar>
        </w:tblPrEx>
        <w:trPr>
          <w:trHeight w:val="500" w:hRule="atLeast"/>
          <w:jc w:val="center"/>
        </w:trPr>
        <w:tc>
          <w:tcPr>
            <w:tcW w:w="868" w:type="dxa"/>
            <w:tcBorders>
              <w:top w:val="single" w:color="auto" w:sz="4" w:space="0"/>
              <w:left w:val="single" w:color="auto" w:sz="4" w:space="0"/>
              <w:right w:val="single" w:color="auto" w:sz="4" w:space="0"/>
            </w:tcBorders>
            <w:noWrap/>
            <w:vAlign w:val="center"/>
          </w:tcPr>
          <w:p w14:paraId="6CAD3EA1">
            <w:pPr>
              <w:keepNext w:val="0"/>
              <w:keepLines w:val="0"/>
              <w:pageBreakBefore w:val="0"/>
              <w:kinsoku/>
              <w:wordWrap/>
              <w:overflowPunct/>
              <w:autoSpaceDN/>
              <w:bidi w:val="0"/>
              <w:spacing w:line="360" w:lineRule="auto"/>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szCs w:val="21"/>
                <w:highlight w:val="none"/>
                <w:lang w:val="en-US" w:eastAsia="zh-CN"/>
              </w:rPr>
              <w:t>30</w:t>
            </w:r>
          </w:p>
        </w:tc>
        <w:tc>
          <w:tcPr>
            <w:tcW w:w="2209" w:type="dxa"/>
            <w:gridSpan w:val="2"/>
            <w:tcBorders>
              <w:top w:val="single" w:color="auto" w:sz="4" w:space="0"/>
              <w:left w:val="single" w:color="auto" w:sz="4" w:space="0"/>
              <w:right w:val="single" w:color="auto" w:sz="4" w:space="0"/>
            </w:tcBorders>
            <w:noWrap/>
            <w:vAlign w:val="center"/>
          </w:tcPr>
          <w:p w14:paraId="397DB27E">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中标候选人公示媒介</w:t>
            </w:r>
          </w:p>
        </w:tc>
        <w:tc>
          <w:tcPr>
            <w:tcW w:w="7251" w:type="dxa"/>
            <w:tcBorders>
              <w:top w:val="single" w:color="auto" w:sz="4" w:space="0"/>
              <w:left w:val="single" w:color="auto" w:sz="4" w:space="0"/>
              <w:right w:val="single" w:color="auto" w:sz="4" w:space="0"/>
            </w:tcBorders>
            <w:noWrap/>
            <w:vAlign w:val="center"/>
          </w:tcPr>
          <w:p w14:paraId="5A01188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14:paraId="62635D2D">
            <w:pPr>
              <w:keepNext w:val="0"/>
              <w:keepLines w:val="0"/>
              <w:pageBreakBefore w:val="0"/>
              <w:kinsoku/>
              <w:wordWrap/>
              <w:overflowPunct/>
              <w:autoSpaceDE/>
              <w:autoSpaceDN/>
              <w:bidi w:val="0"/>
              <w:spacing w:line="360" w:lineRule="auto"/>
              <w:textAlignment w:val="auto"/>
              <w:rPr>
                <w:rFonts w:ascii="宋体" w:hAnsi="宋体" w:cs="宋体"/>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14:paraId="5598C43A">
        <w:tblPrEx>
          <w:tblCellMar>
            <w:top w:w="0" w:type="dxa"/>
            <w:left w:w="108" w:type="dxa"/>
            <w:bottom w:w="0" w:type="dxa"/>
            <w:right w:w="108" w:type="dxa"/>
          </w:tblCellMar>
        </w:tblPrEx>
        <w:trPr>
          <w:trHeight w:val="500" w:hRule="atLeast"/>
          <w:jc w:val="center"/>
        </w:trPr>
        <w:tc>
          <w:tcPr>
            <w:tcW w:w="868" w:type="dxa"/>
            <w:tcBorders>
              <w:top w:val="single" w:color="auto" w:sz="4" w:space="0"/>
              <w:left w:val="single" w:color="auto" w:sz="4" w:space="0"/>
              <w:right w:val="single" w:color="auto" w:sz="4" w:space="0"/>
            </w:tcBorders>
            <w:noWrap/>
            <w:vAlign w:val="center"/>
          </w:tcPr>
          <w:p w14:paraId="6AF264B2">
            <w:pPr>
              <w:keepNext w:val="0"/>
              <w:keepLines w:val="0"/>
              <w:pageBreakBefore w:val="0"/>
              <w:kinsoku/>
              <w:wordWrap/>
              <w:overflowPunct/>
              <w:autoSpaceDN/>
              <w:bidi w:val="0"/>
              <w:spacing w:line="360" w:lineRule="auto"/>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szCs w:val="21"/>
                <w:highlight w:val="none"/>
                <w:lang w:val="en-US" w:eastAsia="zh-CN"/>
              </w:rPr>
              <w:t>31</w:t>
            </w:r>
          </w:p>
        </w:tc>
        <w:tc>
          <w:tcPr>
            <w:tcW w:w="2209" w:type="dxa"/>
            <w:gridSpan w:val="2"/>
            <w:tcBorders>
              <w:top w:val="single" w:color="auto" w:sz="4" w:space="0"/>
              <w:left w:val="single" w:color="auto" w:sz="4" w:space="0"/>
              <w:right w:val="single" w:color="auto" w:sz="4" w:space="0"/>
            </w:tcBorders>
            <w:noWrap/>
            <w:vAlign w:val="center"/>
          </w:tcPr>
          <w:p w14:paraId="46AD0919">
            <w:pPr>
              <w:keepNext w:val="0"/>
              <w:keepLines w:val="0"/>
              <w:pageBreakBefore w:val="0"/>
              <w:kinsoku/>
              <w:wordWrap/>
              <w:overflowPunct/>
              <w:autoSpaceDE/>
              <w:autoSpaceDN/>
              <w:bidi w:val="0"/>
              <w:adjustRightInd w:val="0"/>
              <w:snapToGrid w:val="0"/>
              <w:spacing w:line="360" w:lineRule="auto"/>
              <w:textAlignment w:val="auto"/>
              <w:rPr>
                <w:rFonts w:hint="eastAsia" w:ascii="宋体" w:hAnsi="宋体" w:eastAsia="宋体" w:cs="宋体"/>
                <w:color w:val="000000"/>
                <w:kern w:val="2"/>
                <w:sz w:val="21"/>
                <w:szCs w:val="21"/>
                <w:highlight w:val="none"/>
                <w:lang w:val="en-US" w:eastAsia="zh-CN" w:bidi="ar-SA"/>
              </w:rPr>
            </w:pPr>
            <w:r>
              <w:rPr>
                <w:rFonts w:hint="eastAsia"/>
                <w:sz w:val="21"/>
                <w:szCs w:val="21"/>
                <w:highlight w:val="none"/>
              </w:rPr>
              <w:t>中标通知书发出形式</w:t>
            </w:r>
          </w:p>
        </w:tc>
        <w:tc>
          <w:tcPr>
            <w:tcW w:w="7251" w:type="dxa"/>
            <w:tcBorders>
              <w:top w:val="single" w:color="auto" w:sz="4" w:space="0"/>
              <w:left w:val="single" w:color="auto" w:sz="4" w:space="0"/>
              <w:right w:val="single" w:color="auto" w:sz="4" w:space="0"/>
            </w:tcBorders>
            <w:noWrap/>
            <w:vAlign w:val="center"/>
          </w:tcPr>
          <w:p w14:paraId="6F0D809A">
            <w:pPr>
              <w:keepNext w:val="0"/>
              <w:keepLines w:val="0"/>
              <w:pageBreakBefore w:val="0"/>
              <w:widowControl/>
              <w:kinsoku/>
              <w:wordWrap/>
              <w:overflowPunct/>
              <w:autoSpaceDE/>
              <w:autoSpaceDN/>
              <w:bidi w:val="0"/>
              <w:adjustRightInd w:val="0"/>
              <w:snapToGrid w:val="0"/>
              <w:spacing w:line="360" w:lineRule="auto"/>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u w:color="000000"/>
                <w:lang w:val="en-US" w:eastAsia="zh-CN" w:bidi="ar"/>
              </w:rPr>
              <w:t>中标通知书须加盖招标人、招标代理公司公章后发出。</w:t>
            </w:r>
          </w:p>
        </w:tc>
      </w:tr>
      <w:tr w14:paraId="036C355A">
        <w:tblPrEx>
          <w:tblCellMar>
            <w:top w:w="0" w:type="dxa"/>
            <w:left w:w="108" w:type="dxa"/>
            <w:bottom w:w="0" w:type="dxa"/>
            <w:right w:w="108" w:type="dxa"/>
          </w:tblCellMar>
        </w:tblPrEx>
        <w:trPr>
          <w:trHeight w:val="97"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0D4AB66">
            <w:pPr>
              <w:keepNext w:val="0"/>
              <w:keepLines w:val="0"/>
              <w:pageBreakBefore w:val="0"/>
              <w:kinsoku/>
              <w:wordWrap/>
              <w:overflowPunct/>
              <w:autoSpaceDN/>
              <w:bidi w:val="0"/>
              <w:spacing w:line="360" w:lineRule="auto"/>
              <w:jc w:val="center"/>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32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BBDAC4D">
            <w:pPr>
              <w:keepNext w:val="0"/>
              <w:keepLines w:val="0"/>
              <w:pageBreakBefore w:val="0"/>
              <w:kinsoku/>
              <w:wordWrap/>
              <w:overflowPunct/>
              <w:autoSpaceDN/>
              <w:bidi w:val="0"/>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履约担保</w:t>
            </w:r>
          </w:p>
        </w:tc>
        <w:tc>
          <w:tcPr>
            <w:tcW w:w="7251" w:type="dxa"/>
            <w:tcBorders>
              <w:top w:val="single" w:color="auto" w:sz="4" w:space="0"/>
              <w:left w:val="single" w:color="auto" w:sz="4" w:space="0"/>
              <w:bottom w:val="single" w:color="auto" w:sz="4" w:space="0"/>
              <w:right w:val="single" w:color="auto" w:sz="4" w:space="0"/>
            </w:tcBorders>
            <w:noWrap/>
            <w:vAlign w:val="center"/>
          </w:tcPr>
          <w:p w14:paraId="57A14FB2">
            <w:pPr>
              <w:keepNext w:val="0"/>
              <w:keepLines w:val="0"/>
              <w:pageBreakBefore w:val="0"/>
              <w:kinsoku/>
              <w:wordWrap/>
              <w:overflowPunct/>
              <w:autoSpaceDE/>
              <w:autoSpaceDN/>
              <w:bidi w:val="0"/>
              <w:spacing w:line="360" w:lineRule="auto"/>
              <w:textAlignment w:val="auto"/>
              <w:rPr>
                <w:rFonts w:ascii="宋体" w:hAnsi="宋体" w:cs="宋体"/>
                <w:bCs/>
                <w:color w:val="auto"/>
                <w:szCs w:val="21"/>
                <w:highlight w:val="none"/>
              </w:rPr>
            </w:pPr>
            <w:r>
              <w:rPr>
                <w:rFonts w:hint="eastAsia" w:ascii="宋体" w:hAnsi="宋体" w:cs="宋体"/>
                <w:bCs/>
                <w:color w:val="auto"/>
                <w:szCs w:val="21"/>
                <w:highlight w:val="none"/>
              </w:rPr>
              <w:t>履约担保的形式：支持银行转账、银行保函（见索即付无条件保函）、担保保函、商业保险、第三方担保（无条件担保）使用</w:t>
            </w:r>
          </w:p>
          <w:p w14:paraId="64302322">
            <w:pPr>
              <w:keepNext w:val="0"/>
              <w:keepLines w:val="0"/>
              <w:pageBreakBefore w:val="0"/>
              <w:kinsoku/>
              <w:wordWrap/>
              <w:overflowPunct/>
              <w:autoSpaceDE/>
              <w:autoSpaceDN/>
              <w:bidi w:val="0"/>
              <w:spacing w:line="360" w:lineRule="auto"/>
              <w:textAlignment w:val="auto"/>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履约担保的金额：</w:t>
            </w:r>
            <w:r>
              <w:rPr>
                <w:rFonts w:hint="eastAsia" w:ascii="宋体" w:hAnsi="宋体" w:eastAsia="宋体" w:cs="宋体"/>
                <w:bCs/>
                <w:color w:val="auto"/>
                <w:szCs w:val="21"/>
                <w:highlight w:val="none"/>
                <w:lang w:val="en-US" w:eastAsia="zh-CN"/>
              </w:rPr>
              <w:t>5</w:t>
            </w:r>
            <w:r>
              <w:rPr>
                <w:rFonts w:hint="eastAsia" w:ascii="宋体" w:hAnsi="宋体" w:eastAsia="宋体" w:cs="宋体"/>
                <w:bCs/>
                <w:color w:val="auto"/>
                <w:szCs w:val="21"/>
                <w:highlight w:val="none"/>
                <w:lang w:eastAsia="zh-CN"/>
              </w:rPr>
              <w:t>兆瓦（</w:t>
            </w:r>
            <w:r>
              <w:rPr>
                <w:rFonts w:hint="eastAsia" w:ascii="宋体" w:hAnsi="宋体" w:eastAsia="宋体" w:cs="宋体"/>
                <w:bCs/>
                <w:color w:val="auto"/>
                <w:szCs w:val="21"/>
                <w:highlight w:val="none"/>
                <w:lang w:val="en-US" w:eastAsia="zh-CN"/>
              </w:rPr>
              <w:t>直流侧）</w:t>
            </w:r>
            <w:r>
              <w:rPr>
                <w:rFonts w:hint="eastAsia" w:ascii="宋体" w:hAnsi="宋体" w:eastAsia="宋体" w:cs="宋体"/>
                <w:bCs/>
                <w:color w:val="auto"/>
                <w:szCs w:val="21"/>
                <w:highlight w:val="none"/>
              </w:rPr>
              <w:t>×</w:t>
            </w:r>
            <w:r>
              <w:rPr>
                <w:rFonts w:hint="eastAsia" w:ascii="宋体" w:hAnsi="宋体" w:eastAsia="宋体" w:cs="宋体"/>
                <w:bCs/>
                <w:color w:val="auto"/>
                <w:szCs w:val="21"/>
                <w:highlight w:val="none"/>
                <w:lang w:val="en-US" w:eastAsia="zh-CN"/>
              </w:rPr>
              <w:t>0.05元/Wp</w:t>
            </w:r>
            <w:r>
              <w:rPr>
                <w:rFonts w:hint="eastAsia" w:ascii="宋体" w:hAnsi="宋体" w:eastAsia="宋体" w:cs="宋体"/>
                <w:bCs/>
                <w:color w:val="auto"/>
                <w:szCs w:val="21"/>
                <w:highlight w:val="none"/>
              </w:rPr>
              <w:t>×</w:t>
            </w:r>
            <w:r>
              <w:rPr>
                <w:rFonts w:hint="eastAsia" w:ascii="宋体" w:hAnsi="宋体" w:eastAsia="宋体" w:cs="宋体"/>
                <w:bCs/>
                <w:color w:val="auto"/>
                <w:szCs w:val="21"/>
                <w:highlight w:val="none"/>
                <w:lang w:val="en-US" w:eastAsia="zh-CN"/>
              </w:rPr>
              <w:t>（1-中标下浮率）</w:t>
            </w:r>
            <w:r>
              <w:rPr>
                <w:rFonts w:hint="eastAsia" w:ascii="宋体" w:hAnsi="宋体" w:eastAsia="宋体" w:cs="宋体"/>
                <w:bCs/>
                <w:color w:val="auto"/>
                <w:szCs w:val="21"/>
                <w:highlight w:val="none"/>
              </w:rPr>
              <w:t>×2%</w:t>
            </w:r>
          </w:p>
          <w:p w14:paraId="4F22EBF8">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收款单位：中标后另行通知                 </w:t>
            </w:r>
          </w:p>
          <w:p w14:paraId="420B8239">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开户银行：中标后另行通知                   </w:t>
            </w:r>
          </w:p>
          <w:p w14:paraId="7A8F1231">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银行账号：中标后另行通知                   </w:t>
            </w:r>
          </w:p>
          <w:p w14:paraId="6A6E6589">
            <w:pPr>
              <w:keepNext w:val="0"/>
              <w:keepLines w:val="0"/>
              <w:pageBreakBefore w:val="0"/>
              <w:kinsoku/>
              <w:overflowPunct/>
              <w:autoSpaceDN/>
              <w:bidi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缴纳时限：中标人须在中标通知书发出后30日内完成履约保证金缴纳及合同签订（先缴纳履约保证金后签合同）。中标单位原因造成合同延期签订的，延期签订情节严重的，招标人有权取消其中标资格。并承担给招标人造成的损失，同时依法承担相应法律责任。   </w:t>
            </w:r>
          </w:p>
          <w:p w14:paraId="7AD6BAEA">
            <w:pPr>
              <w:keepNext w:val="0"/>
              <w:keepLines w:val="0"/>
              <w:pageBreakBefore w:val="0"/>
              <w:kinsoku/>
              <w:overflowPunct/>
              <w:autoSpaceDN/>
              <w:bidi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履约保证金退还时限：履约保证金在工程竣工验收合格后一个月内无息退还。</w:t>
            </w:r>
          </w:p>
          <w:p w14:paraId="1944A556">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其他相关要求：</w:t>
            </w:r>
          </w:p>
          <w:p w14:paraId="5A2E52CB">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1、采用银行保函的具体要求:按招标人要求提供</w:t>
            </w:r>
          </w:p>
          <w:p w14:paraId="0404B97A">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2、采用担保保函的具体要求：按招标人要求提供</w:t>
            </w:r>
          </w:p>
          <w:p w14:paraId="75072C65">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3、采用商业保险的具体要求：按招标人要求提供</w:t>
            </w:r>
          </w:p>
          <w:p w14:paraId="4FBB05F3">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4、采用第三方担保的具体要求：按招标人要求提供</w:t>
            </w:r>
          </w:p>
          <w:p w14:paraId="3E915FC8">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ascii="宋体" w:hAnsi="宋体" w:cs="宋体"/>
                <w:color w:val="auto"/>
                <w:szCs w:val="21"/>
                <w:highlight w:val="none"/>
              </w:rPr>
            </w:pPr>
            <w:r>
              <w:rPr>
                <w:rFonts w:hint="eastAsia" w:ascii="宋体" w:hAnsi="宋体" w:eastAsia="宋体" w:cs="宋体"/>
                <w:color w:val="auto"/>
                <w:sz w:val="21"/>
                <w:szCs w:val="21"/>
                <w:highlight w:val="none"/>
                <w:lang w:val="en-US" w:eastAsia="zh-CN"/>
              </w:rPr>
              <w:t>注：汇款务必注明缴款人名称及用途，切勿以现金存入。</w:t>
            </w:r>
          </w:p>
        </w:tc>
      </w:tr>
      <w:tr w14:paraId="1717AE69">
        <w:tblPrEx>
          <w:tblCellMar>
            <w:top w:w="0" w:type="dxa"/>
            <w:left w:w="108" w:type="dxa"/>
            <w:bottom w:w="0" w:type="dxa"/>
            <w:right w:w="108" w:type="dxa"/>
          </w:tblCellMar>
        </w:tblPrEx>
        <w:trPr>
          <w:trHeight w:val="9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14FFCA40">
            <w:pPr>
              <w:keepNext w:val="0"/>
              <w:keepLines w:val="0"/>
              <w:pageBreakBefore w:val="0"/>
              <w:kinsoku/>
              <w:wordWrap/>
              <w:overflowPunct/>
              <w:autoSpaceDN/>
              <w:bidi w:val="0"/>
              <w:spacing w:line="360" w:lineRule="auto"/>
              <w:jc w:val="center"/>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33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9E6E11B">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cs="宋体"/>
                <w:color w:val="auto"/>
                <w:szCs w:val="21"/>
                <w:highlight w:val="none"/>
              </w:rPr>
            </w:pPr>
            <w:r>
              <w:rPr>
                <w:rFonts w:hint="eastAsia" w:ascii="宋体" w:hAnsi="宋体" w:eastAsia="宋体" w:cs="宋体"/>
                <w:b/>
                <w:bCs/>
                <w:color w:val="auto"/>
                <w:sz w:val="21"/>
                <w:szCs w:val="21"/>
                <w:highlight w:val="none"/>
              </w:rPr>
              <w:t>付款方式</w:t>
            </w:r>
          </w:p>
        </w:tc>
        <w:tc>
          <w:tcPr>
            <w:tcW w:w="7251" w:type="dxa"/>
            <w:tcBorders>
              <w:top w:val="single" w:color="auto" w:sz="4" w:space="0"/>
              <w:left w:val="single" w:color="auto" w:sz="4" w:space="0"/>
              <w:bottom w:val="single" w:color="auto" w:sz="4" w:space="0"/>
              <w:right w:val="single" w:color="auto" w:sz="4" w:space="0"/>
            </w:tcBorders>
            <w:noWrap/>
            <w:vAlign w:val="center"/>
          </w:tcPr>
          <w:p w14:paraId="4B2F89E6">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招标范围内的初步设计报告（含附图、概算等）编制和可行性研究报告编制完成且通过评审后，移交所有成果文件并经招标人审核同意后支付至合同价的80%，项目竣工验收结束后支付至合同价的100%。</w:t>
            </w:r>
          </w:p>
        </w:tc>
      </w:tr>
      <w:tr w14:paraId="7129CE18">
        <w:tblPrEx>
          <w:tblCellMar>
            <w:top w:w="0" w:type="dxa"/>
            <w:left w:w="108" w:type="dxa"/>
            <w:bottom w:w="0" w:type="dxa"/>
            <w:right w:w="108" w:type="dxa"/>
          </w:tblCellMar>
        </w:tblPrEx>
        <w:trPr>
          <w:trHeight w:val="90" w:hRule="atLeast"/>
          <w:jc w:val="center"/>
        </w:trPr>
        <w:tc>
          <w:tcPr>
            <w:tcW w:w="10328" w:type="dxa"/>
            <w:gridSpan w:val="4"/>
            <w:tcBorders>
              <w:top w:val="single" w:color="auto" w:sz="4" w:space="0"/>
              <w:left w:val="single" w:color="auto" w:sz="4" w:space="0"/>
              <w:bottom w:val="single" w:color="auto" w:sz="4" w:space="0"/>
              <w:right w:val="single" w:color="auto" w:sz="4" w:space="0"/>
            </w:tcBorders>
            <w:noWrap/>
            <w:vAlign w:val="center"/>
          </w:tcPr>
          <w:p w14:paraId="3E3A6409">
            <w:pPr>
              <w:keepNext w:val="0"/>
              <w:keepLines w:val="0"/>
              <w:pageBreakBefore w:val="0"/>
              <w:kinsoku/>
              <w:wordWrap/>
              <w:overflowPunct/>
              <w:autoSpaceDN/>
              <w:bidi w:val="0"/>
              <w:spacing w:line="360" w:lineRule="auto"/>
              <w:jc w:val="center"/>
              <w:textAlignment w:val="auto"/>
              <w:rPr>
                <w:rFonts w:ascii="宋体" w:hAnsi="宋体" w:cs="宋体"/>
                <w:szCs w:val="21"/>
                <w:highlight w:val="none"/>
              </w:rPr>
            </w:pPr>
            <w:r>
              <w:rPr>
                <w:rFonts w:hint="eastAsia" w:ascii="宋体" w:hAnsi="宋体" w:cs="宋体"/>
                <w:szCs w:val="21"/>
                <w:highlight w:val="none"/>
              </w:rPr>
              <w:t>需要补充的其他内容</w:t>
            </w:r>
          </w:p>
        </w:tc>
      </w:tr>
      <w:tr w14:paraId="2AA9094C">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11490EC4">
            <w:pPr>
              <w:keepNext w:val="0"/>
              <w:keepLines w:val="0"/>
              <w:pageBreakBefore w:val="0"/>
              <w:kinsoku/>
              <w:wordWrap/>
              <w:overflowPunct/>
              <w:autoSpaceDN/>
              <w:bidi w:val="0"/>
              <w:adjustRightInd w:val="0"/>
              <w:snapToGrid w:val="0"/>
              <w:spacing w:line="360" w:lineRule="auto"/>
              <w:jc w:val="center"/>
              <w:textAlignment w:val="auto"/>
              <w:rPr>
                <w:rFonts w:ascii="宋体" w:hAnsi="宋体" w:cs="宋体"/>
                <w:szCs w:val="21"/>
                <w:highlight w:val="none"/>
              </w:rPr>
            </w:pPr>
            <w:r>
              <w:rPr>
                <w:rFonts w:hint="eastAsia" w:ascii="宋体" w:hAnsi="宋体" w:cs="宋体"/>
                <w:color w:val="auto"/>
                <w:sz w:val="21"/>
                <w:szCs w:val="21"/>
                <w:highlight w:val="none"/>
              </w:rPr>
              <w:t>招标代理服务费</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42B12792">
            <w:pPr>
              <w:keepNext w:val="0"/>
              <w:keepLines w:val="0"/>
              <w:pageBreakBefore w:val="0"/>
              <w:kinsoku/>
              <w:wordWrap/>
              <w:overflowPunct/>
              <w:topLinePunct w:val="0"/>
              <w:autoSpaceDE/>
              <w:autoSpaceDN/>
              <w:bidi w:val="0"/>
              <w:adjustRightInd/>
              <w:snapToGrid/>
              <w:spacing w:line="360" w:lineRule="auto"/>
              <w:textAlignment w:val="auto"/>
              <w:rPr>
                <w:rFonts w:ascii="宋体" w:hAnsi="宋体" w:cs="宋体"/>
                <w:kern w:val="0"/>
                <w:szCs w:val="21"/>
                <w:highlight w:val="none"/>
              </w:rPr>
            </w:pPr>
            <w:r>
              <w:rPr>
                <w:rFonts w:hint="eastAsia" w:ascii="宋体" w:hAnsi="宋体" w:cs="宋体"/>
                <w:kern w:val="0"/>
                <w:szCs w:val="21"/>
                <w:highlight w:val="none"/>
              </w:rPr>
              <w:t>代理服务具体金额：</w:t>
            </w:r>
            <w:r>
              <w:rPr>
                <w:rFonts w:hint="eastAsia" w:ascii="宋体" w:hAnsi="宋体" w:cs="宋体"/>
                <w:kern w:val="0"/>
                <w:szCs w:val="21"/>
                <w:highlight w:val="none"/>
                <w:lang w:val="en-US" w:eastAsia="zh-CN"/>
              </w:rPr>
              <w:t>3000</w:t>
            </w:r>
            <w:r>
              <w:rPr>
                <w:rFonts w:hint="eastAsia" w:ascii="宋体" w:hAnsi="宋体" w:cs="宋体"/>
                <w:kern w:val="0"/>
                <w:szCs w:val="21"/>
                <w:highlight w:val="none"/>
              </w:rPr>
              <w:t>元</w:t>
            </w:r>
            <w:r>
              <w:rPr>
                <w:rFonts w:hint="eastAsia" w:ascii="宋体" w:hAnsi="宋体" w:cs="宋体"/>
                <w:bCs/>
                <w:kern w:val="0"/>
                <w:highlight w:val="none"/>
              </w:rPr>
              <w:t>。</w:t>
            </w:r>
          </w:p>
          <w:p w14:paraId="7550C2A5">
            <w:pPr>
              <w:keepNext w:val="0"/>
              <w:keepLines w:val="0"/>
              <w:pageBreakBefore w:val="0"/>
              <w:kinsoku/>
              <w:wordWrap/>
              <w:overflowPunct/>
              <w:topLinePunct w:val="0"/>
              <w:autoSpaceDE/>
              <w:autoSpaceDN/>
              <w:bidi w:val="0"/>
              <w:adjustRightInd/>
              <w:snapToGrid/>
              <w:spacing w:line="360" w:lineRule="auto"/>
              <w:textAlignment w:val="auto"/>
              <w:rPr>
                <w:rFonts w:ascii="宋体" w:hAnsi="宋体" w:cs="宋体"/>
                <w:szCs w:val="21"/>
                <w:highlight w:val="none"/>
              </w:rPr>
            </w:pPr>
            <w:r>
              <w:rPr>
                <w:rFonts w:hint="eastAsia" w:ascii="宋体" w:hAnsi="宋体" w:cs="宋体"/>
                <w:kern w:val="0"/>
                <w:szCs w:val="21"/>
                <w:highlight w:val="none"/>
              </w:rPr>
              <w:t>代理服务费支付主体</w:t>
            </w:r>
            <w:r>
              <w:rPr>
                <w:rFonts w:hint="eastAsia" w:ascii="宋体" w:hAnsi="宋体" w:cs="宋体"/>
                <w:szCs w:val="21"/>
                <w:highlight w:val="none"/>
              </w:rPr>
              <w:t>：</w:t>
            </w:r>
            <w:r>
              <w:rPr>
                <w:rFonts w:hint="eastAsia" w:ascii="宋体" w:hAnsi="宋体" w:cs="宋体"/>
                <w:kern w:val="0"/>
                <w:szCs w:val="21"/>
                <w:highlight w:val="none"/>
              </w:rPr>
              <w:t>由中标单位在领取中标通知书时，一次性支付给代理机构。</w:t>
            </w:r>
          </w:p>
        </w:tc>
      </w:tr>
      <w:tr w14:paraId="0E8F1554">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0B3101E2">
            <w:pPr>
              <w:keepNext w:val="0"/>
              <w:keepLines w:val="0"/>
              <w:pageBreakBefore w:val="0"/>
              <w:kinsoku/>
              <w:wordWrap/>
              <w:overflowPunct/>
              <w:autoSpaceDN/>
              <w:bidi w:val="0"/>
              <w:adjustRightInd w:val="0"/>
              <w:snapToGrid w:val="0"/>
              <w:spacing w:line="360" w:lineRule="auto"/>
              <w:jc w:val="center"/>
              <w:textAlignment w:val="auto"/>
              <w:rPr>
                <w:rFonts w:hint="eastAsia" w:ascii="宋体" w:hAnsi="宋体" w:cs="宋体"/>
                <w:szCs w:val="21"/>
                <w:highlight w:val="none"/>
              </w:rPr>
            </w:pPr>
            <w:r>
              <w:rPr>
                <w:rFonts w:hint="eastAsia" w:ascii="宋体" w:hAnsi="宋体" w:cs="宋体"/>
                <w:color w:val="auto"/>
                <w:sz w:val="21"/>
                <w:szCs w:val="21"/>
                <w:highlight w:val="none"/>
              </w:rPr>
              <w:t>专家评审劳务费</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4F5FAE4A">
            <w:pPr>
              <w:keepNext w:val="0"/>
              <w:keepLines w:val="0"/>
              <w:pageBreakBefore w:val="0"/>
              <w:kinsoku/>
              <w:wordWrap/>
              <w:overflowPunct/>
              <w:autoSpaceDN/>
              <w:bidi w:val="0"/>
              <w:adjustRightInd w:val="0"/>
              <w:snapToGrid w:val="0"/>
              <w:spacing w:line="360" w:lineRule="auto"/>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费用或支付标准：</w:t>
            </w:r>
            <w:r>
              <w:rPr>
                <w:rFonts w:hint="eastAsia" w:ascii="宋体" w:hAnsi="宋体" w:cs="宋体"/>
                <w:color w:val="auto"/>
                <w:sz w:val="21"/>
                <w:szCs w:val="21"/>
                <w:highlight w:val="none"/>
                <w:lang w:val="en-US" w:eastAsia="zh-CN"/>
              </w:rPr>
              <w:t>以实际发生为准。</w:t>
            </w:r>
          </w:p>
          <w:p w14:paraId="0376B137">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kern w:val="0"/>
                <w:szCs w:val="21"/>
                <w:highlight w:val="none"/>
              </w:rPr>
            </w:pPr>
            <w:r>
              <w:rPr>
                <w:rFonts w:hint="eastAsia"/>
                <w:color w:val="auto"/>
                <w:sz w:val="21"/>
                <w:szCs w:val="21"/>
                <w:highlight w:val="none"/>
              </w:rPr>
              <w:t>支付主体：</w:t>
            </w:r>
            <w:r>
              <w:rPr>
                <w:rFonts w:hint="eastAsia"/>
                <w:color w:val="auto"/>
                <w:sz w:val="21"/>
                <w:szCs w:val="21"/>
                <w:highlight w:val="none"/>
                <w:lang w:val="en-US" w:eastAsia="zh-CN"/>
              </w:rPr>
              <w:t>中标单位</w:t>
            </w:r>
          </w:p>
        </w:tc>
      </w:tr>
      <w:tr w14:paraId="48F0B8EE">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7F2E76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szCs w:val="21"/>
                <w:highlight w:val="none"/>
              </w:rPr>
            </w:pPr>
            <w:r>
              <w:rPr>
                <w:rFonts w:hint="eastAsia" w:ascii="宋体" w:hAnsi="Times New Roman" w:eastAsia="宋体" w:cs="Times New Roman"/>
                <w:color w:val="auto"/>
                <w:sz w:val="21"/>
                <w:szCs w:val="21"/>
                <w:highlight w:val="none"/>
              </w:rPr>
              <w:t>解释权</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51A245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1、构成本招标文件的各个组成文件应互为解释，互为说明；</w:t>
            </w:r>
          </w:p>
          <w:p w14:paraId="5ED4FD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2、同一组成文件中就同一事项的规定或约定不一致的，以编排顺序在后者为准；</w:t>
            </w:r>
          </w:p>
          <w:p w14:paraId="7B0A50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3、如有不明确或不一致，构成合同文件组成内容的，以合同文件约定内容为准，且以专用合同条款约定的合同文件优先顺序解释；</w:t>
            </w:r>
          </w:p>
          <w:p w14:paraId="0D3ADB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宋体" w:hAnsi="宋体" w:cs="宋体"/>
                <w:szCs w:val="21"/>
                <w:highlight w:val="none"/>
                <w:lang w:val="en-US" w:eastAsia="zh-CN"/>
              </w:rPr>
            </w:pPr>
            <w:r>
              <w:rPr>
                <w:rFonts w:hint="eastAsia" w:ascii="宋体" w:hAnsi="Times New Roman" w:eastAsia="宋体" w:cs="Times New Roman"/>
                <w:color w:val="auto"/>
                <w:sz w:val="21"/>
                <w:szCs w:val="21"/>
                <w:highlight w:val="none"/>
                <w:lang w:val="en-US" w:eastAsia="zh-CN"/>
              </w:rPr>
              <w:t>4</w:t>
            </w:r>
            <w:r>
              <w:rPr>
                <w:rFonts w:hint="eastAsia" w:ascii="宋体" w:hAnsi="Times New Roman" w:eastAsia="宋体" w:cs="Times New Roman"/>
                <w:color w:val="auto"/>
                <w:sz w:val="21"/>
                <w:szCs w:val="21"/>
                <w:highlight w:val="none"/>
              </w:rPr>
              <w:t>、按本款前述规定仍不能形成结论的，由招标人负责解释。</w:t>
            </w:r>
          </w:p>
        </w:tc>
      </w:tr>
      <w:tr w14:paraId="2FCA490E">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65FC73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szCs w:val="21"/>
                <w:highlight w:val="none"/>
              </w:rPr>
            </w:pPr>
            <w:r>
              <w:rPr>
                <w:rFonts w:hint="eastAsia" w:ascii="宋体" w:hAnsi="Times New Roman" w:eastAsia="宋体" w:cs="Times New Roman"/>
                <w:color w:val="auto"/>
                <w:sz w:val="21"/>
                <w:szCs w:val="21"/>
                <w:highlight w:val="none"/>
              </w:rPr>
              <w:t>同义词语</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3E729A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宋体" w:hAnsi="宋体" w:cs="宋体"/>
                <w:szCs w:val="21"/>
                <w:highlight w:val="none"/>
                <w:lang w:val="en-US" w:eastAsia="zh-CN"/>
              </w:rPr>
            </w:pPr>
            <w:r>
              <w:rPr>
                <w:rFonts w:hint="eastAsia" w:ascii="宋体" w:hAnsi="Times New Roman" w:eastAsia="宋体" w:cs="Times New Roman"/>
                <w:color w:val="auto"/>
                <w:sz w:val="21"/>
                <w:szCs w:val="21"/>
                <w:highlight w:val="none"/>
              </w:rPr>
              <w:t>构成招标文件组成部分的“通用合同条款”、“专用合同条款”、“技术标准和要求”等章节中 “发包人”和“承包人”，等同于招标投标阶段的“招标人”和“投标人/中标人”。</w:t>
            </w:r>
          </w:p>
        </w:tc>
      </w:tr>
      <w:tr w14:paraId="28675B89">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0EF7C88F">
            <w:pPr>
              <w:keepNext w:val="0"/>
              <w:keepLines w:val="0"/>
              <w:pageBreakBefore w:val="0"/>
              <w:kinsoku/>
              <w:wordWrap/>
              <w:overflowPunct/>
              <w:autoSpaceDN/>
              <w:bidi w:val="0"/>
              <w:spacing w:line="360" w:lineRule="auto"/>
              <w:jc w:val="center"/>
              <w:textAlignment w:val="auto"/>
              <w:rPr>
                <w:rFonts w:hint="eastAsia" w:ascii="宋体" w:hAnsi="宋体" w:eastAsia="宋体" w:cs="宋体"/>
                <w:szCs w:val="21"/>
                <w:highlight w:val="none"/>
              </w:rPr>
            </w:pPr>
            <w:r>
              <w:rPr>
                <w:rFonts w:hint="eastAsia" w:ascii="宋体" w:hAnsi="宋体" w:eastAsia="宋体" w:cs="宋体"/>
                <w:szCs w:val="21"/>
                <w:highlight w:val="none"/>
              </w:rPr>
              <w:t>其他</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23C4ED68">
            <w:pPr>
              <w:keepNext w:val="0"/>
              <w:keepLines w:val="0"/>
              <w:pageBreakBefore w:val="0"/>
              <w:kinsoku/>
              <w:wordWrap/>
              <w:overflowPunct/>
              <w:topLinePunct w:val="0"/>
              <w:autoSpaceDE/>
              <w:autoSpaceDN/>
              <w:bidi w:val="0"/>
              <w:adjustRightInd/>
              <w:snapToGrid/>
              <w:spacing w:line="360" w:lineRule="auto"/>
              <w:textAlignment w:val="auto"/>
              <w:rPr>
                <w:rFonts w:ascii="宋体" w:hAnsi="宋体" w:cs="宋体"/>
                <w:szCs w:val="21"/>
                <w:highlight w:val="none"/>
              </w:rPr>
            </w:pPr>
            <w:r>
              <w:rPr>
                <w:rFonts w:hint="eastAsia" w:ascii="宋体" w:hAnsi="宋体" w:cs="宋体"/>
                <w:szCs w:val="21"/>
                <w:highlight w:val="none"/>
                <w:lang w:val="en-US" w:eastAsia="zh-CN"/>
              </w:rPr>
              <w:t>1</w:t>
            </w:r>
            <w:r>
              <w:rPr>
                <w:rFonts w:hint="eastAsia" w:ascii="宋体" w:hAnsi="宋体" w:cs="宋体"/>
                <w:szCs w:val="21"/>
                <w:highlight w:val="none"/>
              </w:rPr>
              <w:t>、本项目严禁非法转包，一经发现，招标人依法处理。</w:t>
            </w:r>
          </w:p>
          <w:p w14:paraId="18FE7FDC">
            <w:pPr>
              <w:keepNext w:val="0"/>
              <w:keepLines w:val="0"/>
              <w:pageBreakBefore w:val="0"/>
              <w:kinsoku/>
              <w:wordWrap/>
              <w:overflowPunct/>
              <w:topLinePunct w:val="0"/>
              <w:autoSpaceDE/>
              <w:autoSpaceDN/>
              <w:bidi w:val="0"/>
              <w:adjustRightInd/>
              <w:snapToGrid/>
              <w:spacing w:line="360" w:lineRule="auto"/>
              <w:textAlignment w:val="auto"/>
              <w:rPr>
                <w:rFonts w:ascii="宋体" w:hAnsi="宋体" w:cs="宋体"/>
                <w:strike/>
                <w:szCs w:val="21"/>
                <w:highlight w:val="none"/>
              </w:rPr>
            </w:pPr>
            <w:r>
              <w:rPr>
                <w:rFonts w:hint="eastAsia" w:ascii="宋体" w:hAnsi="宋体" w:cs="宋体"/>
                <w:szCs w:val="21"/>
                <w:highlight w:val="none"/>
                <w:lang w:val="en-US" w:eastAsia="zh-CN"/>
              </w:rPr>
              <w:t>2</w:t>
            </w:r>
            <w:r>
              <w:rPr>
                <w:rFonts w:hint="eastAsia" w:ascii="宋体" w:hAnsi="宋体" w:cs="宋体"/>
                <w:szCs w:val="21"/>
                <w:highlight w:val="none"/>
              </w:rPr>
              <w:t>、本文件的最终解释权归招标人、招标代理机构所有。</w:t>
            </w:r>
          </w:p>
        </w:tc>
      </w:tr>
      <w:tr w14:paraId="440C74B4">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40243679">
            <w:pPr>
              <w:keepNext w:val="0"/>
              <w:keepLines w:val="0"/>
              <w:pageBreakBefore w:val="0"/>
              <w:kinsoku/>
              <w:overflowPunct/>
              <w:autoSpaceDN/>
              <w:bidi w:val="0"/>
              <w:spacing w:line="360" w:lineRule="auto"/>
              <w:jc w:val="center"/>
              <w:textAlignment w:val="auto"/>
              <w:rPr>
                <w:rFonts w:hint="eastAsia" w:ascii="宋体" w:hAnsi="宋体" w:eastAsia="宋体" w:cs="宋体"/>
                <w:szCs w:val="21"/>
                <w:highlight w:val="none"/>
              </w:rPr>
            </w:pPr>
            <w:r>
              <w:rPr>
                <w:rFonts w:hint="eastAsia" w:ascii="宋体" w:hAnsi="宋体" w:cs="宋体"/>
                <w:szCs w:val="21"/>
                <w:highlight w:val="none"/>
              </w:rPr>
              <w:t>知识产权</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680D75CB">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构成本招标文件各个组成部分的文件，未经招标人书面同意，投标人不得擅自复印和用于非本招标项目所需的其他目的。投标人投标的所有投标文件、设计成果、图纸等资料和所有权、知识产权将归属于招标人，且不得索回。招标人有权全部或者部分使用未中标人投标文件中的技术成果或技术方案等，并不需征得未中标人的书面同意，且不需要支付任何使用费用。</w:t>
            </w:r>
          </w:p>
          <w:p w14:paraId="4BC902D5">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rPr>
              <w:t>知识产权的范围及归属：所有投标人的投标文件、设计成果、图纸等资料均应为原创，不得包含侵犯第三方知识产权的行为。否则造成相关责任及索赔由投标人自行承担。</w:t>
            </w:r>
          </w:p>
        </w:tc>
      </w:tr>
      <w:tr w14:paraId="11A41849">
        <w:tblPrEx>
          <w:tblCellMar>
            <w:top w:w="0" w:type="dxa"/>
            <w:left w:w="108" w:type="dxa"/>
            <w:bottom w:w="0" w:type="dxa"/>
            <w:right w:w="108" w:type="dxa"/>
          </w:tblCellMar>
        </w:tblPrEx>
        <w:trPr>
          <w:trHeight w:val="90" w:hRule="atLeast"/>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3493A0F8">
            <w:pPr>
              <w:keepNext w:val="0"/>
              <w:keepLines w:val="0"/>
              <w:pageBreakBefore w:val="0"/>
              <w:kinsoku/>
              <w:overflowPunct/>
              <w:autoSpaceDN/>
              <w:bidi w:val="0"/>
              <w:spacing w:line="360" w:lineRule="auto"/>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cs="宋体"/>
                <w:szCs w:val="21"/>
                <w:highlight w:val="none"/>
              </w:rPr>
              <w:t>保密要求</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0F778757">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rPr>
              <w:t>招标人提供的相关资料只供本次活动使用，各投标人应承担保密义务，不得擅自拷贝和传播。</w:t>
            </w:r>
          </w:p>
        </w:tc>
      </w:tr>
    </w:tbl>
    <w:p w14:paraId="735D540F">
      <w:pPr>
        <w:rPr>
          <w:rFonts w:hint="eastAsia" w:ascii="宋体" w:hAnsi="宋体" w:eastAsia="宋体" w:cs="宋体"/>
          <w:sz w:val="24"/>
          <w:szCs w:val="24"/>
          <w:highlight w:val="none"/>
        </w:rPr>
      </w:pPr>
      <w:bookmarkStart w:id="54" w:name="_Toc15058846"/>
      <w:bookmarkStart w:id="55" w:name="_Toc78803322"/>
      <w:bookmarkStart w:id="56" w:name="_Toc35425053"/>
      <w:bookmarkStart w:id="57" w:name="_Toc5813"/>
      <w:bookmarkStart w:id="58" w:name="_Toc35424887"/>
      <w:r>
        <w:rPr>
          <w:rFonts w:hint="eastAsia" w:ascii="宋体" w:hAnsi="宋体" w:eastAsia="宋体" w:cs="宋体"/>
          <w:sz w:val="24"/>
          <w:szCs w:val="24"/>
          <w:highlight w:val="none"/>
        </w:rPr>
        <w:br w:type="page"/>
      </w:r>
    </w:p>
    <w:p w14:paraId="6585086A">
      <w:pPr>
        <w:pStyle w:val="7"/>
        <w:spacing w:beforeLines="50" w:afterLines="50"/>
        <w:ind w:firstLine="482" w:firstLineChars="200"/>
        <w:rPr>
          <w:rFonts w:ascii="宋体" w:hAnsi="宋体" w:eastAsia="宋体" w:cs="宋体"/>
          <w:sz w:val="24"/>
          <w:szCs w:val="24"/>
          <w:highlight w:val="none"/>
        </w:rPr>
      </w:pPr>
      <w:r>
        <w:rPr>
          <w:rFonts w:hint="eastAsia" w:ascii="宋体" w:hAnsi="宋体" w:eastAsia="宋体" w:cs="宋体"/>
          <w:sz w:val="24"/>
          <w:szCs w:val="24"/>
          <w:highlight w:val="none"/>
        </w:rPr>
        <w:t>1. 总则</w:t>
      </w:r>
      <w:bookmarkEnd w:id="45"/>
      <w:bookmarkEnd w:id="46"/>
      <w:bookmarkEnd w:id="47"/>
      <w:bookmarkEnd w:id="48"/>
      <w:bookmarkEnd w:id="49"/>
      <w:bookmarkEnd w:id="50"/>
      <w:bookmarkEnd w:id="51"/>
      <w:bookmarkEnd w:id="52"/>
      <w:bookmarkEnd w:id="53"/>
      <w:bookmarkEnd w:id="54"/>
      <w:bookmarkEnd w:id="55"/>
      <w:bookmarkEnd w:id="56"/>
      <w:bookmarkEnd w:id="57"/>
      <w:bookmarkEnd w:id="58"/>
    </w:p>
    <w:p w14:paraId="2AE7C8E8">
      <w:pPr>
        <w:pStyle w:val="7"/>
        <w:ind w:firstLine="422" w:firstLineChars="200"/>
        <w:rPr>
          <w:rFonts w:ascii="宋体" w:hAnsi="宋体" w:eastAsia="宋体" w:cs="宋体"/>
          <w:kern w:val="44"/>
          <w:highlight w:val="none"/>
        </w:rPr>
      </w:pPr>
      <w:bookmarkStart w:id="59" w:name="_Toc324404816"/>
      <w:bookmarkStart w:id="60" w:name="_Toc247085690"/>
      <w:bookmarkStart w:id="61" w:name="_Toc144974498"/>
      <w:bookmarkStart w:id="62" w:name="_Toc152042306"/>
      <w:bookmarkStart w:id="63" w:name="_Toc506107270"/>
      <w:bookmarkStart w:id="64" w:name="_Toc296602421"/>
      <w:bookmarkStart w:id="65" w:name="_Toc246996919"/>
      <w:bookmarkStart w:id="66" w:name="_Toc78803323"/>
      <w:bookmarkStart w:id="67" w:name="_Toc246996176"/>
      <w:bookmarkStart w:id="68" w:name="_Toc35424888"/>
      <w:bookmarkStart w:id="69" w:name="_Toc15058847"/>
      <w:bookmarkStart w:id="70" w:name="_Toc152045530"/>
      <w:bookmarkStart w:id="71" w:name="_Toc179632547"/>
      <w:bookmarkStart w:id="72" w:name="_Toc35425054"/>
      <w:bookmarkStart w:id="73" w:name="_Toc4678"/>
      <w:r>
        <w:rPr>
          <w:rFonts w:hint="eastAsia" w:ascii="宋体" w:hAnsi="宋体" w:eastAsia="宋体" w:cs="宋体"/>
          <w:kern w:val="44"/>
          <w:highlight w:val="none"/>
        </w:rPr>
        <w:t>1.1 项目概况</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14:paraId="07780BC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1.1.1根据《中华人民共和国招标投标法》《中华人民共和国招标投标法实施条例》等有关法律、法规和规章的规定，本招标项目已具备招标条件，现对本项目施工监理进行招标。</w:t>
      </w:r>
    </w:p>
    <w:p w14:paraId="5AB354A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1.1.2 本招标项目招标人：见投标人须知前附表。</w:t>
      </w:r>
    </w:p>
    <w:p w14:paraId="7E46A02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1.1.3 本招标项目招标代理机构：见投标人须知前附表。</w:t>
      </w:r>
    </w:p>
    <w:p w14:paraId="77102B8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1.1.4 本招标项目名称：见投标人须知前附表。</w:t>
      </w:r>
    </w:p>
    <w:p w14:paraId="6CBC327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1.1.5 本招标项目建设地点：见投标人须知前附表。</w:t>
      </w:r>
    </w:p>
    <w:p w14:paraId="036B2C8D">
      <w:pPr>
        <w:pStyle w:val="7"/>
        <w:ind w:firstLine="422" w:firstLineChars="200"/>
        <w:rPr>
          <w:rFonts w:ascii="宋体" w:hAnsi="宋体" w:eastAsia="宋体" w:cs="宋体"/>
          <w:highlight w:val="none"/>
        </w:rPr>
      </w:pPr>
      <w:bookmarkStart w:id="74" w:name="_Toc506107271"/>
      <w:bookmarkStart w:id="75" w:name="_Toc324404817"/>
      <w:bookmarkStart w:id="76" w:name="_Toc78803324"/>
      <w:bookmarkStart w:id="77" w:name="_Toc152045531"/>
      <w:bookmarkStart w:id="78" w:name="_Toc7142"/>
      <w:bookmarkStart w:id="79" w:name="_Toc35424889"/>
      <w:bookmarkStart w:id="80" w:name="_Toc246996920"/>
      <w:bookmarkStart w:id="81" w:name="_Toc179632548"/>
      <w:bookmarkStart w:id="82" w:name="_Toc296602422"/>
      <w:bookmarkStart w:id="83" w:name="_Toc15058848"/>
      <w:bookmarkStart w:id="84" w:name="_Toc247085691"/>
      <w:bookmarkStart w:id="85" w:name="_Toc144974499"/>
      <w:bookmarkStart w:id="86" w:name="_Toc35425055"/>
      <w:bookmarkStart w:id="87" w:name="_Toc246996177"/>
      <w:bookmarkStart w:id="88" w:name="_Toc152042307"/>
      <w:r>
        <w:rPr>
          <w:rFonts w:hint="eastAsia" w:ascii="宋体" w:hAnsi="宋体" w:eastAsia="宋体" w:cs="宋体"/>
          <w:highlight w:val="none"/>
        </w:rPr>
        <w:t>1.2 资金来源和落实情况</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662000A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1.2.1 本招标项目的资金来源及出资比例：见投标人须知前附表。</w:t>
      </w:r>
    </w:p>
    <w:p w14:paraId="2086A8C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1.2.2 本招标项目的资金落实情况：见投标人须知前附表。</w:t>
      </w:r>
    </w:p>
    <w:p w14:paraId="77419EB9">
      <w:pPr>
        <w:pStyle w:val="7"/>
        <w:ind w:firstLine="422" w:firstLineChars="200"/>
        <w:rPr>
          <w:rFonts w:ascii="宋体" w:hAnsi="宋体" w:eastAsia="宋体" w:cs="宋体"/>
          <w:highlight w:val="none"/>
        </w:rPr>
      </w:pPr>
      <w:bookmarkStart w:id="89" w:name="_Toc324404818"/>
      <w:bookmarkStart w:id="90" w:name="_Toc35424890"/>
      <w:bookmarkStart w:id="91" w:name="_Toc144974500"/>
      <w:bookmarkStart w:id="92" w:name="_Toc247085692"/>
      <w:bookmarkStart w:id="93" w:name="_Toc246996178"/>
      <w:bookmarkStart w:id="94" w:name="_Toc15058849"/>
      <w:bookmarkStart w:id="95" w:name="_Toc179632549"/>
      <w:bookmarkStart w:id="96" w:name="_Toc152042308"/>
      <w:bookmarkStart w:id="97" w:name="_Toc506107272"/>
      <w:bookmarkStart w:id="98" w:name="_Toc246996921"/>
      <w:bookmarkStart w:id="99" w:name="_Toc6330"/>
      <w:bookmarkStart w:id="100" w:name="_Toc152045532"/>
      <w:bookmarkStart w:id="101" w:name="_Toc35425056"/>
      <w:bookmarkStart w:id="102" w:name="_Toc296602423"/>
      <w:bookmarkStart w:id="103" w:name="_Toc78803325"/>
      <w:r>
        <w:rPr>
          <w:rFonts w:hint="eastAsia" w:ascii="宋体" w:hAnsi="宋体" w:eastAsia="宋体" w:cs="宋体"/>
          <w:highlight w:val="none"/>
        </w:rPr>
        <w:t>1.3 招标范围、计划工期、质量要求</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14:paraId="4E6EC99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1.3.1 本次招标范围：见投标人须知前附表。</w:t>
      </w:r>
    </w:p>
    <w:p w14:paraId="4738494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1.3.2 本招标项目的监理服务期限：见投标人须知前附表。</w:t>
      </w:r>
    </w:p>
    <w:p w14:paraId="1CB8FAD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1.3.3 本招标项目的质量要求：见投标人须知前附表。</w:t>
      </w:r>
    </w:p>
    <w:p w14:paraId="26E33D0B">
      <w:pPr>
        <w:pStyle w:val="7"/>
        <w:ind w:firstLine="422" w:firstLineChars="200"/>
        <w:rPr>
          <w:rFonts w:ascii="宋体" w:hAnsi="宋体" w:eastAsia="宋体" w:cs="宋体"/>
          <w:highlight w:val="none"/>
        </w:rPr>
      </w:pPr>
      <w:bookmarkStart w:id="104" w:name="_Toc179632551"/>
      <w:bookmarkStart w:id="105" w:name="_Toc247085693"/>
      <w:bookmarkStart w:id="106" w:name="_Toc246996922"/>
      <w:bookmarkStart w:id="107" w:name="_Toc15058850"/>
      <w:bookmarkStart w:id="108" w:name="_Toc144974502"/>
      <w:bookmarkStart w:id="109" w:name="_Toc506107273"/>
      <w:bookmarkStart w:id="110" w:name="_Toc78803326"/>
      <w:bookmarkStart w:id="111" w:name="_Toc324404819"/>
      <w:bookmarkStart w:id="112" w:name="_Toc152045534"/>
      <w:bookmarkStart w:id="113" w:name="_Toc246996179"/>
      <w:bookmarkStart w:id="114" w:name="_Toc35425057"/>
      <w:bookmarkStart w:id="115" w:name="_Toc152042310"/>
      <w:bookmarkStart w:id="116" w:name="_Toc296602424"/>
      <w:bookmarkStart w:id="117" w:name="_Toc35424891"/>
      <w:bookmarkStart w:id="118" w:name="_Toc26897"/>
      <w:r>
        <w:rPr>
          <w:rFonts w:hint="eastAsia" w:ascii="宋体" w:hAnsi="宋体" w:eastAsia="宋体" w:cs="宋体"/>
          <w:highlight w:val="none"/>
        </w:rPr>
        <w:t>1.4 投标人资格要求</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473C4A8A">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1.4.1 投标人应具备承担本项目</w:t>
      </w:r>
      <w:r>
        <w:rPr>
          <w:rFonts w:hint="eastAsia" w:ascii="宋体" w:hAnsi="宋体" w:eastAsia="宋体" w:cs="宋体"/>
          <w:szCs w:val="21"/>
          <w:highlight w:val="none"/>
          <w:lang w:val="en-US" w:eastAsia="zh-CN"/>
        </w:rPr>
        <w:t>施工</w:t>
      </w:r>
      <w:r>
        <w:rPr>
          <w:rFonts w:hint="eastAsia" w:ascii="宋体" w:hAnsi="宋体" w:eastAsia="宋体" w:cs="宋体"/>
          <w:szCs w:val="21"/>
          <w:highlight w:val="none"/>
        </w:rPr>
        <w:t>的资质条件、能力和信誉。</w:t>
      </w:r>
    </w:p>
    <w:p w14:paraId="42CF7408">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（1）资质条件：见投标人须知前附表；</w:t>
      </w:r>
    </w:p>
    <w:p w14:paraId="213F5755">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（2）项目负责人资格：见投标人须知前附表；</w:t>
      </w:r>
    </w:p>
    <w:p w14:paraId="77975E29">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（3）信誉要求：见投标人须知前附表；</w:t>
      </w:r>
    </w:p>
    <w:p w14:paraId="1C33B202">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rPr>
        <w:t>）其他要求：见投标人须知前附表。</w:t>
      </w:r>
    </w:p>
    <w:p w14:paraId="66002C8A">
      <w:pPr>
        <w:spacing w:line="440" w:lineRule="exact"/>
        <w:ind w:firstLine="420" w:firstLineChars="200"/>
        <w:jc w:val="left"/>
        <w:rPr>
          <w:rFonts w:hint="eastAsia" w:ascii="宋体" w:hAnsi="宋体" w:eastAsia="宋体" w:cs="宋体"/>
          <w:szCs w:val="21"/>
          <w:highlight w:val="none"/>
        </w:rPr>
      </w:pPr>
      <w:bookmarkStart w:id="119" w:name="_Toc506107274"/>
      <w:bookmarkStart w:id="120" w:name="_Toc144974503"/>
      <w:bookmarkStart w:id="121" w:name="_Toc179632552"/>
      <w:bookmarkStart w:id="122" w:name="_Toc296602425"/>
      <w:bookmarkStart w:id="123" w:name="_Toc246996180"/>
      <w:bookmarkStart w:id="124" w:name="_Toc78803327"/>
      <w:bookmarkStart w:id="125" w:name="_Toc152045535"/>
      <w:bookmarkStart w:id="126" w:name="_Toc152042311"/>
      <w:bookmarkStart w:id="127" w:name="_Toc35425058"/>
      <w:bookmarkStart w:id="128" w:name="_Toc247085694"/>
      <w:bookmarkStart w:id="129" w:name="_Toc35424892"/>
      <w:bookmarkStart w:id="130" w:name="_Toc246996923"/>
      <w:bookmarkStart w:id="131" w:name="_Toc15058851"/>
      <w:bookmarkStart w:id="132" w:name="_Toc10179"/>
      <w:bookmarkStart w:id="133" w:name="_Toc324404820"/>
      <w:r>
        <w:rPr>
          <w:rFonts w:hint="eastAsia" w:ascii="宋体" w:hAnsi="宋体" w:eastAsia="宋体" w:cs="宋体"/>
          <w:szCs w:val="21"/>
          <w:highlight w:val="none"/>
        </w:rPr>
        <w:t>1.4.3投标人（包括联合体各成员）不得与本标段相关单位存在下列关联关系：</w:t>
      </w:r>
    </w:p>
    <w:p w14:paraId="5DE8D0B6">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（1）为招标人不具有独立法人资格的附属机构（单位）；</w:t>
      </w:r>
    </w:p>
    <w:p w14:paraId="09E6B8F6">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（2）与招标人存在利害关系且可能影响招标公正性；</w:t>
      </w:r>
    </w:p>
    <w:p w14:paraId="0505EF5B">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（3）与本标段的其他投标人同为一个单位负责人；</w:t>
      </w:r>
    </w:p>
    <w:p w14:paraId="36333F83">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（4）与本标段的其他投标人存在控股、管理关系；</w:t>
      </w:r>
    </w:p>
    <w:p w14:paraId="4D18F6F7">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（5）为本标段前期准备提供设计或咨询服务的法人或其任何附属机构（单位）(本</w:t>
      </w:r>
      <w:r>
        <w:rPr>
          <w:rFonts w:hint="eastAsia" w:ascii="宋体" w:hAnsi="宋体" w:cs="宋体"/>
          <w:szCs w:val="21"/>
          <w:highlight w:val="none"/>
          <w:lang w:val="en-US" w:eastAsia="zh-CN"/>
        </w:rPr>
        <w:t>项目</w:t>
      </w:r>
      <w:r>
        <w:rPr>
          <w:rFonts w:hint="eastAsia" w:ascii="宋体" w:hAnsi="宋体" w:eastAsia="宋体" w:cs="宋体"/>
          <w:szCs w:val="21"/>
          <w:highlight w:val="none"/>
        </w:rPr>
        <w:t>不采用)；</w:t>
      </w:r>
    </w:p>
    <w:p w14:paraId="73E24824">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（6）为本标段的监理人；</w:t>
      </w:r>
    </w:p>
    <w:p w14:paraId="43DEC31D">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（7）为本标段的代建人；</w:t>
      </w:r>
    </w:p>
    <w:p w14:paraId="56536154">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（8）为本标段的招标代理机构；</w:t>
      </w:r>
    </w:p>
    <w:p w14:paraId="34070789">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（9）与本标段的监理人或代建人或招标代理机构同为一个法定代表人；</w:t>
      </w:r>
    </w:p>
    <w:p w14:paraId="5B21E9B6">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（10）与本标段的监理人或代建人或招标代理机构存在控股或参股关系；</w:t>
      </w:r>
    </w:p>
    <w:p w14:paraId="552CFA51">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（11）法律法规或投标人须知前附表规定的其他情形。</w:t>
      </w:r>
    </w:p>
    <w:p w14:paraId="4D283291">
      <w:pPr>
        <w:pStyle w:val="7"/>
        <w:ind w:firstLine="422" w:firstLineChars="200"/>
        <w:rPr>
          <w:rFonts w:ascii="宋体" w:hAnsi="宋体" w:eastAsia="宋体" w:cs="宋体"/>
          <w:highlight w:val="none"/>
        </w:rPr>
      </w:pPr>
      <w:r>
        <w:rPr>
          <w:rFonts w:hint="eastAsia" w:ascii="宋体" w:hAnsi="宋体" w:eastAsia="宋体" w:cs="宋体"/>
          <w:highlight w:val="none"/>
        </w:rPr>
        <w:t>1.5 费用承担</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2CDB29E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投标人准备和参加投标活动发生的费用自理。</w:t>
      </w:r>
    </w:p>
    <w:p w14:paraId="6B9E8D17">
      <w:pPr>
        <w:pStyle w:val="7"/>
        <w:ind w:firstLine="422" w:firstLineChars="200"/>
        <w:rPr>
          <w:rFonts w:ascii="宋体" w:hAnsi="宋体" w:eastAsia="宋体" w:cs="宋体"/>
          <w:highlight w:val="none"/>
        </w:rPr>
      </w:pPr>
      <w:bookmarkStart w:id="134" w:name="_Toc179632553"/>
      <w:bookmarkStart w:id="135" w:name="_Toc4092"/>
      <w:bookmarkStart w:id="136" w:name="_Toc296602426"/>
      <w:bookmarkStart w:id="137" w:name="_Toc144974504"/>
      <w:bookmarkStart w:id="138" w:name="_Toc78803328"/>
      <w:bookmarkStart w:id="139" w:name="_Toc246996924"/>
      <w:bookmarkStart w:id="140" w:name="_Toc506107275"/>
      <w:bookmarkStart w:id="141" w:name="_Toc15058852"/>
      <w:bookmarkStart w:id="142" w:name="_Toc324404821"/>
      <w:bookmarkStart w:id="143" w:name="_Toc247085695"/>
      <w:bookmarkStart w:id="144" w:name="_Toc152045536"/>
      <w:bookmarkStart w:id="145" w:name="_Toc35424893"/>
      <w:bookmarkStart w:id="146" w:name="_Toc246996181"/>
      <w:bookmarkStart w:id="147" w:name="_Toc152042312"/>
      <w:bookmarkStart w:id="148" w:name="_Toc35425059"/>
      <w:r>
        <w:rPr>
          <w:rFonts w:hint="eastAsia" w:ascii="宋体" w:hAnsi="宋体" w:eastAsia="宋体" w:cs="宋体"/>
          <w:highlight w:val="none"/>
        </w:rPr>
        <w:t>1.6 保密</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709F25B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 xml:space="preserve">参与招标投标活动的各方应对招标文件和投标文件中的商业和技术等秘密保密，违者应对由此造成的后果承担法律责任。 </w:t>
      </w:r>
    </w:p>
    <w:p w14:paraId="17C94B32">
      <w:pPr>
        <w:pStyle w:val="7"/>
        <w:ind w:firstLine="422" w:firstLineChars="200"/>
        <w:rPr>
          <w:rFonts w:ascii="宋体" w:hAnsi="宋体" w:eastAsia="宋体" w:cs="宋体"/>
          <w:highlight w:val="none"/>
        </w:rPr>
      </w:pPr>
      <w:bookmarkStart w:id="149" w:name="_Toc144974505"/>
      <w:bookmarkStart w:id="150" w:name="_Toc152045537"/>
      <w:bookmarkStart w:id="151" w:name="_Toc35424894"/>
      <w:bookmarkStart w:id="152" w:name="_Toc152042313"/>
      <w:bookmarkStart w:id="153" w:name="_Toc179632554"/>
      <w:bookmarkStart w:id="154" w:name="_Toc506107276"/>
      <w:bookmarkStart w:id="155" w:name="_Toc247085696"/>
      <w:bookmarkStart w:id="156" w:name="_Toc4119"/>
      <w:bookmarkStart w:id="157" w:name="_Toc15058853"/>
      <w:bookmarkStart w:id="158" w:name="_Toc246996925"/>
      <w:bookmarkStart w:id="159" w:name="_Toc78803329"/>
      <w:bookmarkStart w:id="160" w:name="_Toc35425060"/>
      <w:bookmarkStart w:id="161" w:name="_Toc324404822"/>
      <w:bookmarkStart w:id="162" w:name="_Toc246996182"/>
      <w:bookmarkStart w:id="163" w:name="_Toc296602427"/>
      <w:r>
        <w:rPr>
          <w:rFonts w:hint="eastAsia" w:ascii="宋体" w:hAnsi="宋体" w:eastAsia="宋体" w:cs="宋体"/>
          <w:highlight w:val="none"/>
        </w:rPr>
        <w:t>1.7 语言</w:t>
      </w:r>
      <w:bookmarkEnd w:id="149"/>
      <w:r>
        <w:rPr>
          <w:rFonts w:hint="eastAsia" w:ascii="宋体" w:hAnsi="宋体" w:eastAsia="宋体" w:cs="宋体"/>
          <w:highlight w:val="none"/>
        </w:rPr>
        <w:t>文字</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13039B6C">
      <w:pPr>
        <w:spacing w:line="440" w:lineRule="exact"/>
        <w:ind w:firstLine="420" w:firstLineChars="200"/>
        <w:jc w:val="left"/>
        <w:rPr>
          <w:rFonts w:ascii="宋体" w:hAnsi="宋体" w:cs="宋体"/>
          <w:szCs w:val="21"/>
          <w:highlight w:val="none"/>
        </w:rPr>
      </w:pPr>
      <w:bookmarkStart w:id="164" w:name="_Toc246996926"/>
      <w:bookmarkStart w:id="165" w:name="_Toc246996183"/>
      <w:bookmarkStart w:id="166" w:name="_Toc179632555"/>
      <w:bookmarkStart w:id="167" w:name="_Toc144974506"/>
      <w:bookmarkStart w:id="168" w:name="_Toc152042314"/>
      <w:bookmarkStart w:id="169" w:name="_Toc247085697"/>
      <w:bookmarkStart w:id="170" w:name="_Toc152045538"/>
      <w:r>
        <w:rPr>
          <w:rFonts w:hint="eastAsia" w:ascii="宋体" w:hAnsi="宋体" w:cs="宋体"/>
          <w:szCs w:val="21"/>
          <w:highlight w:val="none"/>
        </w:rPr>
        <w:t>招标投标文件使用的语言文字为中文。专用术语使用外文的，应附有中文注释。</w:t>
      </w:r>
    </w:p>
    <w:p w14:paraId="07887133">
      <w:pPr>
        <w:pStyle w:val="7"/>
        <w:ind w:firstLine="422" w:firstLineChars="200"/>
        <w:rPr>
          <w:rFonts w:ascii="宋体" w:hAnsi="宋体" w:eastAsia="宋体" w:cs="宋体"/>
          <w:highlight w:val="none"/>
        </w:rPr>
      </w:pPr>
      <w:bookmarkStart w:id="171" w:name="_Toc35424895"/>
      <w:bookmarkStart w:id="172" w:name="_Toc296602428"/>
      <w:bookmarkStart w:id="173" w:name="_Toc506107277"/>
      <w:bookmarkStart w:id="174" w:name="_Toc15058854"/>
      <w:bookmarkStart w:id="175" w:name="_Toc13408"/>
      <w:bookmarkStart w:id="176" w:name="_Toc78803330"/>
      <w:bookmarkStart w:id="177" w:name="_Toc35425061"/>
      <w:bookmarkStart w:id="178" w:name="_Toc324404823"/>
      <w:r>
        <w:rPr>
          <w:rFonts w:hint="eastAsia" w:ascii="宋体" w:hAnsi="宋体" w:eastAsia="宋体" w:cs="宋体"/>
          <w:highlight w:val="none"/>
        </w:rPr>
        <w:t>1.8 计量单位</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14:paraId="3DEA88E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所有计量均采用中华人民共和国法定计量单位。</w:t>
      </w:r>
    </w:p>
    <w:p w14:paraId="6E75FA73">
      <w:pPr>
        <w:pStyle w:val="7"/>
        <w:ind w:firstLine="422" w:firstLineChars="200"/>
        <w:rPr>
          <w:rFonts w:ascii="宋体" w:hAnsi="宋体" w:eastAsia="宋体" w:cs="宋体"/>
          <w:highlight w:val="none"/>
        </w:rPr>
      </w:pPr>
      <w:bookmarkStart w:id="179" w:name="_Toc324404824"/>
      <w:bookmarkStart w:id="180" w:name="_Toc296602429"/>
      <w:bookmarkStart w:id="181" w:name="_Toc35424896"/>
      <w:bookmarkStart w:id="182" w:name="_Toc78803331"/>
      <w:bookmarkStart w:id="183" w:name="_Toc35425062"/>
      <w:bookmarkStart w:id="184" w:name="_Toc247527563"/>
      <w:bookmarkStart w:id="185" w:name="_Toc506107278"/>
      <w:bookmarkStart w:id="186" w:name="_Toc144974507"/>
      <w:bookmarkStart w:id="187" w:name="_Toc152042315"/>
      <w:bookmarkStart w:id="188" w:name="_Toc152045539"/>
      <w:bookmarkStart w:id="189" w:name="_Toc247592876"/>
      <w:bookmarkStart w:id="190" w:name="_Toc15058855"/>
      <w:bookmarkStart w:id="191" w:name="_Toc11493"/>
      <w:bookmarkStart w:id="192" w:name="_Toc247513962"/>
      <w:r>
        <w:rPr>
          <w:rFonts w:hint="eastAsia" w:ascii="宋体" w:hAnsi="宋体" w:eastAsia="宋体" w:cs="宋体"/>
          <w:highlight w:val="none"/>
        </w:rPr>
        <w:t>1.9 踏勘现场</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5AA9B494">
      <w:pPr>
        <w:spacing w:line="440" w:lineRule="exact"/>
        <w:ind w:firstLine="420" w:firstLineChars="200"/>
        <w:jc w:val="left"/>
        <w:rPr>
          <w:rFonts w:hint="eastAsia" w:ascii="宋体" w:hAnsi="宋体" w:eastAsia="宋体" w:cs="宋体"/>
          <w:szCs w:val="21"/>
          <w:highlight w:val="none"/>
        </w:rPr>
      </w:pPr>
      <w:bookmarkStart w:id="193" w:name="_Toc324404825"/>
      <w:bookmarkStart w:id="194" w:name="_Toc247527564"/>
      <w:bookmarkStart w:id="195" w:name="_Toc506107279"/>
      <w:bookmarkStart w:id="196" w:name="_Toc35424897"/>
      <w:bookmarkStart w:id="197" w:name="_Toc15058856"/>
      <w:bookmarkStart w:id="198" w:name="_Toc35425063"/>
      <w:bookmarkStart w:id="199" w:name="_Toc22954"/>
      <w:bookmarkStart w:id="200" w:name="_Toc78803332"/>
      <w:bookmarkStart w:id="201" w:name="_Toc247592877"/>
      <w:bookmarkStart w:id="202" w:name="_Toc144974508"/>
      <w:bookmarkStart w:id="203" w:name="_Toc247513963"/>
      <w:bookmarkStart w:id="204" w:name="_Toc152045540"/>
      <w:bookmarkStart w:id="205" w:name="_Toc152042316"/>
      <w:bookmarkStart w:id="206" w:name="_Toc296602430"/>
      <w:r>
        <w:rPr>
          <w:rFonts w:hint="eastAsia" w:ascii="宋体" w:hAnsi="宋体" w:eastAsia="宋体" w:cs="宋体"/>
          <w:szCs w:val="21"/>
          <w:highlight w:val="none"/>
        </w:rPr>
        <w:t xml:space="preserve">1.9.1前附表规定组织踏勘现场的，招标人按投标人须知前附表规定的时间、地点组织投标人踏勘项目现场。部分投标人未按时参加踏勘现场的，不影响踏勘现场的正常进行。招标人不得组织单个或部分投标人踏勘项目现场。 </w:t>
      </w:r>
    </w:p>
    <w:p w14:paraId="1D49473C">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1.9.2 投标人踏勘现场发生的费用自理。</w:t>
      </w:r>
    </w:p>
    <w:p w14:paraId="4EA36043">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1.9.3 除招标人的原因外，投标人自行负责在踏勘现场中所发生的人员伤亡和财产损失。</w:t>
      </w:r>
    </w:p>
    <w:p w14:paraId="50FCC1C9">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1.9.4 招标人在踏勘现场中介绍的工程场地和相关的周边环境情况，供投标人在编制投标文件时参考，招标人不对投标人据此作出的判断和决策负责。</w:t>
      </w:r>
    </w:p>
    <w:p w14:paraId="024D6A4F">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1.9.5无论投标人是否到施工现场实地踏勘，中标后签订合同时和履约过程中，投标人不得以不完全了解现场情况或现场情况与招标文件描述不一致等为由，提出任何形式的增加工程造价或索赔的要求。</w:t>
      </w:r>
    </w:p>
    <w:p w14:paraId="179FDA06">
      <w:pPr>
        <w:pStyle w:val="7"/>
        <w:ind w:firstLine="422" w:firstLineChars="200"/>
        <w:rPr>
          <w:rFonts w:ascii="宋体" w:hAnsi="宋体" w:eastAsia="宋体" w:cs="宋体"/>
          <w:highlight w:val="none"/>
        </w:rPr>
      </w:pPr>
      <w:r>
        <w:rPr>
          <w:rFonts w:hint="eastAsia" w:ascii="宋体" w:hAnsi="宋体" w:eastAsia="宋体" w:cs="宋体"/>
          <w:highlight w:val="none"/>
        </w:rPr>
        <w:t>1.10 投标预备会</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59781F3B">
      <w:pPr>
        <w:spacing w:line="440" w:lineRule="exact"/>
        <w:ind w:firstLine="420" w:firstLineChars="200"/>
        <w:jc w:val="left"/>
        <w:rPr>
          <w:rFonts w:hint="eastAsia" w:ascii="宋体" w:hAnsi="宋体" w:eastAsia="宋体" w:cs="宋体"/>
          <w:szCs w:val="21"/>
          <w:highlight w:val="none"/>
        </w:rPr>
      </w:pPr>
      <w:bookmarkStart w:id="207" w:name="_Toc83301699"/>
      <w:bookmarkStart w:id="208" w:name="_Toc95223347"/>
      <w:bookmarkStart w:id="209" w:name="_Toc60061444"/>
      <w:bookmarkStart w:id="210" w:name="_Toc32016"/>
      <w:bookmarkStart w:id="211" w:name="_Toc78803333"/>
      <w:bookmarkStart w:id="212" w:name="_Toc506107280"/>
      <w:bookmarkStart w:id="213" w:name="_Toc15058857"/>
      <w:bookmarkStart w:id="214" w:name="_Toc35424898"/>
      <w:bookmarkStart w:id="215" w:name="_Toc324404826"/>
      <w:bookmarkStart w:id="216" w:name="_Toc296602431"/>
      <w:bookmarkStart w:id="217" w:name="_Toc35425064"/>
      <w:r>
        <w:rPr>
          <w:rFonts w:hint="eastAsia" w:ascii="宋体" w:hAnsi="宋体" w:eastAsia="宋体" w:cs="宋体"/>
          <w:szCs w:val="21"/>
          <w:highlight w:val="none"/>
        </w:rPr>
        <w:t>1.10.1投标人须知前附表规定召开投标预备会的，招标人按投标人须知前附表规定的时间和地点召开投标预备会，澄清投标人提出的问题。</w:t>
      </w:r>
    </w:p>
    <w:p w14:paraId="68E1CBD9">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1.10.2投标人应在投标人须知前附表规定的时间前，将提出的问题送达招标人，以便招标人澄清。</w:t>
      </w:r>
    </w:p>
    <w:p w14:paraId="77334C7F">
      <w:pPr>
        <w:pStyle w:val="7"/>
        <w:ind w:firstLine="422" w:firstLineChars="200"/>
        <w:rPr>
          <w:rFonts w:hint="eastAsia" w:ascii="宋体" w:hAnsi="宋体" w:eastAsia="宋体" w:cs="宋体"/>
          <w:highlight w:val="none"/>
        </w:rPr>
      </w:pPr>
      <w:r>
        <w:rPr>
          <w:rFonts w:hint="eastAsia" w:ascii="宋体" w:hAnsi="宋体" w:eastAsia="宋体" w:cs="宋体"/>
          <w:highlight w:val="none"/>
        </w:rPr>
        <w:t>1.11 分包</w:t>
      </w:r>
      <w:bookmarkEnd w:id="207"/>
      <w:bookmarkEnd w:id="208"/>
      <w:bookmarkEnd w:id="209"/>
    </w:p>
    <w:p w14:paraId="4C37D79E">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1.11.1投标人拟在中标后将中标项目的部分非主体、非关键性工作进行分包的，应符合以下规定：</w:t>
      </w:r>
    </w:p>
    <w:p w14:paraId="656917F9">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（1）分包内容要求：招标人允许分包或不允许分包的专业工程（如有）应在投标人须知前附表中载明；</w:t>
      </w:r>
    </w:p>
    <w:p w14:paraId="5CB3AEC0">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（2）接受分包的第三人资格要求：分包人的资格能力应与其分包工程的标准和规模相适应，且具备投标人须知前附表中规定的资格条件；</w:t>
      </w:r>
    </w:p>
    <w:p w14:paraId="4C9BC43D">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（3）其他要求：投标人如有分包计划，应按第</w:t>
      </w:r>
      <w:r>
        <w:rPr>
          <w:rFonts w:hint="eastAsia" w:ascii="宋体" w:hAnsi="宋体" w:cs="宋体"/>
          <w:szCs w:val="21"/>
          <w:highlight w:val="none"/>
          <w:lang w:val="en-US" w:eastAsia="zh-CN"/>
        </w:rPr>
        <w:t>七</w:t>
      </w:r>
      <w:r>
        <w:rPr>
          <w:rFonts w:hint="eastAsia" w:ascii="宋体" w:hAnsi="宋体" w:eastAsia="宋体" w:cs="宋体"/>
          <w:szCs w:val="21"/>
          <w:highlight w:val="none"/>
        </w:rPr>
        <w:t>章“投标文件格式”的要求填写“拟分包项目情况表”，明确拟分包的工程及规模，且投标人中标后的分包应满足合同条款的相关要求。</w:t>
      </w:r>
    </w:p>
    <w:p w14:paraId="25700247">
      <w:pPr>
        <w:spacing w:line="440" w:lineRule="exact"/>
        <w:ind w:firstLine="420" w:firstLineChars="200"/>
        <w:jc w:val="left"/>
        <w:rPr>
          <w:rFonts w:hint="eastAsia" w:ascii="宋体" w:hAnsi="宋体" w:eastAsia="宋体" w:cs="宋体"/>
          <w:szCs w:val="21"/>
          <w:highlight w:val="none"/>
          <w:lang w:eastAsia="zh-CN"/>
        </w:rPr>
      </w:pPr>
      <w:r>
        <w:rPr>
          <w:rFonts w:hint="eastAsia" w:ascii="宋体" w:hAnsi="宋体" w:eastAsia="宋体" w:cs="宋体"/>
          <w:szCs w:val="21"/>
          <w:highlight w:val="none"/>
        </w:rPr>
        <w:t>1.11.2中标人不得向他人转让中标项目，接受分包的人不得再次分包。中标人应就分包项目向招标人负责，接受分包的人就分包项目承担连带责任</w:t>
      </w:r>
      <w:r>
        <w:rPr>
          <w:rFonts w:hint="eastAsia" w:ascii="宋体" w:hAnsi="宋体" w:eastAsia="宋体" w:cs="宋体"/>
          <w:szCs w:val="21"/>
          <w:highlight w:val="none"/>
          <w:lang w:eastAsia="zh-CN"/>
        </w:rPr>
        <w:t>。</w:t>
      </w:r>
    </w:p>
    <w:p w14:paraId="01FA1CA0">
      <w:pPr>
        <w:pStyle w:val="7"/>
        <w:ind w:firstLine="422" w:firstLineChars="200"/>
        <w:rPr>
          <w:rFonts w:ascii="宋体" w:hAnsi="宋体" w:eastAsia="宋体" w:cs="宋体"/>
          <w:highlight w:val="none"/>
        </w:rPr>
      </w:pPr>
      <w:r>
        <w:rPr>
          <w:rFonts w:hint="eastAsia" w:ascii="宋体" w:hAnsi="宋体" w:eastAsia="宋体" w:cs="宋体"/>
          <w:highlight w:val="none"/>
        </w:rPr>
        <w:t>1.1</w:t>
      </w:r>
      <w:r>
        <w:rPr>
          <w:rFonts w:hint="eastAsia" w:ascii="宋体" w:hAnsi="宋体" w:eastAsia="宋体" w:cs="宋体"/>
          <w:highlight w:val="none"/>
          <w:lang w:val="en-US" w:eastAsia="zh-CN"/>
        </w:rPr>
        <w:t>2</w:t>
      </w:r>
      <w:r>
        <w:rPr>
          <w:rFonts w:hint="eastAsia" w:ascii="宋体" w:hAnsi="宋体" w:eastAsia="宋体" w:cs="宋体"/>
          <w:highlight w:val="none"/>
        </w:rPr>
        <w:t xml:space="preserve"> 偏离</w:t>
      </w:r>
      <w:bookmarkEnd w:id="210"/>
      <w:bookmarkEnd w:id="211"/>
      <w:bookmarkEnd w:id="212"/>
      <w:bookmarkEnd w:id="213"/>
      <w:bookmarkEnd w:id="214"/>
      <w:bookmarkEnd w:id="215"/>
      <w:bookmarkEnd w:id="216"/>
      <w:bookmarkEnd w:id="217"/>
    </w:p>
    <w:p w14:paraId="6C0210C7">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1.12.1投标文件偏离招标文件某些要求，视为投标文件存在偏差。偏差包括重大偏差和细微偏差。</w:t>
      </w:r>
    </w:p>
    <w:p w14:paraId="37CEA0BF">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1.12.2投标文件应对招标文件的实质性要求和条件作出满足性或更有利于招标人的响应，否则，视为投标文件存在重大偏差，投标人的投标将被否决。</w:t>
      </w:r>
    </w:p>
    <w:p w14:paraId="29D3BBD4">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投标文件存在第四章“评标办法”中所列任一无效投标情形的，均属于存在重大偏差。</w:t>
      </w:r>
    </w:p>
    <w:p w14:paraId="5FF54E7D">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1.12.3投标文件中的下列偏差为细微偏差：</w:t>
      </w:r>
    </w:p>
    <w:p w14:paraId="369FF23D">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在按照第四章“评标办法”的规定对投标价进行算术性错误修正及其他错误修正后，最终投标报价未超过最高投标限价（如有）或未被否决投标的情况下，出现第四章“评标办法”规定的算术性错误和投标报价的其他错误；</w:t>
      </w:r>
    </w:p>
    <w:p w14:paraId="0E80F0C1">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（2）投标文件个别文字有遗漏错误等不影响投标文件实质性内容的偏差。</w:t>
      </w:r>
    </w:p>
    <w:p w14:paraId="5169B9EF">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1.12.4评标委员会对投标文件中的细微偏差按如下规定处理：</w:t>
      </w:r>
    </w:p>
    <w:p w14:paraId="291A7C9D">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对于本章第 1.12.3 项（1）目所述的细微偏差，按照第四章“评标办法”的规定予以修正并要求投标人进行澄清；</w:t>
      </w:r>
    </w:p>
    <w:p w14:paraId="2BAB6D79">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对于本章第 1.12.3 项（2）目所述的细微偏差，可要求投标人对细微偏差进行澄清。</w:t>
      </w:r>
    </w:p>
    <w:p w14:paraId="258F395D">
      <w:pPr>
        <w:pStyle w:val="7"/>
        <w:spacing w:beforeLines="50" w:afterLines="50"/>
        <w:ind w:firstLine="482" w:firstLineChars="200"/>
        <w:rPr>
          <w:rFonts w:ascii="宋体" w:hAnsi="宋体" w:eastAsia="宋体" w:cs="宋体"/>
          <w:sz w:val="24"/>
          <w:szCs w:val="24"/>
          <w:highlight w:val="none"/>
        </w:rPr>
      </w:pPr>
      <w:bookmarkStart w:id="218" w:name="_Toc246996930"/>
      <w:bookmarkStart w:id="219" w:name="_Toc247085701"/>
      <w:bookmarkStart w:id="220" w:name="_Toc4012"/>
      <w:bookmarkStart w:id="221" w:name="_Toc179632560"/>
      <w:bookmarkStart w:id="222" w:name="_Toc35424899"/>
      <w:bookmarkStart w:id="223" w:name="_Toc15058858"/>
      <w:bookmarkStart w:id="224" w:name="_Toc78803334"/>
      <w:bookmarkStart w:id="225" w:name="_Toc144974510"/>
      <w:bookmarkStart w:id="226" w:name="_Toc152045542"/>
      <w:bookmarkStart w:id="227" w:name="_Toc246996187"/>
      <w:bookmarkStart w:id="228" w:name="_Toc506107281"/>
      <w:bookmarkStart w:id="229" w:name="_Toc35425065"/>
      <w:bookmarkStart w:id="230" w:name="_Toc324404827"/>
      <w:bookmarkStart w:id="231" w:name="_Toc152042318"/>
      <w:r>
        <w:rPr>
          <w:rFonts w:hint="eastAsia" w:ascii="宋体" w:hAnsi="宋体" w:eastAsia="宋体" w:cs="宋体"/>
          <w:sz w:val="24"/>
          <w:szCs w:val="24"/>
          <w:highlight w:val="none"/>
        </w:rPr>
        <w:t>2. 招标文件</w:t>
      </w:r>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14:paraId="1E9A892E">
      <w:pPr>
        <w:pStyle w:val="7"/>
        <w:ind w:firstLine="422" w:firstLineChars="200"/>
        <w:rPr>
          <w:rFonts w:ascii="宋体" w:hAnsi="宋体" w:eastAsia="宋体" w:cs="宋体"/>
          <w:highlight w:val="none"/>
        </w:rPr>
      </w:pPr>
      <w:bookmarkStart w:id="232" w:name="_Toc13213"/>
      <w:bookmarkStart w:id="233" w:name="_Toc247085702"/>
      <w:bookmarkStart w:id="234" w:name="_Toc506107282"/>
      <w:bookmarkStart w:id="235" w:name="_Toc324404828"/>
      <w:bookmarkStart w:id="236" w:name="_Toc152042319"/>
      <w:bookmarkStart w:id="237" w:name="_Toc246996931"/>
      <w:bookmarkStart w:id="238" w:name="_Toc144974511"/>
      <w:bookmarkStart w:id="239" w:name="_Toc179632561"/>
      <w:bookmarkStart w:id="240" w:name="_Toc35425066"/>
      <w:bookmarkStart w:id="241" w:name="_Toc35424900"/>
      <w:bookmarkStart w:id="242" w:name="_Toc246996188"/>
      <w:bookmarkStart w:id="243" w:name="_Toc152045543"/>
      <w:bookmarkStart w:id="244" w:name="_Toc15058859"/>
      <w:bookmarkStart w:id="245" w:name="_Toc78803335"/>
      <w:bookmarkStart w:id="246" w:name="_Toc296602433"/>
      <w:r>
        <w:rPr>
          <w:rFonts w:hint="eastAsia" w:ascii="宋体" w:hAnsi="宋体" w:eastAsia="宋体" w:cs="宋体"/>
          <w:highlight w:val="none"/>
        </w:rPr>
        <w:t>2.1 招标文件的组成</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14:paraId="2F335EA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2.1.1 本招标文件包括：</w:t>
      </w:r>
    </w:p>
    <w:p w14:paraId="17A25422">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（1）招标公告；</w:t>
      </w:r>
    </w:p>
    <w:p w14:paraId="309C973C">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（2）投标人须知；</w:t>
      </w:r>
    </w:p>
    <w:p w14:paraId="794E1BCF">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（3）资格审查办法</w:t>
      </w:r>
    </w:p>
    <w:p w14:paraId="0F96BD3B">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（4）评标办法；</w:t>
      </w:r>
    </w:p>
    <w:p w14:paraId="21E08D67">
      <w:pPr>
        <w:spacing w:line="440" w:lineRule="exact"/>
        <w:ind w:firstLine="420" w:firstLineChars="200"/>
        <w:jc w:val="left"/>
        <w:rPr>
          <w:rFonts w:hint="eastAsia" w:ascii="宋体" w:hAnsi="宋体" w:eastAsia="宋体" w:cs="宋体"/>
          <w:szCs w:val="21"/>
          <w:highlight w:val="none"/>
          <w:lang w:eastAsia="zh-CN"/>
        </w:rPr>
      </w:pPr>
      <w:r>
        <w:rPr>
          <w:rFonts w:hint="eastAsia" w:ascii="宋体" w:hAnsi="宋体" w:eastAsia="宋体" w:cs="宋体"/>
          <w:szCs w:val="21"/>
          <w:highlight w:val="none"/>
        </w:rPr>
        <w:t>（5）工程量清单</w:t>
      </w:r>
      <w:r>
        <w:rPr>
          <w:rFonts w:hint="eastAsia" w:ascii="宋体" w:hAnsi="宋体" w:eastAsia="宋体" w:cs="宋体"/>
          <w:szCs w:val="21"/>
          <w:highlight w:val="none"/>
          <w:lang w:eastAsia="zh-CN"/>
        </w:rPr>
        <w:t>；</w:t>
      </w:r>
    </w:p>
    <w:p w14:paraId="66146639">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6</w:t>
      </w: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图纸</w:t>
      </w:r>
    </w:p>
    <w:p w14:paraId="70CE5832">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7</w:t>
      </w:r>
      <w:r>
        <w:rPr>
          <w:rFonts w:hint="eastAsia" w:ascii="宋体" w:hAnsi="宋体" w:eastAsia="宋体" w:cs="宋体"/>
          <w:szCs w:val="21"/>
          <w:highlight w:val="none"/>
        </w:rPr>
        <w:t>）合同条款及格式；</w:t>
      </w:r>
    </w:p>
    <w:p w14:paraId="3AB46C6B">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8</w:t>
      </w:r>
      <w:r>
        <w:rPr>
          <w:rFonts w:hint="eastAsia" w:ascii="宋体" w:hAnsi="宋体" w:eastAsia="宋体" w:cs="宋体"/>
          <w:szCs w:val="21"/>
          <w:highlight w:val="none"/>
        </w:rPr>
        <w:t>）投标文件格式；</w:t>
      </w:r>
    </w:p>
    <w:p w14:paraId="58EF797A">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9</w:t>
      </w:r>
      <w:r>
        <w:rPr>
          <w:rFonts w:hint="eastAsia" w:ascii="宋体" w:hAnsi="宋体" w:eastAsia="宋体" w:cs="宋体"/>
          <w:szCs w:val="21"/>
          <w:highlight w:val="none"/>
        </w:rPr>
        <w:t>）投标人须知前附表规定的其他材料。</w:t>
      </w:r>
    </w:p>
    <w:p w14:paraId="4A2A5929">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2.1.2 根据本章第1.10款、第2.2款和第2.3款对招标文件所作的澄清、修改，构成招标文件的组成部分。</w:t>
      </w:r>
    </w:p>
    <w:p w14:paraId="07992AB0">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2.1.3当招标文件、招标文件的澄清或修改等在同一内容的表述上不一致时，以最后发出的文件为准。</w:t>
      </w:r>
    </w:p>
    <w:p w14:paraId="3B513EA0">
      <w:pPr>
        <w:pStyle w:val="7"/>
        <w:ind w:firstLine="422" w:firstLineChars="200"/>
        <w:rPr>
          <w:rFonts w:hint="eastAsia" w:ascii="宋体" w:hAnsi="宋体" w:eastAsia="宋体" w:cs="宋体"/>
          <w:highlight w:val="none"/>
        </w:rPr>
      </w:pPr>
      <w:bookmarkStart w:id="247" w:name="_Toc35424901"/>
      <w:bookmarkStart w:id="248" w:name="_Toc296602434"/>
      <w:bookmarkStart w:id="249" w:name="_Toc246996932"/>
      <w:bookmarkStart w:id="250" w:name="_Toc15058860"/>
      <w:bookmarkStart w:id="251" w:name="_Toc35425067"/>
      <w:bookmarkStart w:id="252" w:name="_Toc78803336"/>
      <w:bookmarkStart w:id="253" w:name="_Toc152042320"/>
      <w:bookmarkStart w:id="254" w:name="_Toc506107283"/>
      <w:bookmarkStart w:id="255" w:name="_Toc247085703"/>
      <w:bookmarkStart w:id="256" w:name="_Toc246996189"/>
      <w:bookmarkStart w:id="257" w:name="_Toc152045544"/>
      <w:bookmarkStart w:id="258" w:name="_Toc144974512"/>
      <w:bookmarkStart w:id="259" w:name="_Toc179632562"/>
      <w:bookmarkStart w:id="260" w:name="_Toc32239"/>
      <w:bookmarkStart w:id="261" w:name="_Toc324404829"/>
      <w:r>
        <w:rPr>
          <w:rFonts w:hint="eastAsia" w:ascii="宋体" w:hAnsi="宋体" w:eastAsia="宋体" w:cs="宋体"/>
          <w:highlight w:val="none"/>
        </w:rPr>
        <w:t xml:space="preserve">2.2 </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r>
        <w:rPr>
          <w:rFonts w:hint="eastAsia" w:ascii="宋体" w:hAnsi="宋体" w:eastAsia="宋体" w:cs="宋体"/>
          <w:highlight w:val="none"/>
        </w:rPr>
        <w:t>招标文件的异议</w:t>
      </w:r>
    </w:p>
    <w:p w14:paraId="47165EF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投标人应仔细阅读和检查招标文件的全部内容。如有疑问，应在投标人须知前附表规定的时间</w:t>
      </w:r>
      <w:r>
        <w:rPr>
          <w:rFonts w:hint="eastAsia" w:ascii="宋体" w:hAnsi="宋体" w:cs="宋体"/>
          <w:szCs w:val="21"/>
          <w:highlight w:val="none"/>
          <w:lang w:val="en-US" w:eastAsia="zh-CN"/>
        </w:rPr>
        <w:t>和方式</w:t>
      </w:r>
      <w:r>
        <w:rPr>
          <w:rFonts w:hint="eastAsia" w:ascii="宋体" w:hAnsi="宋体" w:eastAsia="宋体" w:cs="宋体"/>
          <w:color w:val="auto"/>
          <w:szCs w:val="21"/>
          <w:highlight w:val="none"/>
          <w:lang w:val="en-US" w:eastAsia="zh-CN"/>
        </w:rPr>
        <w:t>提出</w:t>
      </w:r>
      <w:r>
        <w:rPr>
          <w:rFonts w:hint="eastAsia" w:ascii="宋体" w:hAnsi="宋体" w:cs="宋体"/>
          <w:szCs w:val="21"/>
          <w:highlight w:val="none"/>
        </w:rPr>
        <w:t>。</w:t>
      </w:r>
    </w:p>
    <w:p w14:paraId="5EC8A5BB">
      <w:pPr>
        <w:pStyle w:val="7"/>
        <w:ind w:firstLine="422" w:firstLineChars="200"/>
        <w:rPr>
          <w:rFonts w:hint="eastAsia" w:ascii="宋体" w:hAnsi="宋体" w:eastAsia="宋体" w:cs="宋体"/>
          <w:highlight w:val="none"/>
          <w:lang w:eastAsia="zh-CN"/>
        </w:rPr>
      </w:pPr>
      <w:bookmarkStart w:id="262" w:name="_Toc296602435"/>
      <w:bookmarkStart w:id="263" w:name="_Toc78803337"/>
      <w:bookmarkStart w:id="264" w:name="_Toc144974513"/>
      <w:bookmarkStart w:id="265" w:name="_Toc24633"/>
      <w:bookmarkStart w:id="266" w:name="_Toc35425068"/>
      <w:bookmarkStart w:id="267" w:name="_Toc247085704"/>
      <w:bookmarkStart w:id="268" w:name="_Toc246996190"/>
      <w:bookmarkStart w:id="269" w:name="_Toc152042321"/>
      <w:bookmarkStart w:id="270" w:name="_Toc152045545"/>
      <w:bookmarkStart w:id="271" w:name="_Toc324404830"/>
      <w:bookmarkStart w:id="272" w:name="_Toc15058861"/>
      <w:bookmarkStart w:id="273" w:name="_Toc35424902"/>
      <w:bookmarkStart w:id="274" w:name="_Toc179632563"/>
      <w:bookmarkStart w:id="275" w:name="_Toc506107284"/>
      <w:bookmarkStart w:id="276" w:name="_Toc246996933"/>
      <w:r>
        <w:rPr>
          <w:rFonts w:hint="eastAsia" w:ascii="宋体" w:hAnsi="宋体" w:eastAsia="宋体" w:cs="宋体"/>
          <w:highlight w:val="none"/>
        </w:rPr>
        <w:t>2.3 招标文件的</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r>
        <w:rPr>
          <w:rFonts w:hint="eastAsia" w:ascii="宋体" w:hAnsi="宋体" w:eastAsia="宋体" w:cs="宋体"/>
          <w:highlight w:val="none"/>
          <w:lang w:val="en-US" w:eastAsia="zh-CN"/>
        </w:rPr>
        <w:t>澄清</w:t>
      </w:r>
    </w:p>
    <w:p w14:paraId="47D94C5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szCs w:val="21"/>
          <w:highlight w:val="none"/>
        </w:rPr>
      </w:pPr>
      <w:bookmarkStart w:id="277" w:name="_Toc15058862"/>
      <w:bookmarkStart w:id="278" w:name="_Toc35424903"/>
      <w:bookmarkStart w:id="279" w:name="_Toc78803338"/>
      <w:bookmarkStart w:id="280" w:name="_Toc35425069"/>
      <w:bookmarkStart w:id="281" w:name="_Toc324404831"/>
      <w:bookmarkStart w:id="282" w:name="_Toc2696"/>
      <w:r>
        <w:rPr>
          <w:rFonts w:hint="eastAsia" w:ascii="宋体" w:hAnsi="宋体" w:eastAsia="宋体" w:cs="宋体"/>
          <w:szCs w:val="21"/>
          <w:highlight w:val="none"/>
        </w:rPr>
        <w:t>招标文件的澄清将在</w:t>
      </w:r>
      <w:r>
        <w:rPr>
          <w:rFonts w:hint="eastAsia" w:ascii="宋体" w:hAnsi="宋体" w:cs="宋体"/>
          <w:color w:val="auto"/>
          <w:szCs w:val="21"/>
          <w:highlight w:val="none"/>
          <w:lang w:eastAsia="zh-CN"/>
        </w:rPr>
        <w:t>滁州市扬子工业投资集团有限公司官网（https://czyzgtjt.com/）、滁州市城投工程咨询管理有限公司（https://www.czctgczx.com/）</w:t>
      </w:r>
      <w:r>
        <w:rPr>
          <w:rFonts w:hint="eastAsia" w:ascii="宋体" w:hAnsi="宋体" w:eastAsia="宋体" w:cs="宋体"/>
          <w:szCs w:val="21"/>
          <w:highlight w:val="none"/>
        </w:rPr>
        <w:t>发布，但不指明澄清问题的来源。</w:t>
      </w:r>
    </w:p>
    <w:bookmarkEnd w:id="277"/>
    <w:bookmarkEnd w:id="278"/>
    <w:bookmarkEnd w:id="279"/>
    <w:bookmarkEnd w:id="280"/>
    <w:bookmarkEnd w:id="281"/>
    <w:bookmarkEnd w:id="282"/>
    <w:p w14:paraId="5681C7DF">
      <w:pPr>
        <w:pStyle w:val="7"/>
        <w:spacing w:beforeLines="50" w:afterLines="50"/>
        <w:ind w:firstLine="482" w:firstLineChars="200"/>
        <w:rPr>
          <w:rFonts w:ascii="宋体" w:hAnsi="宋体" w:eastAsia="宋体" w:cs="宋体"/>
          <w:sz w:val="24"/>
          <w:szCs w:val="24"/>
          <w:highlight w:val="none"/>
        </w:rPr>
      </w:pPr>
      <w:bookmarkStart w:id="283" w:name="_Toc152045546"/>
      <w:bookmarkStart w:id="284" w:name="_Toc246996934"/>
      <w:bookmarkStart w:id="285" w:name="_Toc246996191"/>
      <w:bookmarkStart w:id="286" w:name="_Toc144974514"/>
      <w:bookmarkStart w:id="287" w:name="_Toc78803339"/>
      <w:bookmarkStart w:id="288" w:name="_Toc6464"/>
      <w:bookmarkStart w:id="289" w:name="_Toc247085705"/>
      <w:bookmarkStart w:id="290" w:name="_Toc324404832"/>
      <w:bookmarkStart w:id="291" w:name="_Toc35425070"/>
      <w:bookmarkStart w:id="292" w:name="_Toc506107285"/>
      <w:bookmarkStart w:id="293" w:name="_Toc152042322"/>
      <w:bookmarkStart w:id="294" w:name="_Toc179632564"/>
      <w:bookmarkStart w:id="295" w:name="_Toc15058863"/>
      <w:bookmarkStart w:id="296" w:name="_Toc35424904"/>
      <w:r>
        <w:rPr>
          <w:rFonts w:hint="eastAsia" w:ascii="宋体" w:hAnsi="宋体" w:eastAsia="宋体" w:cs="宋体"/>
          <w:sz w:val="24"/>
          <w:szCs w:val="24"/>
          <w:highlight w:val="none"/>
        </w:rPr>
        <w:t>3. 投标文件</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p w14:paraId="218225A2">
      <w:pPr>
        <w:pStyle w:val="7"/>
        <w:ind w:firstLine="422" w:firstLineChars="200"/>
        <w:rPr>
          <w:rFonts w:ascii="宋体" w:hAnsi="宋体" w:eastAsia="宋体" w:cs="宋体"/>
          <w:highlight w:val="none"/>
        </w:rPr>
      </w:pPr>
      <w:bookmarkStart w:id="297" w:name="_Toc152045547"/>
      <w:bookmarkStart w:id="298" w:name="_Toc157"/>
      <w:bookmarkStart w:id="299" w:name="_Toc15058864"/>
      <w:bookmarkStart w:id="300" w:name="_Toc246996935"/>
      <w:bookmarkStart w:id="301" w:name="_Toc246996192"/>
      <w:bookmarkStart w:id="302" w:name="_Toc35424905"/>
      <w:bookmarkStart w:id="303" w:name="_Toc152042323"/>
      <w:bookmarkStart w:id="304" w:name="_Toc144974515"/>
      <w:bookmarkStart w:id="305" w:name="_Toc78803340"/>
      <w:bookmarkStart w:id="306" w:name="_Toc506107286"/>
      <w:bookmarkStart w:id="307" w:name="_Toc296602437"/>
      <w:bookmarkStart w:id="308" w:name="_Toc35425071"/>
      <w:bookmarkStart w:id="309" w:name="_Toc247085706"/>
      <w:bookmarkStart w:id="310" w:name="_Toc179632565"/>
      <w:bookmarkStart w:id="311" w:name="_Toc324404833"/>
      <w:r>
        <w:rPr>
          <w:rFonts w:hint="eastAsia" w:ascii="宋体" w:hAnsi="宋体" w:eastAsia="宋体" w:cs="宋体"/>
          <w:highlight w:val="none"/>
        </w:rPr>
        <w:t>3.1 投标文件的组成</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6871D10E">
      <w:pPr>
        <w:spacing w:line="440" w:lineRule="exact"/>
        <w:ind w:firstLine="420" w:firstLineChars="200"/>
        <w:jc w:val="left"/>
        <w:rPr>
          <w:rFonts w:ascii="宋体" w:hAnsi="宋体" w:cs="宋体"/>
          <w:szCs w:val="21"/>
          <w:highlight w:val="none"/>
        </w:rPr>
      </w:pPr>
      <w:r>
        <w:rPr>
          <w:rFonts w:hint="eastAsia" w:ascii="宋体" w:hAnsi="宋体" w:eastAsia="宋体" w:cs="宋体"/>
          <w:bCs/>
          <w:color w:val="000000"/>
          <w:kern w:val="0"/>
          <w:sz w:val="21"/>
          <w:szCs w:val="21"/>
          <w:highlight w:val="none"/>
          <w:u w:color="000000"/>
          <w:lang w:val="en-US" w:eastAsia="zh-CN" w:bidi="ar"/>
        </w:rPr>
        <w:t>投标文件</w:t>
      </w:r>
      <w:r>
        <w:rPr>
          <w:rFonts w:hint="default" w:ascii="宋体" w:hAnsi="宋体" w:eastAsia="宋体" w:cs="宋体"/>
          <w:bCs/>
          <w:color w:val="000000"/>
          <w:kern w:val="0"/>
          <w:sz w:val="21"/>
          <w:szCs w:val="21"/>
          <w:highlight w:val="none"/>
          <w:u w:color="000000"/>
          <w:lang w:val="en-US" w:eastAsia="zh-CN" w:bidi="ar"/>
        </w:rPr>
        <w:t>须</w:t>
      </w:r>
      <w:r>
        <w:rPr>
          <w:rFonts w:hint="eastAsia" w:ascii="宋体" w:hAnsi="宋体" w:eastAsia="宋体" w:cs="宋体"/>
          <w:bCs/>
          <w:color w:val="000000"/>
          <w:kern w:val="0"/>
          <w:sz w:val="21"/>
          <w:szCs w:val="21"/>
          <w:highlight w:val="none"/>
          <w:u w:color="000000"/>
          <w:lang w:val="en-US" w:eastAsia="zh-CN" w:bidi="ar"/>
        </w:rPr>
        <w:t>签字盖章完毕后扫描成一个连续性的整体</w:t>
      </w:r>
      <w:r>
        <w:rPr>
          <w:rFonts w:hint="eastAsia" w:ascii="宋体" w:hAnsi="宋体" w:cs="宋体"/>
          <w:bCs/>
          <w:color w:val="000000"/>
          <w:kern w:val="0"/>
          <w:sz w:val="21"/>
          <w:szCs w:val="21"/>
          <w:highlight w:val="none"/>
          <w:u w:color="000000"/>
          <w:lang w:val="en-US" w:eastAsia="zh-CN" w:bidi="ar"/>
        </w:rPr>
        <w:t>加密</w:t>
      </w:r>
      <w:r>
        <w:rPr>
          <w:rFonts w:hint="eastAsia" w:ascii="宋体" w:hAnsi="宋体" w:eastAsia="宋体" w:cs="宋体"/>
          <w:bCs/>
          <w:color w:val="000000"/>
          <w:kern w:val="0"/>
          <w:sz w:val="21"/>
          <w:szCs w:val="21"/>
          <w:highlight w:val="none"/>
          <w:u w:color="000000"/>
          <w:lang w:val="en-US" w:eastAsia="zh-CN" w:bidi="ar"/>
        </w:rPr>
        <w:t>PDF格式文件</w:t>
      </w:r>
      <w:r>
        <w:rPr>
          <w:rFonts w:hint="eastAsia" w:ascii="宋体" w:hAnsi="宋体" w:cs="宋体"/>
          <w:szCs w:val="21"/>
          <w:highlight w:val="none"/>
          <w:lang w:eastAsia="zh-CN"/>
        </w:rPr>
        <w:t>。</w:t>
      </w:r>
      <w:r>
        <w:rPr>
          <w:rFonts w:hint="eastAsia" w:ascii="宋体" w:hAnsi="宋体" w:cs="宋体"/>
          <w:szCs w:val="21"/>
          <w:highlight w:val="none"/>
        </w:rPr>
        <w:t>具体要求详见本招标文件第</w:t>
      </w:r>
      <w:r>
        <w:rPr>
          <w:rFonts w:hint="eastAsia" w:ascii="宋体" w:hAnsi="宋体" w:cs="宋体"/>
          <w:szCs w:val="21"/>
          <w:highlight w:val="none"/>
          <w:lang w:val="en-US" w:eastAsia="zh-CN"/>
        </w:rPr>
        <w:t>七</w:t>
      </w:r>
      <w:r>
        <w:rPr>
          <w:rFonts w:hint="eastAsia" w:ascii="宋体" w:hAnsi="宋体" w:cs="宋体"/>
          <w:szCs w:val="21"/>
          <w:highlight w:val="none"/>
        </w:rPr>
        <w:t>章“投标文件格式”。</w:t>
      </w:r>
    </w:p>
    <w:p w14:paraId="68B92645">
      <w:pPr>
        <w:pStyle w:val="7"/>
        <w:ind w:firstLine="422" w:firstLineChars="200"/>
        <w:rPr>
          <w:rFonts w:ascii="宋体" w:hAnsi="宋体" w:eastAsia="宋体" w:cs="宋体"/>
          <w:highlight w:val="none"/>
        </w:rPr>
      </w:pPr>
      <w:bookmarkStart w:id="312" w:name="_Toc246996193"/>
      <w:bookmarkStart w:id="313" w:name="_Toc247085707"/>
      <w:bookmarkStart w:id="314" w:name="_Toc35425072"/>
      <w:bookmarkStart w:id="315" w:name="_Toc144974516"/>
      <w:bookmarkStart w:id="316" w:name="_Toc324404834"/>
      <w:bookmarkStart w:id="317" w:name="_Toc6829"/>
      <w:bookmarkStart w:id="318" w:name="_Toc15058865"/>
      <w:bookmarkStart w:id="319" w:name="_Toc246996936"/>
      <w:bookmarkStart w:id="320" w:name="_Toc296602438"/>
      <w:bookmarkStart w:id="321" w:name="_Toc152045548"/>
      <w:bookmarkStart w:id="322" w:name="_Toc78803341"/>
      <w:bookmarkStart w:id="323" w:name="_Toc35424906"/>
      <w:bookmarkStart w:id="324" w:name="_Toc179632566"/>
      <w:bookmarkStart w:id="325" w:name="_Toc506107287"/>
      <w:bookmarkStart w:id="326" w:name="_Toc152042324"/>
      <w:r>
        <w:rPr>
          <w:rFonts w:hint="eastAsia" w:ascii="宋体" w:hAnsi="宋体" w:eastAsia="宋体" w:cs="宋体"/>
          <w:highlight w:val="none"/>
        </w:rPr>
        <w:t>3.2 投标报价</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14:paraId="705FA1B6">
      <w:pPr>
        <w:spacing w:line="440" w:lineRule="exact"/>
        <w:ind w:firstLine="420" w:firstLineChars="200"/>
        <w:jc w:val="left"/>
        <w:rPr>
          <w:rFonts w:hint="eastAsia" w:ascii="宋体" w:hAnsi="宋体" w:eastAsia="宋体" w:cs="宋体"/>
          <w:szCs w:val="21"/>
          <w:highlight w:val="none"/>
          <w:lang w:eastAsia="zh-CN"/>
        </w:rPr>
      </w:pPr>
      <w:bookmarkStart w:id="327" w:name="_Toc324404835"/>
      <w:bookmarkStart w:id="328" w:name="_Toc35424907"/>
      <w:bookmarkStart w:id="329" w:name="_Toc246996937"/>
      <w:bookmarkStart w:id="330" w:name="_Toc506107288"/>
      <w:bookmarkStart w:id="331" w:name="_Toc144974517"/>
      <w:bookmarkStart w:id="332" w:name="_Toc179632567"/>
      <w:bookmarkStart w:id="333" w:name="_Toc15058866"/>
      <w:bookmarkStart w:id="334" w:name="_Toc247085708"/>
      <w:bookmarkStart w:id="335" w:name="_Toc31735"/>
      <w:bookmarkStart w:id="336" w:name="_Toc296602439"/>
      <w:bookmarkStart w:id="337" w:name="_Toc152042325"/>
      <w:bookmarkStart w:id="338" w:name="_Toc246996194"/>
      <w:bookmarkStart w:id="339" w:name="_Toc152045549"/>
      <w:bookmarkStart w:id="340" w:name="_Toc78803342"/>
      <w:bookmarkStart w:id="341" w:name="_Toc35425073"/>
      <w:r>
        <w:rPr>
          <w:rFonts w:hint="eastAsia" w:ascii="宋体" w:hAnsi="宋体" w:eastAsia="宋体" w:cs="宋体"/>
          <w:szCs w:val="21"/>
          <w:highlight w:val="none"/>
          <w:lang w:eastAsia="zh-CN"/>
        </w:rPr>
        <w:t>3.2.1投标报价</w:t>
      </w:r>
      <w:r>
        <w:rPr>
          <w:rFonts w:hint="eastAsia" w:ascii="宋体" w:hAnsi="宋体" w:cs="宋体"/>
          <w:szCs w:val="21"/>
          <w:highlight w:val="none"/>
        </w:rPr>
        <w:t>（</w:t>
      </w:r>
      <w:r>
        <w:rPr>
          <w:rFonts w:hint="eastAsia" w:ascii="宋体" w:hAnsi="宋体" w:cs="宋体"/>
          <w:szCs w:val="21"/>
          <w:highlight w:val="none"/>
          <w:lang w:val="en-US" w:eastAsia="zh-CN"/>
        </w:rPr>
        <w:t>下浮</w:t>
      </w:r>
      <w:r>
        <w:rPr>
          <w:rFonts w:hint="eastAsia" w:ascii="宋体" w:hAnsi="宋体" w:cs="宋体"/>
          <w:szCs w:val="21"/>
          <w:highlight w:val="none"/>
        </w:rPr>
        <w:t>率）</w:t>
      </w:r>
      <w:r>
        <w:rPr>
          <w:rFonts w:hint="eastAsia" w:ascii="宋体" w:hAnsi="宋体" w:eastAsia="宋体" w:cs="宋体"/>
          <w:szCs w:val="21"/>
          <w:highlight w:val="none"/>
          <w:lang w:eastAsia="zh-CN"/>
        </w:rPr>
        <w:t>应包括国家规定的增值税税金，除投标人须知前附表另有规定外，增值税税金按一般计税方法计算。投标人应按第</w:t>
      </w:r>
      <w:r>
        <w:rPr>
          <w:rFonts w:hint="eastAsia" w:ascii="宋体" w:hAnsi="宋体" w:cs="宋体"/>
          <w:szCs w:val="21"/>
          <w:highlight w:val="none"/>
          <w:lang w:val="en-US" w:eastAsia="zh-CN"/>
        </w:rPr>
        <w:t>七</w:t>
      </w:r>
      <w:r>
        <w:rPr>
          <w:rFonts w:hint="eastAsia" w:ascii="宋体" w:hAnsi="宋体" w:eastAsia="宋体" w:cs="宋体"/>
          <w:szCs w:val="21"/>
          <w:highlight w:val="none"/>
          <w:lang w:eastAsia="zh-CN"/>
        </w:rPr>
        <w:t>章“投标文件格式”的要求在投标函中进行报价。</w:t>
      </w:r>
    </w:p>
    <w:p w14:paraId="1192EB75">
      <w:pPr>
        <w:spacing w:line="440" w:lineRule="exact"/>
        <w:ind w:firstLine="420" w:firstLineChars="200"/>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3.2.2投标人应充分了解本项目的总体情况以及影响投标报价的其他要素。</w:t>
      </w:r>
    </w:p>
    <w:p w14:paraId="037A7F96">
      <w:pPr>
        <w:spacing w:line="440" w:lineRule="exact"/>
        <w:ind w:firstLine="420" w:firstLineChars="200"/>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3.2.</w:t>
      </w:r>
      <w:r>
        <w:rPr>
          <w:rFonts w:hint="eastAsia" w:ascii="宋体" w:hAnsi="宋体" w:cs="宋体"/>
          <w:szCs w:val="21"/>
          <w:highlight w:val="none"/>
          <w:lang w:val="en-US" w:eastAsia="zh-CN"/>
        </w:rPr>
        <w:t>3</w:t>
      </w:r>
      <w:r>
        <w:rPr>
          <w:rFonts w:hint="eastAsia" w:ascii="宋体" w:hAnsi="宋体" w:eastAsia="宋体" w:cs="宋体"/>
          <w:szCs w:val="21"/>
          <w:highlight w:val="none"/>
          <w:lang w:eastAsia="zh-CN"/>
        </w:rPr>
        <w:t>招标人设有最高投标限价</w:t>
      </w:r>
      <w:r>
        <w:rPr>
          <w:rFonts w:hint="eastAsia" w:ascii="宋体" w:hAnsi="宋体" w:cs="宋体"/>
          <w:szCs w:val="21"/>
          <w:highlight w:val="none"/>
          <w:lang w:val="en-US" w:eastAsia="zh-CN"/>
        </w:rPr>
        <w:t>的</w:t>
      </w:r>
      <w:r>
        <w:rPr>
          <w:rFonts w:hint="eastAsia" w:ascii="宋体" w:hAnsi="宋体" w:eastAsia="宋体" w:cs="宋体"/>
          <w:szCs w:val="21"/>
          <w:highlight w:val="none"/>
          <w:lang w:eastAsia="zh-CN"/>
        </w:rPr>
        <w:t>，最高投标限价在投标人须知前附表中载明。</w:t>
      </w:r>
    </w:p>
    <w:p w14:paraId="7C1D3D58">
      <w:pPr>
        <w:spacing w:line="440" w:lineRule="exact"/>
        <w:ind w:firstLine="420" w:firstLineChars="200"/>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3.2.</w:t>
      </w:r>
      <w:r>
        <w:rPr>
          <w:rFonts w:hint="eastAsia" w:ascii="宋体" w:hAnsi="宋体" w:cs="宋体"/>
          <w:szCs w:val="21"/>
          <w:highlight w:val="none"/>
          <w:lang w:val="en-US" w:eastAsia="zh-CN"/>
        </w:rPr>
        <w:t>4</w:t>
      </w:r>
      <w:r>
        <w:rPr>
          <w:rFonts w:hint="eastAsia" w:ascii="宋体" w:hAnsi="宋体" w:eastAsia="宋体" w:cs="宋体"/>
          <w:szCs w:val="21"/>
          <w:highlight w:val="none"/>
          <w:lang w:eastAsia="zh-CN"/>
        </w:rPr>
        <w:t xml:space="preserve"> 投标报价</w:t>
      </w:r>
      <w:r>
        <w:rPr>
          <w:rFonts w:hint="eastAsia" w:ascii="宋体" w:hAnsi="宋体" w:cs="宋体"/>
          <w:szCs w:val="21"/>
          <w:highlight w:val="none"/>
        </w:rPr>
        <w:t>（</w:t>
      </w:r>
      <w:r>
        <w:rPr>
          <w:rFonts w:hint="eastAsia" w:ascii="宋体" w:hAnsi="宋体" w:cs="宋体"/>
          <w:szCs w:val="21"/>
          <w:highlight w:val="none"/>
          <w:lang w:val="en-US" w:eastAsia="zh-CN"/>
        </w:rPr>
        <w:t>下浮</w:t>
      </w:r>
      <w:r>
        <w:rPr>
          <w:rFonts w:hint="eastAsia" w:ascii="宋体" w:hAnsi="宋体" w:cs="宋体"/>
          <w:szCs w:val="21"/>
          <w:highlight w:val="none"/>
        </w:rPr>
        <w:t>率）</w:t>
      </w:r>
      <w:r>
        <w:rPr>
          <w:rFonts w:hint="eastAsia" w:ascii="宋体" w:hAnsi="宋体" w:eastAsia="宋体" w:cs="宋体"/>
          <w:szCs w:val="21"/>
          <w:highlight w:val="none"/>
          <w:lang w:eastAsia="zh-CN"/>
        </w:rPr>
        <w:t>的其他要求见投标人须知前附表。</w:t>
      </w:r>
    </w:p>
    <w:p w14:paraId="454C15E1">
      <w:pPr>
        <w:pStyle w:val="7"/>
        <w:ind w:firstLine="422" w:firstLineChars="200"/>
        <w:rPr>
          <w:rFonts w:ascii="宋体" w:hAnsi="宋体" w:eastAsia="宋体" w:cs="宋体"/>
          <w:highlight w:val="none"/>
        </w:rPr>
      </w:pPr>
      <w:r>
        <w:rPr>
          <w:rFonts w:hint="eastAsia" w:ascii="宋体" w:hAnsi="宋体" w:eastAsia="宋体" w:cs="宋体"/>
          <w:highlight w:val="none"/>
        </w:rPr>
        <w:t>3.3 投标有效期</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14:paraId="38E346F9">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3.3.1 除投标人须知前附表另有规定外，投标有效期为90天。</w:t>
      </w:r>
    </w:p>
    <w:p w14:paraId="19262D1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3.3.2在投标有效期内，投标人撤销或修改其投标文件的，应承担招标文件和法律规定的责任。</w:t>
      </w:r>
    </w:p>
    <w:p w14:paraId="10530AB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780A1DA0">
      <w:pPr>
        <w:pStyle w:val="7"/>
        <w:ind w:firstLine="422" w:firstLineChars="200"/>
        <w:rPr>
          <w:rFonts w:hint="eastAsia" w:ascii="宋体" w:hAnsi="宋体" w:eastAsia="宋体" w:cs="宋体"/>
          <w:highlight w:val="none"/>
        </w:rPr>
      </w:pPr>
      <w:bookmarkStart w:id="342" w:name="_Toc152045550"/>
      <w:bookmarkStart w:id="343" w:name="_Toc35424908"/>
      <w:bookmarkStart w:id="344" w:name="_Toc15058867"/>
      <w:bookmarkStart w:id="345" w:name="_Toc296602440"/>
      <w:bookmarkStart w:id="346" w:name="_Toc246996195"/>
      <w:bookmarkStart w:id="347" w:name="_Toc179632568"/>
      <w:bookmarkStart w:id="348" w:name="_Toc506107289"/>
      <w:bookmarkStart w:id="349" w:name="_Toc324404836"/>
      <w:bookmarkStart w:id="350" w:name="_Toc10714"/>
      <w:bookmarkStart w:id="351" w:name="_Toc152042326"/>
      <w:bookmarkStart w:id="352" w:name="_Toc247085709"/>
      <w:bookmarkStart w:id="353" w:name="_Toc246996938"/>
      <w:bookmarkStart w:id="354" w:name="_Toc78803343"/>
      <w:bookmarkStart w:id="355" w:name="_Toc144974518"/>
      <w:bookmarkStart w:id="356" w:name="_Toc35425074"/>
      <w:r>
        <w:rPr>
          <w:rFonts w:hint="eastAsia" w:ascii="宋体" w:hAnsi="宋体" w:eastAsia="宋体" w:cs="宋体"/>
          <w:highlight w:val="none"/>
        </w:rPr>
        <w:t>3.4 投标保证金</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p>
    <w:p w14:paraId="63EACC6B">
      <w:pPr>
        <w:spacing w:line="440" w:lineRule="exact"/>
        <w:ind w:firstLine="420" w:firstLineChars="200"/>
        <w:jc w:val="left"/>
        <w:rPr>
          <w:rFonts w:hint="default" w:ascii="宋体" w:hAnsi="宋体" w:eastAsia="宋体" w:cs="宋体"/>
          <w:szCs w:val="21"/>
          <w:highlight w:val="none"/>
          <w:lang w:val="en-US" w:eastAsia="zh-CN"/>
        </w:rPr>
      </w:pPr>
      <w:r>
        <w:rPr>
          <w:rFonts w:hint="eastAsia" w:ascii="宋体" w:hAnsi="宋体" w:eastAsia="宋体" w:cs="宋体"/>
          <w:szCs w:val="21"/>
          <w:highlight w:val="none"/>
          <w:lang w:val="en-US" w:eastAsia="zh-CN"/>
        </w:rPr>
        <w:t>3.4.1本项目不收取投标保证金。</w:t>
      </w:r>
    </w:p>
    <w:p w14:paraId="31A74824">
      <w:pPr>
        <w:pStyle w:val="7"/>
        <w:ind w:firstLine="422" w:firstLineChars="200"/>
        <w:rPr>
          <w:rFonts w:ascii="宋体" w:hAnsi="宋体" w:eastAsia="宋体" w:cs="宋体"/>
          <w:highlight w:val="none"/>
        </w:rPr>
      </w:pPr>
      <w:bookmarkStart w:id="357" w:name="_Toc35425075"/>
      <w:bookmarkStart w:id="358" w:name="_Toc78803344"/>
      <w:bookmarkStart w:id="359" w:name="_Toc15058868"/>
      <w:bookmarkStart w:id="360" w:name="_Toc35424909"/>
      <w:bookmarkStart w:id="361" w:name="_Toc324404837"/>
      <w:bookmarkStart w:id="362" w:name="_Toc296602442"/>
      <w:bookmarkStart w:id="363" w:name="_Toc506107290"/>
      <w:bookmarkStart w:id="364" w:name="_Toc19037"/>
      <w:bookmarkStart w:id="365" w:name="_Toc179632571"/>
      <w:bookmarkStart w:id="366" w:name="_Toc152042329"/>
      <w:bookmarkStart w:id="367" w:name="_Toc246996197"/>
      <w:bookmarkStart w:id="368" w:name="_Toc152045553"/>
      <w:bookmarkStart w:id="369" w:name="_Toc246996940"/>
      <w:bookmarkStart w:id="370" w:name="_Toc247085711"/>
      <w:bookmarkStart w:id="371" w:name="_Toc144974521"/>
      <w:r>
        <w:rPr>
          <w:rFonts w:hint="eastAsia" w:ascii="宋体" w:hAnsi="宋体" w:eastAsia="宋体" w:cs="宋体"/>
          <w:highlight w:val="none"/>
        </w:rPr>
        <w:t>3.5投标文件的编制</w:t>
      </w:r>
      <w:bookmarkEnd w:id="357"/>
      <w:bookmarkEnd w:id="358"/>
      <w:bookmarkEnd w:id="359"/>
      <w:bookmarkEnd w:id="360"/>
      <w:bookmarkEnd w:id="361"/>
      <w:bookmarkEnd w:id="362"/>
      <w:bookmarkEnd w:id="363"/>
      <w:bookmarkEnd w:id="364"/>
    </w:p>
    <w:bookmarkEnd w:id="365"/>
    <w:bookmarkEnd w:id="366"/>
    <w:bookmarkEnd w:id="367"/>
    <w:bookmarkEnd w:id="368"/>
    <w:bookmarkEnd w:id="369"/>
    <w:bookmarkEnd w:id="370"/>
    <w:bookmarkEnd w:id="371"/>
    <w:p w14:paraId="5BD1A4A0">
      <w:pPr>
        <w:spacing w:line="440" w:lineRule="exact"/>
        <w:ind w:firstLine="420" w:firstLineChars="200"/>
        <w:jc w:val="left"/>
        <w:rPr>
          <w:rFonts w:hint="eastAsia" w:ascii="宋体" w:hAnsi="宋体" w:eastAsia="宋体" w:cs="宋体"/>
          <w:szCs w:val="21"/>
          <w:highlight w:val="none"/>
          <w:lang w:val="en-US" w:eastAsia="zh-CN"/>
        </w:rPr>
      </w:pPr>
      <w:bookmarkStart w:id="372" w:name="_Toc247085713"/>
      <w:bookmarkStart w:id="373" w:name="_Toc179632573"/>
      <w:bookmarkStart w:id="374" w:name="_Toc324404838"/>
      <w:bookmarkStart w:id="375" w:name="_Toc246996199"/>
      <w:bookmarkStart w:id="376" w:name="_Toc152042331"/>
      <w:bookmarkStart w:id="377" w:name="_Toc246996942"/>
      <w:bookmarkStart w:id="378" w:name="_Toc152045555"/>
      <w:bookmarkStart w:id="379" w:name="_Toc144974523"/>
      <w:r>
        <w:rPr>
          <w:rFonts w:hint="eastAsia" w:ascii="宋体" w:hAnsi="宋体" w:eastAsia="宋体" w:cs="宋体"/>
          <w:szCs w:val="21"/>
          <w:highlight w:val="none"/>
          <w:lang w:val="en-US" w:eastAsia="zh-CN"/>
        </w:rPr>
        <w:t>3.5.1投标文件应按第</w:t>
      </w:r>
      <w:r>
        <w:rPr>
          <w:rFonts w:hint="eastAsia" w:ascii="宋体" w:hAnsi="宋体" w:cs="宋体"/>
          <w:szCs w:val="21"/>
          <w:highlight w:val="none"/>
          <w:lang w:val="en-US" w:eastAsia="zh-CN"/>
        </w:rPr>
        <w:t>七</w:t>
      </w:r>
      <w:r>
        <w:rPr>
          <w:rFonts w:hint="eastAsia" w:ascii="宋体" w:hAnsi="宋体" w:eastAsia="宋体" w:cs="宋体"/>
          <w:szCs w:val="21"/>
          <w:highlight w:val="none"/>
          <w:lang w:val="en-US" w:eastAsia="zh-CN"/>
        </w:rPr>
        <w:t>章“投标文件格式”进行编写，如有必要，可以增加附页，作为投标文件的组成部分。其中，投标函在满足招标文件实质性要求的基础上，可以提出比招标文件要求更有利于招标人的承诺。</w:t>
      </w:r>
    </w:p>
    <w:p w14:paraId="14F1B8C9">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3.5.2本次投标不需要提供纸质投标文件，投标人应按照</w:t>
      </w:r>
      <w:r>
        <w:rPr>
          <w:rFonts w:hint="eastAsia" w:ascii="宋体" w:hAnsi="宋体" w:cs="宋体"/>
          <w:szCs w:val="21"/>
          <w:highlight w:val="none"/>
          <w:lang w:val="en-US" w:eastAsia="zh-CN"/>
        </w:rPr>
        <w:t>招标文件</w:t>
      </w:r>
      <w:r>
        <w:rPr>
          <w:rFonts w:hint="eastAsia" w:ascii="宋体" w:hAnsi="宋体" w:eastAsia="宋体" w:cs="宋体"/>
          <w:szCs w:val="21"/>
          <w:highlight w:val="none"/>
          <w:lang w:val="en-US" w:eastAsia="zh-CN"/>
        </w:rPr>
        <w:t>的要求制作、签章、上传加密的电子投标文件。</w:t>
      </w:r>
    </w:p>
    <w:p w14:paraId="3C40A9D2">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3.5.3 投标文件应当对招标文件有关工期、投标有效期、质量要求、技术标准和要求、招标范围等实质性内容作出响应。</w:t>
      </w:r>
    </w:p>
    <w:p w14:paraId="5D83FF68">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3.5.4 投标人须知前附表规定接受联合体投标的，资格审查资料应包括联合体各方相关情况 。</w:t>
      </w:r>
    </w:p>
    <w:p w14:paraId="6A9887E1">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3.5.5招标人有权核查投标人在投标文件中提供的资料，若发现投标人以他人名义投标或者以其他方式弄虚作假骗取中标的，中标无效；如果签订合同后发现中标人提供了虚假材料，招标人有权解除合同。</w:t>
      </w:r>
    </w:p>
    <w:p w14:paraId="093D5520">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3.5.6投标文件的制作应满足以下规定：</w:t>
      </w:r>
    </w:p>
    <w:p w14:paraId="0727C6AC">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w:t>
      </w:r>
      <w:r>
        <w:rPr>
          <w:rFonts w:hint="eastAsia" w:ascii="宋体" w:hAnsi="宋体" w:cs="宋体"/>
          <w:szCs w:val="21"/>
          <w:highlight w:val="none"/>
          <w:lang w:val="en-US" w:eastAsia="zh-CN"/>
        </w:rPr>
        <w:t>1</w:t>
      </w:r>
      <w:r>
        <w:rPr>
          <w:rFonts w:hint="eastAsia" w:ascii="宋体" w:hAnsi="宋体" w:eastAsia="宋体" w:cs="宋体"/>
          <w:szCs w:val="21"/>
          <w:highlight w:val="none"/>
          <w:lang w:val="en-US" w:eastAsia="zh-CN"/>
        </w:rPr>
        <w:t>）招标文件中“签章”是指签字或盖章。在第</w:t>
      </w:r>
      <w:r>
        <w:rPr>
          <w:rFonts w:hint="eastAsia" w:ascii="宋体" w:hAnsi="宋体" w:cs="宋体"/>
          <w:szCs w:val="21"/>
          <w:highlight w:val="none"/>
          <w:lang w:val="en-US" w:eastAsia="zh-CN"/>
        </w:rPr>
        <w:t>七</w:t>
      </w:r>
      <w:r>
        <w:rPr>
          <w:rFonts w:hint="eastAsia" w:ascii="宋体" w:hAnsi="宋体" w:eastAsia="宋体" w:cs="宋体"/>
          <w:szCs w:val="21"/>
          <w:highlight w:val="none"/>
          <w:lang w:val="en-US" w:eastAsia="zh-CN"/>
        </w:rPr>
        <w:t>章“投标文件格式”中要求签章处，投标人应加盖投标人单位电子印章和法定代表人的个人电子印章/电子签名章或直接上传加盖投标人单位印章和法定代表人的印章（或签字）的原件彩色扫描件。联合体投标的，除联合体协议书外， 投标文件由联合体牵头人按上述规定加盖联合体牵头人单位电子印章和法定代表人的个人电子印章/电子签名章或直接上传加盖联合体牵头人单位印章和法定代表人的印章（或签字）的原件彩色扫描件。</w:t>
      </w:r>
    </w:p>
    <w:p w14:paraId="30ECB0A9">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（3）投标文件制作完成后，投标人应对投标文件进行文件加密，形成加密的投标文件。</w:t>
      </w:r>
    </w:p>
    <w:p w14:paraId="318FCD41">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3.5.7 因投标人自身原因而导致</w:t>
      </w:r>
      <w:r>
        <w:rPr>
          <w:rFonts w:hint="eastAsia" w:ascii="宋体" w:hAnsi="宋体" w:cs="宋体"/>
          <w:szCs w:val="21"/>
          <w:highlight w:val="none"/>
          <w:lang w:val="en-US" w:eastAsia="zh-CN"/>
        </w:rPr>
        <w:t>邮箱无法显示其</w:t>
      </w:r>
      <w:r>
        <w:rPr>
          <w:rFonts w:hint="eastAsia" w:ascii="宋体" w:hAnsi="宋体" w:eastAsia="宋体" w:cs="宋体"/>
          <w:szCs w:val="21"/>
          <w:highlight w:val="none"/>
          <w:lang w:val="en-US" w:eastAsia="zh-CN"/>
        </w:rPr>
        <w:t>投标文件</w:t>
      </w:r>
      <w:r>
        <w:rPr>
          <w:rFonts w:hint="eastAsia" w:ascii="宋体" w:hAnsi="宋体" w:cs="宋体"/>
          <w:szCs w:val="21"/>
          <w:highlight w:val="none"/>
          <w:lang w:val="en-US" w:eastAsia="zh-CN"/>
        </w:rPr>
        <w:t>或无法打开投标文件的</w:t>
      </w:r>
      <w:r>
        <w:rPr>
          <w:rFonts w:hint="eastAsia" w:ascii="宋体" w:hAnsi="宋体" w:eastAsia="宋体" w:cs="宋体"/>
          <w:szCs w:val="21"/>
          <w:highlight w:val="none"/>
          <w:lang w:val="en-US" w:eastAsia="zh-CN"/>
        </w:rPr>
        <w:t>，该投标视为无效投标，投标人自行承担由此导致的全部责任。</w:t>
      </w:r>
    </w:p>
    <w:p w14:paraId="18B9F40D">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3.5.8 投标人中标后须递交与</w:t>
      </w:r>
      <w:r>
        <w:rPr>
          <w:rFonts w:hint="eastAsia" w:ascii="宋体" w:hAnsi="宋体" w:cs="宋体"/>
          <w:szCs w:val="21"/>
          <w:highlight w:val="none"/>
          <w:lang w:val="en-US" w:eastAsia="zh-CN"/>
        </w:rPr>
        <w:t>邮箱递交电子</w:t>
      </w:r>
      <w:r>
        <w:rPr>
          <w:rFonts w:hint="eastAsia" w:ascii="宋体" w:hAnsi="宋体" w:eastAsia="宋体" w:cs="宋体"/>
          <w:szCs w:val="21"/>
          <w:highlight w:val="none"/>
          <w:lang w:val="en-US" w:eastAsia="zh-CN"/>
        </w:rPr>
        <w:t>投标文件完全一致的纸质版投标文件，在领取中标通知书时，一并递交给招标代理机构。</w:t>
      </w:r>
    </w:p>
    <w:p w14:paraId="6D17F42F">
      <w:pPr>
        <w:pStyle w:val="7"/>
        <w:ind w:firstLine="422" w:firstLineChars="200"/>
        <w:rPr>
          <w:rFonts w:hint="eastAsia" w:ascii="宋体" w:hAnsi="宋体" w:eastAsia="宋体" w:cs="宋体"/>
          <w:highlight w:val="none"/>
        </w:rPr>
      </w:pPr>
      <w:r>
        <w:rPr>
          <w:rFonts w:hint="eastAsia" w:ascii="宋体" w:hAnsi="宋体" w:eastAsia="宋体" w:cs="宋体"/>
          <w:highlight w:val="none"/>
        </w:rPr>
        <w:t>3.6 备选投标方案</w:t>
      </w:r>
    </w:p>
    <w:p w14:paraId="1CD0EBA6">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3.6.1 除投标人须知前附表规定允许外，投标人不得递交备选投标方案，否则其投标将被否决。</w:t>
      </w:r>
    </w:p>
    <w:p w14:paraId="2E592F88">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11867869">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3.6.3 投标人提供两个或两个以上投标报价，或在投标文件中提供一个报价，但同时提供两个或两个以上施工组织设计的，视为提供备选方案。</w:t>
      </w:r>
    </w:p>
    <w:p w14:paraId="66C99F80">
      <w:pPr>
        <w:pStyle w:val="7"/>
        <w:spacing w:beforeLines="50" w:afterLines="50"/>
        <w:ind w:firstLine="482" w:firstLineChars="200"/>
        <w:rPr>
          <w:rFonts w:hint="eastAsia" w:ascii="宋体" w:hAnsi="宋体" w:eastAsia="宋体" w:cs="宋体"/>
          <w:sz w:val="24"/>
          <w:szCs w:val="24"/>
          <w:highlight w:val="none"/>
        </w:rPr>
      </w:pPr>
      <w:bookmarkStart w:id="380" w:name="_Toc15058869"/>
      <w:bookmarkStart w:id="381" w:name="_Toc78803345"/>
      <w:bookmarkStart w:id="382" w:name="_Toc35425076"/>
      <w:bookmarkStart w:id="383" w:name="_Toc506107291"/>
      <w:bookmarkStart w:id="384" w:name="_Toc35424910"/>
      <w:bookmarkStart w:id="385" w:name="_Toc19455"/>
      <w:r>
        <w:rPr>
          <w:rFonts w:hint="eastAsia" w:ascii="宋体" w:hAnsi="宋体" w:eastAsia="宋体" w:cs="宋体"/>
          <w:sz w:val="24"/>
          <w:szCs w:val="24"/>
          <w:highlight w:val="none"/>
        </w:rPr>
        <w:t>4.投标</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14:paraId="41B25E57">
      <w:pPr>
        <w:pStyle w:val="7"/>
        <w:ind w:firstLine="422" w:firstLineChars="200"/>
        <w:rPr>
          <w:rFonts w:hint="default" w:ascii="宋体" w:hAnsi="宋体" w:eastAsia="宋体" w:cs="宋体"/>
          <w:highlight w:val="none"/>
          <w:lang w:val="en-US" w:eastAsia="zh-CN"/>
        </w:rPr>
      </w:pPr>
      <w:bookmarkStart w:id="386" w:name="_Toc247085714"/>
      <w:bookmarkStart w:id="387" w:name="_Toc179632574"/>
      <w:bookmarkStart w:id="388" w:name="_Toc60061459"/>
      <w:bookmarkStart w:id="389" w:name="_Toc144974524"/>
      <w:bookmarkStart w:id="390" w:name="_Toc506107292"/>
      <w:bookmarkStart w:id="391" w:name="_Toc152042332"/>
      <w:bookmarkStart w:id="392" w:name="_Toc296602444"/>
      <w:bookmarkStart w:id="393" w:name="_Toc15058871"/>
      <w:bookmarkStart w:id="394" w:name="_Toc246996943"/>
      <w:bookmarkStart w:id="395" w:name="_Toc152045556"/>
      <w:bookmarkStart w:id="396" w:name="_Toc83301714"/>
      <w:bookmarkStart w:id="397" w:name="_Toc324404839"/>
      <w:bookmarkStart w:id="398" w:name="_Toc95223362"/>
      <w:bookmarkStart w:id="399" w:name="_Toc246996200"/>
      <w:bookmarkStart w:id="400" w:name="_Toc60061458"/>
      <w:bookmarkStart w:id="401" w:name="_Toc83301713"/>
      <w:bookmarkStart w:id="402" w:name="_Toc95223361"/>
      <w:bookmarkStart w:id="403" w:name="_Toc15058870"/>
      <w:bookmarkStart w:id="404" w:name="_Toc14473"/>
      <w:bookmarkStart w:id="405" w:name="_Toc35425077"/>
      <w:bookmarkStart w:id="406" w:name="_Toc78803346"/>
      <w:bookmarkStart w:id="407" w:name="_Toc35424911"/>
      <w:r>
        <w:rPr>
          <w:rFonts w:hint="eastAsia" w:ascii="宋体" w:hAnsi="宋体" w:eastAsia="宋体" w:cs="宋体"/>
          <w:highlight w:val="none"/>
        </w:rPr>
        <w:t>4.</w:t>
      </w:r>
      <w:r>
        <w:rPr>
          <w:rFonts w:hint="eastAsia" w:ascii="宋体" w:hAnsi="宋体" w:eastAsia="宋体" w:cs="宋体"/>
          <w:highlight w:val="none"/>
          <w:lang w:val="en-US" w:eastAsia="zh-CN"/>
        </w:rPr>
        <w:t>1</w:t>
      </w:r>
      <w:r>
        <w:rPr>
          <w:rFonts w:hint="eastAsia" w:ascii="宋体" w:hAnsi="宋体" w:eastAsia="宋体" w:cs="宋体"/>
          <w:highlight w:val="none"/>
        </w:rPr>
        <w:t>投标文件的</w:t>
      </w:r>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r>
        <w:rPr>
          <w:rFonts w:hint="eastAsia" w:ascii="宋体" w:hAnsi="宋体" w:eastAsia="宋体" w:cs="宋体"/>
          <w:highlight w:val="none"/>
          <w:lang w:val="en-US" w:eastAsia="zh-CN"/>
        </w:rPr>
        <w:t>份数和签署</w:t>
      </w:r>
    </w:p>
    <w:p w14:paraId="16C68AF9">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4.1.1投标文件份数：一份电子文件。投标人中标后须递交与网上电子投标文件完全一致的纸质版投标文件，并按要求加盖公章；份数：正本1份，副本2份；中标单位领取中标通知书时，一并递交给招标代理机构。</w:t>
      </w:r>
    </w:p>
    <w:p w14:paraId="1E083E1E">
      <w:pPr>
        <w:pStyle w:val="7"/>
        <w:ind w:firstLine="422" w:firstLineChars="200"/>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4.1.2按格式文件要求签字或盖章，否则经评委会一致认定且经过招标人同意后, 按照无效投标处理。</w:t>
      </w:r>
    </w:p>
    <w:p w14:paraId="3E108AB6">
      <w:pPr>
        <w:pStyle w:val="7"/>
        <w:ind w:firstLine="422" w:firstLineChars="200"/>
        <w:rPr>
          <w:rFonts w:hint="eastAsia" w:ascii="宋体" w:hAnsi="宋体" w:eastAsia="宋体" w:cs="宋体"/>
          <w:highlight w:val="none"/>
          <w:lang w:eastAsia="zh-CN"/>
        </w:rPr>
      </w:pPr>
      <w:r>
        <w:rPr>
          <w:rFonts w:hint="eastAsia" w:ascii="宋体" w:hAnsi="宋体" w:eastAsia="宋体" w:cs="宋体"/>
          <w:highlight w:val="none"/>
        </w:rPr>
        <w:t>4.</w:t>
      </w:r>
      <w:r>
        <w:rPr>
          <w:rFonts w:hint="eastAsia" w:ascii="宋体" w:hAnsi="宋体" w:eastAsia="宋体" w:cs="宋体"/>
          <w:highlight w:val="none"/>
          <w:lang w:val="en-US" w:eastAsia="zh-CN"/>
        </w:rPr>
        <w:t>2</w:t>
      </w:r>
      <w:r>
        <w:rPr>
          <w:rFonts w:hint="eastAsia" w:ascii="宋体" w:hAnsi="宋体" w:eastAsia="宋体" w:cs="宋体"/>
          <w:highlight w:val="none"/>
        </w:rPr>
        <w:t>投标文件</w:t>
      </w:r>
      <w:bookmarkEnd w:id="400"/>
      <w:bookmarkEnd w:id="401"/>
      <w:bookmarkEnd w:id="402"/>
      <w:r>
        <w:rPr>
          <w:rFonts w:hint="eastAsia" w:ascii="宋体" w:hAnsi="宋体" w:eastAsia="宋体" w:cs="宋体"/>
          <w:highlight w:val="none"/>
          <w:lang w:val="en-US" w:eastAsia="zh-CN"/>
        </w:rPr>
        <w:t>提交</w:t>
      </w:r>
    </w:p>
    <w:p w14:paraId="51ECDEDD">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4.2.1 ①投标人须在投标文件截止时间前将投标文件以电子邮件的方式一次性发送至滁州市城投工程咨询管理有限公司邮箱（czsct</w:t>
      </w:r>
      <w:r>
        <w:rPr>
          <w:rFonts w:hint="eastAsia" w:ascii="宋体" w:hAnsi="宋体" w:cs="宋体"/>
          <w:szCs w:val="21"/>
          <w:highlight w:val="none"/>
          <w:lang w:val="en-US" w:eastAsia="zh-CN"/>
        </w:rPr>
        <w:t>gc</w:t>
      </w:r>
      <w:r>
        <w:rPr>
          <w:rFonts w:hint="eastAsia" w:ascii="宋体" w:hAnsi="宋体" w:eastAsia="宋体" w:cs="宋体"/>
          <w:szCs w:val="21"/>
          <w:highlight w:val="none"/>
          <w:lang w:val="en-US" w:eastAsia="zh-CN"/>
        </w:rPr>
        <w:t>zx@163.com），投标文件格式限定为加密PDF格式，将文件命名为“投标单位名称（联系人及联系电话）+项目名称”，在提交投标文件截止时间后送达的投标文件将被拒绝，投标文件送达时间以滁州市城投工程咨询管理有限公司邮箱显示的邮件送达时间为准。若投标人重复发送电子投标文件的，将以投标文件截止时间前最后收到的投标文件为准。若投标文件无法打开的，投标文件将被拒绝。</w:t>
      </w:r>
      <w:r>
        <w:rPr>
          <w:rFonts w:hint="eastAsia" w:ascii="宋体" w:hAnsi="宋体" w:eastAsia="宋体" w:cs="宋体"/>
          <w:szCs w:val="21"/>
          <w:highlight w:val="none"/>
          <w:lang w:val="en-US" w:eastAsia="zh-CN"/>
        </w:rPr>
        <w:fldChar w:fldCharType="begin"/>
      </w:r>
      <w:r>
        <w:rPr>
          <w:rFonts w:hint="eastAsia" w:ascii="宋体" w:hAnsi="宋体" w:eastAsia="宋体" w:cs="宋体"/>
          <w:szCs w:val="21"/>
          <w:highlight w:val="none"/>
          <w:lang w:val="en-US" w:eastAsia="zh-CN"/>
        </w:rPr>
        <w:instrText xml:space="preserve"> HYPERLINK "mailto:2、在递交截止时间后30分钟内，将解压密码通过邮箱发送至代理机构邮箱（czsctgczx@163.com）" </w:instrText>
      </w:r>
      <w:r>
        <w:rPr>
          <w:rFonts w:hint="eastAsia" w:ascii="宋体" w:hAnsi="宋体" w:eastAsia="宋体" w:cs="宋体"/>
          <w:szCs w:val="21"/>
          <w:highlight w:val="none"/>
          <w:lang w:val="en-US" w:eastAsia="zh-CN"/>
        </w:rPr>
        <w:fldChar w:fldCharType="separate"/>
      </w:r>
      <w:r>
        <w:rPr>
          <w:rFonts w:hint="eastAsia" w:ascii="宋体" w:hAnsi="宋体" w:eastAsia="宋体" w:cs="宋体"/>
          <w:szCs w:val="21"/>
          <w:highlight w:val="none"/>
          <w:lang w:val="en-US" w:eastAsia="zh-CN"/>
        </w:rPr>
        <w:t>②在投标截止时间后30分钟内，将投标文件密码通过邮箱发送至滁州市城投工程咨询管理有限公司邮箱（czsct</w:t>
      </w:r>
      <w:r>
        <w:rPr>
          <w:rFonts w:hint="eastAsia" w:ascii="宋体" w:hAnsi="宋体" w:cs="宋体"/>
          <w:szCs w:val="21"/>
          <w:highlight w:val="none"/>
          <w:lang w:val="en-US" w:eastAsia="zh-CN"/>
        </w:rPr>
        <w:t>gc</w:t>
      </w:r>
      <w:r>
        <w:rPr>
          <w:rFonts w:hint="eastAsia" w:ascii="宋体" w:hAnsi="宋体" w:eastAsia="宋体" w:cs="宋体"/>
          <w:szCs w:val="21"/>
          <w:highlight w:val="none"/>
          <w:lang w:val="en-US" w:eastAsia="zh-CN"/>
        </w:rPr>
        <w:t>zx@163.com）</w:t>
      </w:r>
      <w:r>
        <w:rPr>
          <w:rFonts w:hint="eastAsia" w:ascii="宋体" w:hAnsi="宋体" w:eastAsia="宋体" w:cs="宋体"/>
          <w:szCs w:val="21"/>
          <w:highlight w:val="none"/>
          <w:lang w:val="en-US" w:eastAsia="zh-CN"/>
        </w:rPr>
        <w:fldChar w:fldCharType="end"/>
      </w:r>
      <w:r>
        <w:rPr>
          <w:rFonts w:hint="eastAsia" w:ascii="宋体" w:hAnsi="宋体" w:eastAsia="宋体" w:cs="宋体"/>
          <w:szCs w:val="21"/>
          <w:highlight w:val="none"/>
          <w:lang w:val="en-US" w:eastAsia="zh-CN"/>
        </w:rPr>
        <w:t>，未在规定时间内发送密码或发送的密码无法正确打开投标文件的，投标文件将被拒绝。</w:t>
      </w:r>
      <w:bookmarkStart w:id="408" w:name="_Toc246996201"/>
      <w:bookmarkStart w:id="409" w:name="_Toc324404840"/>
      <w:bookmarkStart w:id="410" w:name="_Toc179632575"/>
      <w:bookmarkStart w:id="411" w:name="_Toc95223363"/>
      <w:bookmarkStart w:id="412" w:name="_Toc296602445"/>
      <w:bookmarkStart w:id="413" w:name="_Toc506107293"/>
      <w:bookmarkStart w:id="414" w:name="_Toc152045557"/>
      <w:bookmarkStart w:id="415" w:name="_Toc15058872"/>
      <w:bookmarkStart w:id="416" w:name="_Toc246996944"/>
      <w:bookmarkStart w:id="417" w:name="_Toc60061460"/>
      <w:bookmarkStart w:id="418" w:name="_Toc152042333"/>
      <w:bookmarkStart w:id="419" w:name="_Toc144974525"/>
      <w:bookmarkStart w:id="420" w:name="_Toc83301715"/>
      <w:bookmarkStart w:id="421" w:name="_Toc247085715"/>
    </w:p>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p w14:paraId="10EA5B88">
      <w:pPr>
        <w:pStyle w:val="7"/>
        <w:ind w:firstLine="422" w:firstLineChars="200"/>
        <w:rPr>
          <w:rFonts w:hint="eastAsia" w:ascii="宋体" w:hAnsi="宋体" w:eastAsia="宋体" w:cs="宋体"/>
          <w:highlight w:val="none"/>
        </w:rPr>
      </w:pPr>
      <w:bookmarkStart w:id="422" w:name="_Toc83301716"/>
      <w:bookmarkStart w:id="423" w:name="_Toc95223364"/>
      <w:bookmarkStart w:id="424" w:name="_Toc60061461"/>
      <w:r>
        <w:rPr>
          <w:rFonts w:hint="eastAsia" w:ascii="宋体" w:hAnsi="宋体" w:eastAsia="宋体" w:cs="宋体"/>
          <w:highlight w:val="none"/>
        </w:rPr>
        <w:t>4.</w:t>
      </w:r>
      <w:r>
        <w:rPr>
          <w:rFonts w:hint="eastAsia" w:ascii="宋体" w:hAnsi="宋体" w:eastAsia="宋体" w:cs="宋体"/>
          <w:highlight w:val="none"/>
          <w:lang w:val="en-US" w:eastAsia="zh-CN"/>
        </w:rPr>
        <w:t>3</w:t>
      </w:r>
      <w:r>
        <w:rPr>
          <w:rFonts w:hint="eastAsia" w:ascii="宋体" w:hAnsi="宋体" w:eastAsia="宋体" w:cs="宋体"/>
          <w:highlight w:val="none"/>
        </w:rPr>
        <w:t xml:space="preserve"> 投标文件的修改与撤回</w:t>
      </w:r>
      <w:bookmarkEnd w:id="422"/>
      <w:bookmarkEnd w:id="423"/>
      <w:bookmarkEnd w:id="424"/>
    </w:p>
    <w:p w14:paraId="64F97846">
      <w:pPr>
        <w:spacing w:line="44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4.</w:t>
      </w:r>
      <w:r>
        <w:rPr>
          <w:rFonts w:hint="eastAsia" w:ascii="宋体" w:hAnsi="宋体" w:cs="宋体"/>
          <w:szCs w:val="21"/>
          <w:highlight w:val="none"/>
          <w:lang w:val="en-US" w:eastAsia="zh-CN"/>
        </w:rPr>
        <w:t>3</w:t>
      </w:r>
      <w:r>
        <w:rPr>
          <w:rFonts w:hint="eastAsia" w:ascii="宋体" w:hAnsi="宋体" w:eastAsia="宋体" w:cs="宋体"/>
          <w:szCs w:val="21"/>
          <w:highlight w:val="none"/>
          <w:lang w:val="en-US" w:eastAsia="zh-CN"/>
        </w:rPr>
        <w:t>.1</w:t>
      </w:r>
      <w:r>
        <w:rPr>
          <w:rFonts w:hint="eastAsia" w:ascii="宋体" w:hAnsi="宋体" w:eastAsia="宋体" w:cs="宋体"/>
          <w:color w:val="auto"/>
          <w:kern w:val="0"/>
          <w:szCs w:val="21"/>
          <w:highlight w:val="none"/>
          <w:u w:color="000000"/>
          <w:lang w:bidi="ar"/>
        </w:rPr>
        <w:t>在第一章“招标公告”规定的投标截止时间前，投标人可以自行从网上撤回已递交的投标文件，并可修改后重新发送，开标时以投标截止时间前投标人最后送达的投标文件为准。</w:t>
      </w:r>
    </w:p>
    <w:bookmarkEnd w:id="403"/>
    <w:bookmarkEnd w:id="404"/>
    <w:bookmarkEnd w:id="405"/>
    <w:bookmarkEnd w:id="406"/>
    <w:bookmarkEnd w:id="407"/>
    <w:p w14:paraId="7AF40F87">
      <w:pPr>
        <w:pStyle w:val="7"/>
        <w:spacing w:beforeLines="50" w:afterLines="50"/>
        <w:ind w:firstLine="482" w:firstLineChars="200"/>
        <w:rPr>
          <w:rFonts w:ascii="宋体" w:hAnsi="宋体" w:eastAsia="宋体" w:cs="宋体"/>
          <w:sz w:val="24"/>
          <w:szCs w:val="24"/>
          <w:highlight w:val="none"/>
        </w:rPr>
      </w:pPr>
      <w:bookmarkStart w:id="425" w:name="_Toc246996946"/>
      <w:bookmarkStart w:id="426" w:name="_Toc78803348"/>
      <w:bookmarkStart w:id="427" w:name="_Toc35425081"/>
      <w:bookmarkStart w:id="428" w:name="_Toc144974527"/>
      <w:bookmarkStart w:id="429" w:name="_Toc179632577"/>
      <w:bookmarkStart w:id="430" w:name="_Toc246996203"/>
      <w:bookmarkStart w:id="431" w:name="_Toc506107295"/>
      <w:bookmarkStart w:id="432" w:name="_Toc324404842"/>
      <w:bookmarkStart w:id="433" w:name="_Toc35424915"/>
      <w:bookmarkStart w:id="434" w:name="_Toc15058874"/>
      <w:bookmarkStart w:id="435" w:name="_Toc152042335"/>
      <w:bookmarkStart w:id="436" w:name="_Toc247085717"/>
      <w:bookmarkStart w:id="437" w:name="_Toc29639"/>
      <w:bookmarkStart w:id="438" w:name="_Toc152045559"/>
      <w:r>
        <w:rPr>
          <w:rFonts w:hint="eastAsia" w:ascii="宋体" w:hAnsi="宋体" w:eastAsia="宋体" w:cs="宋体"/>
          <w:sz w:val="24"/>
          <w:szCs w:val="24"/>
          <w:highlight w:val="none"/>
        </w:rPr>
        <w:t>5. 开标</w:t>
      </w:r>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14:paraId="44DFC292">
      <w:pPr>
        <w:pStyle w:val="7"/>
        <w:ind w:firstLine="422" w:firstLineChars="200"/>
        <w:rPr>
          <w:rFonts w:ascii="宋体" w:hAnsi="宋体" w:eastAsia="宋体" w:cs="宋体"/>
          <w:highlight w:val="none"/>
        </w:rPr>
      </w:pPr>
      <w:bookmarkStart w:id="439" w:name="_Toc296602448"/>
      <w:bookmarkStart w:id="440" w:name="_Toc246996947"/>
      <w:bookmarkStart w:id="441" w:name="_Toc324404843"/>
      <w:bookmarkStart w:id="442" w:name="_Toc247085718"/>
      <w:bookmarkStart w:id="443" w:name="_Toc35425082"/>
      <w:bookmarkStart w:id="444" w:name="_Toc15058875"/>
      <w:bookmarkStart w:id="445" w:name="_Toc13691"/>
      <w:bookmarkStart w:id="446" w:name="_Toc152045560"/>
      <w:bookmarkStart w:id="447" w:name="_Toc152042336"/>
      <w:bookmarkStart w:id="448" w:name="_Toc35424916"/>
      <w:bookmarkStart w:id="449" w:name="_Toc246996204"/>
      <w:bookmarkStart w:id="450" w:name="_Toc179632578"/>
      <w:bookmarkStart w:id="451" w:name="_Toc78803349"/>
      <w:bookmarkStart w:id="452" w:name="_Toc506107296"/>
      <w:bookmarkStart w:id="453" w:name="_Toc144974528"/>
      <w:r>
        <w:rPr>
          <w:rFonts w:hint="eastAsia" w:ascii="宋体" w:hAnsi="宋体" w:eastAsia="宋体" w:cs="宋体"/>
          <w:highlight w:val="none"/>
        </w:rPr>
        <w:t>5.1 开标时间和地点</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14:paraId="3EA480E2">
      <w:pPr>
        <w:adjustRightInd w:val="0"/>
        <w:snapToGrid w:val="0"/>
        <w:spacing w:line="560" w:lineRule="exact"/>
        <w:ind w:firstLine="420" w:firstLineChars="200"/>
        <w:rPr>
          <w:rFonts w:hint="eastAsia" w:ascii="宋体" w:hAnsi="宋体" w:cs="宋体"/>
          <w:color w:val="000000"/>
          <w:szCs w:val="21"/>
          <w:highlight w:val="none"/>
        </w:rPr>
      </w:pPr>
      <w:bookmarkStart w:id="454" w:name="_Toc247085719"/>
      <w:bookmarkStart w:id="455" w:name="_Toc35424917"/>
      <w:bookmarkStart w:id="456" w:name="_Toc35425083"/>
      <w:bookmarkStart w:id="457" w:name="_Toc246996205"/>
      <w:bookmarkStart w:id="458" w:name="_Toc324404844"/>
      <w:bookmarkStart w:id="459" w:name="_Toc152042337"/>
      <w:bookmarkStart w:id="460" w:name="_Toc32451"/>
      <w:bookmarkStart w:id="461" w:name="_Toc15058876"/>
      <w:bookmarkStart w:id="462" w:name="_Toc152045561"/>
      <w:bookmarkStart w:id="463" w:name="_Toc179632579"/>
      <w:bookmarkStart w:id="464" w:name="_Toc144974529"/>
      <w:bookmarkStart w:id="465" w:name="_Toc506107297"/>
      <w:bookmarkStart w:id="466" w:name="_Toc296602449"/>
      <w:bookmarkStart w:id="467" w:name="_Toc78803350"/>
      <w:bookmarkStart w:id="468" w:name="_Toc246996948"/>
      <w:r>
        <w:rPr>
          <w:rFonts w:hint="eastAsia" w:ascii="宋体" w:hAnsi="宋体" w:cs="宋体"/>
          <w:color w:val="000000"/>
          <w:szCs w:val="21"/>
          <w:highlight w:val="none"/>
        </w:rPr>
        <w:t>招标人在第一章“招标公告”规定的投标截止时间前（开标时间）和地点</w:t>
      </w:r>
      <w:r>
        <w:rPr>
          <w:color w:val="000000"/>
          <w:highlight w:val="none"/>
        </w:rPr>
        <w:t>公开开标</w:t>
      </w:r>
      <w:r>
        <w:rPr>
          <w:rFonts w:hint="eastAsia" w:ascii="宋体" w:hAnsi="宋体" w:cs="宋体"/>
          <w:color w:val="000000"/>
          <w:szCs w:val="21"/>
          <w:highlight w:val="none"/>
        </w:rPr>
        <w:t>。</w:t>
      </w:r>
    </w:p>
    <w:p w14:paraId="72027328">
      <w:pPr>
        <w:pStyle w:val="7"/>
        <w:ind w:firstLine="422" w:firstLineChars="200"/>
        <w:rPr>
          <w:rFonts w:ascii="宋体" w:hAnsi="宋体" w:eastAsia="宋体" w:cs="宋体"/>
          <w:highlight w:val="none"/>
        </w:rPr>
      </w:pPr>
      <w:r>
        <w:rPr>
          <w:rFonts w:hint="eastAsia" w:ascii="宋体" w:hAnsi="宋体" w:eastAsia="宋体" w:cs="宋体"/>
          <w:highlight w:val="none"/>
        </w:rPr>
        <w:t>5.2 开标程序</w:t>
      </w:r>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p w14:paraId="4D8350BA">
      <w:pPr>
        <w:adjustRightInd w:val="0"/>
        <w:snapToGrid w:val="0"/>
        <w:spacing w:line="560" w:lineRule="exact"/>
        <w:ind w:firstLine="420" w:firstLineChars="200"/>
        <w:rPr>
          <w:rFonts w:hint="eastAsia" w:ascii="宋体" w:hAnsi="宋体" w:eastAsia="宋体" w:cs="宋体"/>
          <w:color w:val="000000"/>
          <w:szCs w:val="21"/>
          <w:highlight w:val="none"/>
        </w:rPr>
      </w:pPr>
      <w:bookmarkStart w:id="469" w:name="_Toc152042338"/>
      <w:bookmarkStart w:id="470" w:name="_Toc35425085"/>
      <w:bookmarkStart w:id="471" w:name="_Toc247085720"/>
      <w:bookmarkStart w:id="472" w:name="_Toc15058884"/>
      <w:bookmarkStart w:id="473" w:name="_Toc246996206"/>
      <w:bookmarkStart w:id="474" w:name="_Toc179632580"/>
      <w:bookmarkStart w:id="475" w:name="_Toc144974530"/>
      <w:bookmarkStart w:id="476" w:name="_Toc78803352"/>
      <w:bookmarkStart w:id="477" w:name="_Toc152045562"/>
      <w:bookmarkStart w:id="478" w:name="_Toc35424919"/>
      <w:bookmarkStart w:id="479" w:name="_Toc506107299"/>
      <w:bookmarkStart w:id="480" w:name="_Toc246996949"/>
      <w:bookmarkStart w:id="481" w:name="_Toc324404846"/>
      <w:bookmarkStart w:id="482" w:name="_Toc20689"/>
      <w:r>
        <w:rPr>
          <w:rFonts w:hint="eastAsia" w:ascii="宋体" w:hAnsi="宋体" w:eastAsia="宋体" w:cs="宋体"/>
          <w:color w:val="000000"/>
          <w:szCs w:val="21"/>
          <w:highlight w:val="none"/>
        </w:rPr>
        <w:t>开标会议由 滁州市城投工程咨询管理有限公司 主持。</w:t>
      </w:r>
    </w:p>
    <w:p w14:paraId="2EF675CC">
      <w:pPr>
        <w:adjustRightInd w:val="0"/>
        <w:snapToGrid w:val="0"/>
        <w:spacing w:line="560" w:lineRule="exact"/>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（1）宣布开标纪律；</w:t>
      </w:r>
    </w:p>
    <w:p w14:paraId="32DC1B8B">
      <w:pPr>
        <w:adjustRightInd w:val="0"/>
        <w:snapToGrid w:val="0"/>
        <w:spacing w:line="560" w:lineRule="exact"/>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（2）宣布采购人、代理机构主持人、见证人等有关人员姓名；</w:t>
      </w:r>
    </w:p>
    <w:p w14:paraId="5A0E5700">
      <w:pPr>
        <w:adjustRightInd w:val="0"/>
        <w:snapToGrid w:val="0"/>
        <w:spacing w:line="560" w:lineRule="exact"/>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（3）公布投标人投标报价、服务期及其他内容，并记录在案；</w:t>
      </w:r>
    </w:p>
    <w:p w14:paraId="39C2D4A9">
      <w:pPr>
        <w:adjustRightInd w:val="0"/>
        <w:snapToGrid w:val="0"/>
        <w:spacing w:line="560" w:lineRule="exact"/>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（4）开标结束。</w:t>
      </w:r>
    </w:p>
    <w:p w14:paraId="0FABB25E">
      <w:pPr>
        <w:pStyle w:val="7"/>
        <w:spacing w:beforeLines="50" w:afterLines="50"/>
        <w:ind w:firstLine="482" w:firstLineChars="200"/>
        <w:rPr>
          <w:rFonts w:ascii="宋体" w:hAnsi="宋体" w:eastAsia="宋体" w:cs="宋体"/>
          <w:sz w:val="24"/>
          <w:szCs w:val="24"/>
          <w:highlight w:val="none"/>
        </w:rPr>
      </w:pPr>
      <w:r>
        <w:rPr>
          <w:rFonts w:hint="eastAsia" w:ascii="宋体" w:hAnsi="宋体" w:eastAsia="宋体" w:cs="宋体"/>
          <w:sz w:val="24"/>
          <w:szCs w:val="24"/>
          <w:highlight w:val="none"/>
        </w:rPr>
        <w:t>6. 评标</w:t>
      </w:r>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p w14:paraId="6D7B4E38">
      <w:pPr>
        <w:pStyle w:val="7"/>
        <w:ind w:firstLine="422" w:firstLineChars="200"/>
        <w:rPr>
          <w:rFonts w:hint="eastAsia" w:ascii="宋体" w:hAnsi="宋体" w:eastAsia="宋体" w:cs="宋体"/>
          <w:highlight w:val="none"/>
        </w:rPr>
      </w:pPr>
      <w:bookmarkStart w:id="483" w:name="_Toc179632581"/>
      <w:bookmarkStart w:id="484" w:name="_Toc246996207"/>
      <w:bookmarkStart w:id="485" w:name="_Toc15058885"/>
      <w:bookmarkStart w:id="486" w:name="_Toc324404847"/>
      <w:bookmarkStart w:id="487" w:name="_Toc60061467"/>
      <w:bookmarkStart w:id="488" w:name="_Toc144974531"/>
      <w:bookmarkStart w:id="489" w:name="_Toc296602452"/>
      <w:bookmarkStart w:id="490" w:name="_Toc506107300"/>
      <w:bookmarkStart w:id="491" w:name="_Toc246996950"/>
      <w:bookmarkStart w:id="492" w:name="_Toc152045563"/>
      <w:bookmarkStart w:id="493" w:name="_Toc247085721"/>
      <w:bookmarkStart w:id="494" w:name="_Toc152042339"/>
      <w:bookmarkStart w:id="495" w:name="_Toc95223370"/>
      <w:bookmarkStart w:id="496" w:name="_Toc83301722"/>
      <w:bookmarkStart w:id="497" w:name="_Toc15058886"/>
      <w:bookmarkStart w:id="498" w:name="_Toc296602453"/>
      <w:bookmarkStart w:id="499" w:name="_Toc152042340"/>
      <w:bookmarkStart w:id="500" w:name="_Toc35424921"/>
      <w:bookmarkStart w:id="501" w:name="_Toc78803354"/>
      <w:bookmarkStart w:id="502" w:name="_Toc179632582"/>
      <w:bookmarkStart w:id="503" w:name="_Toc506107301"/>
      <w:bookmarkStart w:id="504" w:name="_Toc246996208"/>
      <w:bookmarkStart w:id="505" w:name="_Toc152045564"/>
      <w:bookmarkStart w:id="506" w:name="_Toc247085722"/>
      <w:bookmarkStart w:id="507" w:name="_Toc12948"/>
      <w:bookmarkStart w:id="508" w:name="_Toc324404848"/>
      <w:bookmarkStart w:id="509" w:name="_Toc246996951"/>
      <w:bookmarkStart w:id="510" w:name="_Toc35425087"/>
      <w:bookmarkStart w:id="511" w:name="_Toc144974532"/>
      <w:r>
        <w:rPr>
          <w:rFonts w:hint="eastAsia" w:ascii="宋体" w:hAnsi="宋体" w:eastAsia="宋体" w:cs="宋体"/>
          <w:highlight w:val="none"/>
        </w:rPr>
        <w:t>6.1 评标委员会</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p>
    <w:p w14:paraId="4E04D397">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329F69BD">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6.1.2 评标委员会成员有下列情形之一的，应当回避：</w:t>
      </w:r>
    </w:p>
    <w:p w14:paraId="73C97D41">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（1）项目主管部门或行政监督管理部门的工作人员； </w:t>
      </w:r>
    </w:p>
    <w:p w14:paraId="2C74894B">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（2）与竞争主体主要负责人或者授权参与交易的代理人有近亲属关系的人员； </w:t>
      </w:r>
    </w:p>
    <w:p w14:paraId="2117A829">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（3）竞争主体的工作人员或者退休人员； </w:t>
      </w:r>
    </w:p>
    <w:p w14:paraId="33843AD1">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（4）竞争主体的上级主管、控股或者被控股单位等相关利害关系的人员，或任职单位与竞争主体单位为同一法定代表人的。 </w:t>
      </w:r>
    </w:p>
    <w:p w14:paraId="0C395A67">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（5）存在其他法定回避情形的</w:t>
      </w:r>
    </w:p>
    <w:p w14:paraId="175B40D3">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项目实施主体及其子公司、下属单位、上级主管部门或者控股公司的工作人员或者退休人员不得以专家身份参与本单位或者代理项目的评标评审。 </w:t>
      </w:r>
    </w:p>
    <w:p w14:paraId="3E7C33FF">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评标委员会或评审机构成员有前两款规定情形的，应当主动提出回避；已经进入的应当更换，被更换的成员评标评审意见无效。</w:t>
      </w:r>
    </w:p>
    <w:p w14:paraId="0DC1ABCB">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6.1.3评标过程中，评标委员会成员有回避事由、擅离职守或因健康等原因不能继续评标的， 招标人有权更换。被更换的评标委员会成员作出的评审结论无效，由更换后的评标委员会成员重新进行评审。</w:t>
      </w:r>
    </w:p>
    <w:p w14:paraId="2C15BB0C">
      <w:pPr>
        <w:pStyle w:val="7"/>
        <w:ind w:firstLine="422" w:firstLineChars="200"/>
        <w:rPr>
          <w:rFonts w:ascii="宋体" w:hAnsi="宋体" w:eastAsia="宋体" w:cs="宋体"/>
          <w:highlight w:val="none"/>
        </w:rPr>
      </w:pPr>
      <w:r>
        <w:rPr>
          <w:rFonts w:hint="eastAsia" w:ascii="宋体" w:hAnsi="宋体" w:eastAsia="宋体" w:cs="宋体"/>
          <w:highlight w:val="none"/>
        </w:rPr>
        <w:t>6.2 评标原则</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p>
    <w:p w14:paraId="47DBC71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评标活动遵循公平、公正、科学和择优的原则。</w:t>
      </w:r>
    </w:p>
    <w:p w14:paraId="298BCB48">
      <w:pPr>
        <w:pStyle w:val="7"/>
        <w:ind w:firstLine="422" w:firstLineChars="200"/>
        <w:rPr>
          <w:rFonts w:ascii="宋体" w:hAnsi="宋体" w:eastAsia="宋体" w:cs="宋体"/>
          <w:highlight w:val="none"/>
        </w:rPr>
      </w:pPr>
      <w:bookmarkStart w:id="512" w:name="_Toc35425088"/>
      <w:bookmarkStart w:id="513" w:name="_Toc152042341"/>
      <w:bookmarkStart w:id="514" w:name="_Toc152045565"/>
      <w:bookmarkStart w:id="515" w:name="_Toc296602454"/>
      <w:bookmarkStart w:id="516" w:name="_Toc15058887"/>
      <w:bookmarkStart w:id="517" w:name="_Toc506107302"/>
      <w:bookmarkStart w:id="518" w:name="_Toc246996209"/>
      <w:bookmarkStart w:id="519" w:name="_Toc144974533"/>
      <w:bookmarkStart w:id="520" w:name="_Toc179632583"/>
      <w:bookmarkStart w:id="521" w:name="_Toc246996952"/>
      <w:bookmarkStart w:id="522" w:name="_Toc14892"/>
      <w:bookmarkStart w:id="523" w:name="_Toc35424922"/>
      <w:bookmarkStart w:id="524" w:name="_Toc324404849"/>
      <w:bookmarkStart w:id="525" w:name="_Toc78803355"/>
      <w:bookmarkStart w:id="526" w:name="_Toc247085723"/>
      <w:r>
        <w:rPr>
          <w:rFonts w:hint="eastAsia" w:ascii="宋体" w:hAnsi="宋体" w:eastAsia="宋体" w:cs="宋体"/>
          <w:highlight w:val="none"/>
        </w:rPr>
        <w:t>6.3 评标</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14:paraId="4929DC3A">
      <w:pPr>
        <w:spacing w:line="440" w:lineRule="exact"/>
        <w:ind w:firstLine="420" w:firstLineChars="200"/>
        <w:jc w:val="left"/>
        <w:rPr>
          <w:rFonts w:ascii="宋体" w:hAnsi="宋体" w:cs="宋体"/>
          <w:szCs w:val="21"/>
          <w:highlight w:val="none"/>
        </w:rPr>
      </w:pPr>
      <w:bookmarkStart w:id="527" w:name="_Toc246996210"/>
      <w:bookmarkStart w:id="528" w:name="_Toc144974534"/>
      <w:bookmarkStart w:id="529" w:name="_Toc179632584"/>
      <w:bookmarkStart w:id="530" w:name="_Toc246996953"/>
      <w:bookmarkStart w:id="531" w:name="_Toc247085724"/>
      <w:bookmarkStart w:id="532" w:name="_Toc152042342"/>
      <w:bookmarkStart w:id="533" w:name="_Toc152045566"/>
      <w:bookmarkStart w:id="534" w:name="_Toc324404850"/>
      <w:r>
        <w:rPr>
          <w:rFonts w:hint="eastAsia" w:ascii="宋体" w:hAnsi="宋体" w:cs="宋体"/>
          <w:szCs w:val="21"/>
          <w:highlight w:val="none"/>
        </w:rPr>
        <w:t>6.3.1评标委员会按照第</w:t>
      </w:r>
      <w:r>
        <w:rPr>
          <w:rFonts w:hint="eastAsia" w:ascii="宋体" w:hAnsi="宋体" w:cs="宋体"/>
          <w:szCs w:val="21"/>
          <w:highlight w:val="none"/>
          <w:lang w:val="en-US" w:eastAsia="zh-CN"/>
        </w:rPr>
        <w:t>四</w:t>
      </w:r>
      <w:r>
        <w:rPr>
          <w:rFonts w:hint="eastAsia" w:ascii="宋体" w:hAnsi="宋体" w:cs="宋体"/>
          <w:szCs w:val="21"/>
          <w:highlight w:val="none"/>
        </w:rPr>
        <w:t>章“评标办法”规定的方法、评审因素、标准和程序对投标文件进行评审。第</w:t>
      </w:r>
      <w:r>
        <w:rPr>
          <w:rFonts w:hint="eastAsia" w:ascii="宋体" w:hAnsi="宋体" w:cs="宋体"/>
          <w:szCs w:val="21"/>
          <w:highlight w:val="none"/>
          <w:lang w:val="en-US" w:eastAsia="zh-CN"/>
        </w:rPr>
        <w:t>四</w:t>
      </w:r>
      <w:r>
        <w:rPr>
          <w:rFonts w:hint="eastAsia" w:ascii="宋体" w:hAnsi="宋体" w:cs="宋体"/>
          <w:szCs w:val="21"/>
          <w:highlight w:val="none"/>
        </w:rPr>
        <w:t>章“评标办法”没有规定的方法、评审因素和标准，不作为评标依据。</w:t>
      </w:r>
    </w:p>
    <w:p w14:paraId="7D4C112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6.3.2评标完成后，评标委员会应向招标人提交书面评标报告和中标候选人名单。评标委员会推荐中标候选人的人数见投标人须知前附表。</w:t>
      </w:r>
    </w:p>
    <w:p w14:paraId="1E17D868">
      <w:pPr>
        <w:pStyle w:val="7"/>
        <w:spacing w:beforeLines="50" w:afterLines="50"/>
        <w:ind w:firstLine="482" w:firstLineChars="200"/>
        <w:rPr>
          <w:rFonts w:ascii="宋体" w:hAnsi="宋体" w:eastAsia="宋体" w:cs="宋体"/>
          <w:sz w:val="24"/>
          <w:szCs w:val="24"/>
          <w:highlight w:val="none"/>
        </w:rPr>
      </w:pPr>
      <w:bookmarkStart w:id="535" w:name="_Toc15058888"/>
      <w:bookmarkStart w:id="536" w:name="_Toc35425089"/>
      <w:bookmarkStart w:id="537" w:name="_Toc35424923"/>
      <w:bookmarkStart w:id="538" w:name="_Toc78803356"/>
      <w:bookmarkStart w:id="539" w:name="_Toc506107303"/>
      <w:bookmarkStart w:id="540" w:name="_Toc26182"/>
      <w:r>
        <w:rPr>
          <w:rFonts w:hint="eastAsia" w:ascii="宋体" w:hAnsi="宋体" w:eastAsia="宋体" w:cs="宋体"/>
          <w:sz w:val="24"/>
          <w:szCs w:val="24"/>
          <w:highlight w:val="none"/>
        </w:rPr>
        <w:t>7. 合同授予</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p>
    <w:p w14:paraId="070C7520">
      <w:pPr>
        <w:pStyle w:val="7"/>
        <w:ind w:firstLine="422" w:firstLineChars="200"/>
        <w:rPr>
          <w:rFonts w:hint="eastAsia" w:ascii="宋体" w:hAnsi="宋体" w:eastAsia="宋体" w:cs="宋体"/>
          <w:highlight w:val="none"/>
        </w:rPr>
      </w:pPr>
      <w:bookmarkStart w:id="541" w:name="_Toc296602457"/>
      <w:bookmarkStart w:id="542" w:name="_Toc95223374"/>
      <w:bookmarkStart w:id="543" w:name="_Toc60061472"/>
      <w:bookmarkStart w:id="544" w:name="_Toc15058890"/>
      <w:bookmarkStart w:id="545" w:name="_Toc506107305"/>
      <w:bookmarkStart w:id="546" w:name="_Toc324404852"/>
      <w:bookmarkStart w:id="547" w:name="_Toc83301726"/>
      <w:bookmarkStart w:id="548" w:name="_Toc35425092"/>
      <w:bookmarkStart w:id="549" w:name="_Toc8261"/>
      <w:bookmarkStart w:id="550" w:name="_Toc35424926"/>
      <w:bookmarkStart w:id="551" w:name="_Toc78803359"/>
      <w:bookmarkStart w:id="552" w:name="_Toc27040"/>
      <w:bookmarkStart w:id="553" w:name="_Toc296602458"/>
      <w:bookmarkStart w:id="554" w:name="_Toc35424927"/>
      <w:bookmarkStart w:id="555" w:name="_Toc179632586"/>
      <w:bookmarkStart w:id="556" w:name="_Toc144974536"/>
      <w:bookmarkStart w:id="557" w:name="_Toc35425093"/>
      <w:bookmarkStart w:id="558" w:name="_Toc152042344"/>
      <w:bookmarkStart w:id="559" w:name="_Toc15058891"/>
      <w:bookmarkStart w:id="560" w:name="_Toc506107306"/>
      <w:bookmarkStart w:id="561" w:name="_Toc324404853"/>
      <w:bookmarkStart w:id="562" w:name="_Toc246996955"/>
      <w:bookmarkStart w:id="563" w:name="_Toc152045568"/>
      <w:bookmarkStart w:id="564" w:name="_Toc14692"/>
      <w:bookmarkStart w:id="565" w:name="_Toc247085726"/>
      <w:bookmarkStart w:id="566" w:name="_Toc246996212"/>
      <w:r>
        <w:rPr>
          <w:rFonts w:hint="eastAsia" w:ascii="宋体" w:hAnsi="宋体" w:eastAsia="宋体" w:cs="宋体"/>
          <w:highlight w:val="none"/>
        </w:rPr>
        <w:t>7.1 中标候选人公示</w:t>
      </w:r>
      <w:bookmarkEnd w:id="541"/>
      <w:bookmarkEnd w:id="542"/>
      <w:bookmarkEnd w:id="543"/>
      <w:bookmarkEnd w:id="544"/>
      <w:bookmarkEnd w:id="545"/>
      <w:bookmarkEnd w:id="546"/>
      <w:bookmarkEnd w:id="547"/>
    </w:p>
    <w:p w14:paraId="3D3C9E8B">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招标人在收到评标报告之日起3日内，按照投标人须知前附表规定的公示媒介和期限依法公示。中标候选人公示期不得少于3日。</w:t>
      </w:r>
    </w:p>
    <w:p w14:paraId="02BCD838">
      <w:pPr>
        <w:pStyle w:val="7"/>
        <w:ind w:firstLine="422" w:firstLineChars="200"/>
        <w:rPr>
          <w:rFonts w:hint="eastAsia" w:ascii="宋体" w:hAnsi="宋体" w:eastAsia="宋体" w:cs="宋体"/>
          <w:highlight w:val="none"/>
        </w:rPr>
      </w:pPr>
      <w:r>
        <w:rPr>
          <w:rFonts w:hint="eastAsia" w:ascii="宋体" w:hAnsi="宋体" w:eastAsia="宋体" w:cs="宋体"/>
          <w:highlight w:val="none"/>
        </w:rPr>
        <w:t>7.2 评标结果异议</w:t>
      </w:r>
    </w:p>
    <w:p w14:paraId="6D874A6B">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投标人或其他利害关系人对评标结果有异议的，应在中标候选人公示期内提出。招标人将在收到异议之日起3日内作出答复；作出答复前，将暂停招标投标活动。</w:t>
      </w:r>
    </w:p>
    <w:p w14:paraId="1D0EB461">
      <w:pPr>
        <w:pStyle w:val="7"/>
        <w:ind w:firstLine="422" w:firstLineChars="200"/>
        <w:rPr>
          <w:rFonts w:ascii="宋体" w:hAnsi="宋体" w:eastAsia="宋体" w:cs="宋体"/>
          <w:highlight w:val="none"/>
        </w:rPr>
      </w:pPr>
      <w:r>
        <w:rPr>
          <w:rFonts w:hint="eastAsia" w:ascii="宋体" w:hAnsi="宋体" w:eastAsia="宋体" w:cs="宋体"/>
          <w:highlight w:val="none"/>
        </w:rPr>
        <w:t>7.</w:t>
      </w:r>
      <w:r>
        <w:rPr>
          <w:rFonts w:hint="eastAsia" w:ascii="宋体" w:hAnsi="宋体" w:eastAsia="宋体" w:cs="宋体"/>
          <w:highlight w:val="none"/>
          <w:lang w:val="en-US" w:eastAsia="zh-CN"/>
        </w:rPr>
        <w:t>3</w:t>
      </w:r>
      <w:r>
        <w:rPr>
          <w:rFonts w:hint="eastAsia" w:ascii="宋体" w:hAnsi="宋体" w:eastAsia="宋体" w:cs="宋体"/>
          <w:highlight w:val="none"/>
        </w:rPr>
        <w:t xml:space="preserve"> </w:t>
      </w:r>
      <w:bookmarkEnd w:id="548"/>
      <w:bookmarkEnd w:id="549"/>
      <w:bookmarkEnd w:id="550"/>
      <w:bookmarkEnd w:id="551"/>
      <w:bookmarkEnd w:id="552"/>
      <w:r>
        <w:rPr>
          <w:rFonts w:hint="eastAsia" w:ascii="宋体" w:hAnsi="宋体" w:eastAsia="宋体" w:cs="宋体"/>
          <w:highlight w:val="none"/>
        </w:rPr>
        <w:t>定标</w:t>
      </w:r>
    </w:p>
    <w:p w14:paraId="337C0E9C">
      <w:pPr>
        <w:spacing w:line="440" w:lineRule="exact"/>
        <w:ind w:firstLine="420" w:firstLineChars="200"/>
        <w:jc w:val="left"/>
        <w:rPr>
          <w:rFonts w:hint="eastAsia" w:ascii="宋体" w:hAnsi="宋体" w:eastAsia="宋体" w:cs="宋体"/>
          <w:szCs w:val="21"/>
          <w:highlight w:val="none"/>
        </w:rPr>
      </w:pPr>
      <w:bookmarkStart w:id="567" w:name="_Toc4204"/>
      <w:bookmarkStart w:id="568" w:name="_Toc78803360"/>
      <w:r>
        <w:rPr>
          <w:rFonts w:hint="eastAsia" w:ascii="宋体" w:hAnsi="宋体" w:eastAsia="宋体" w:cs="宋体"/>
          <w:szCs w:val="21"/>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05B9A367">
      <w:pPr>
        <w:pStyle w:val="7"/>
        <w:ind w:firstLine="422" w:firstLineChars="200"/>
        <w:rPr>
          <w:rFonts w:hint="eastAsia" w:ascii="宋体" w:hAnsi="宋体" w:eastAsia="宋体" w:cs="宋体"/>
          <w:highlight w:val="none"/>
        </w:rPr>
      </w:pPr>
      <w:bookmarkStart w:id="569" w:name="_Toc83301728"/>
      <w:bookmarkStart w:id="570" w:name="_Toc95223376"/>
      <w:r>
        <w:rPr>
          <w:rFonts w:hint="eastAsia" w:ascii="宋体" w:hAnsi="宋体" w:eastAsia="宋体" w:cs="宋体"/>
          <w:highlight w:val="none"/>
        </w:rPr>
        <w:t>7.</w:t>
      </w:r>
      <w:r>
        <w:rPr>
          <w:rFonts w:hint="eastAsia" w:ascii="宋体" w:hAnsi="宋体" w:eastAsia="宋体" w:cs="宋体"/>
          <w:highlight w:val="none"/>
          <w:lang w:val="en-US" w:eastAsia="zh-CN"/>
        </w:rPr>
        <w:t>4</w:t>
      </w:r>
      <w:r>
        <w:rPr>
          <w:rFonts w:hint="eastAsia" w:ascii="宋体" w:hAnsi="宋体" w:eastAsia="宋体" w:cs="宋体"/>
          <w:highlight w:val="none"/>
        </w:rPr>
        <w:t xml:space="preserve"> 中标通知</w:t>
      </w:r>
      <w:bookmarkEnd w:id="569"/>
      <w:bookmarkEnd w:id="570"/>
    </w:p>
    <w:p w14:paraId="768E4E46">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在本招标文件规定的投标有效期内，招标人向中标人发出中标通知书，同时将中标结果通知未中标的投标人。</w:t>
      </w:r>
    </w:p>
    <w:p w14:paraId="045D8AA7">
      <w:pPr>
        <w:pStyle w:val="7"/>
        <w:ind w:firstLine="422" w:firstLineChars="200"/>
        <w:rPr>
          <w:rFonts w:hint="eastAsia" w:ascii="宋体" w:hAnsi="宋体" w:eastAsia="宋体" w:cs="宋体"/>
          <w:highlight w:val="none"/>
        </w:rPr>
      </w:pPr>
      <w:bookmarkStart w:id="571" w:name="_Toc95223377"/>
      <w:r>
        <w:rPr>
          <w:rFonts w:hint="eastAsia" w:ascii="宋体" w:hAnsi="宋体" w:eastAsia="宋体" w:cs="宋体"/>
          <w:highlight w:val="none"/>
        </w:rPr>
        <w:t>7.</w:t>
      </w:r>
      <w:r>
        <w:rPr>
          <w:rFonts w:hint="eastAsia" w:ascii="宋体" w:hAnsi="宋体" w:eastAsia="宋体" w:cs="宋体"/>
          <w:highlight w:val="none"/>
          <w:lang w:val="en-US" w:eastAsia="zh-CN"/>
        </w:rPr>
        <w:t xml:space="preserve">5 </w:t>
      </w:r>
      <w:r>
        <w:rPr>
          <w:rFonts w:hint="eastAsia" w:ascii="宋体" w:hAnsi="宋体" w:eastAsia="宋体" w:cs="宋体"/>
          <w:highlight w:val="none"/>
        </w:rPr>
        <w:t>中标结果公示</w:t>
      </w:r>
      <w:bookmarkEnd w:id="571"/>
    </w:p>
    <w:p w14:paraId="0718115A">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招标人在确定中标人之日起3日内，按照投标人须知前附表规定的公示媒介和期限公示中标结果。</w:t>
      </w:r>
    </w:p>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p w14:paraId="76BD1912">
      <w:pPr>
        <w:pStyle w:val="7"/>
        <w:ind w:firstLine="422" w:firstLineChars="200"/>
        <w:rPr>
          <w:rFonts w:ascii="宋体" w:hAnsi="宋体" w:eastAsia="宋体" w:cs="宋体"/>
          <w:highlight w:val="none"/>
        </w:rPr>
      </w:pPr>
      <w:bookmarkStart w:id="572" w:name="_Toc506107307"/>
      <w:bookmarkStart w:id="573" w:name="_Toc144974537"/>
      <w:bookmarkStart w:id="574" w:name="_Toc25501"/>
      <w:bookmarkStart w:id="575" w:name="_Toc152045569"/>
      <w:bookmarkStart w:id="576" w:name="_Toc15058892"/>
      <w:bookmarkStart w:id="577" w:name="_Toc35425095"/>
      <w:bookmarkStart w:id="578" w:name="_Toc179632587"/>
      <w:bookmarkStart w:id="579" w:name="_Toc246996956"/>
      <w:bookmarkStart w:id="580" w:name="_Toc324404854"/>
      <w:bookmarkStart w:id="581" w:name="_Toc78803362"/>
      <w:bookmarkStart w:id="582" w:name="_Toc152042345"/>
      <w:bookmarkStart w:id="583" w:name="_Toc35424929"/>
      <w:bookmarkStart w:id="584" w:name="_Toc247085727"/>
      <w:bookmarkStart w:id="585" w:name="_Toc246996213"/>
      <w:bookmarkStart w:id="586" w:name="_Toc296602459"/>
      <w:r>
        <w:rPr>
          <w:rFonts w:hint="eastAsia" w:ascii="宋体" w:hAnsi="宋体" w:eastAsia="宋体" w:cs="宋体"/>
          <w:highlight w:val="none"/>
        </w:rPr>
        <w:t>7.</w:t>
      </w:r>
      <w:r>
        <w:rPr>
          <w:rFonts w:hint="eastAsia" w:ascii="宋体" w:hAnsi="宋体" w:eastAsia="宋体" w:cs="宋体"/>
          <w:highlight w:val="none"/>
          <w:lang w:val="en-US" w:eastAsia="zh-CN"/>
        </w:rPr>
        <w:t>6</w:t>
      </w:r>
      <w:r>
        <w:rPr>
          <w:rFonts w:hint="eastAsia" w:ascii="宋体" w:hAnsi="宋体" w:eastAsia="宋体" w:cs="宋体"/>
          <w:highlight w:val="none"/>
        </w:rPr>
        <w:t xml:space="preserve"> 履约担保</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p>
    <w:p w14:paraId="612A633E">
      <w:pPr>
        <w:spacing w:line="440" w:lineRule="exact"/>
        <w:ind w:firstLine="420" w:firstLineChars="200"/>
        <w:jc w:val="left"/>
        <w:rPr>
          <w:rFonts w:hint="eastAsia" w:ascii="宋体" w:hAnsi="宋体" w:eastAsia="宋体" w:cs="宋体"/>
          <w:szCs w:val="21"/>
          <w:highlight w:val="none"/>
        </w:rPr>
      </w:pPr>
      <w:bookmarkStart w:id="587" w:name="_Toc506107308"/>
      <w:bookmarkStart w:id="588" w:name="_Toc35425096"/>
      <w:bookmarkStart w:id="589" w:name="_Toc35424930"/>
      <w:bookmarkStart w:id="590" w:name="_Toc246996214"/>
      <w:bookmarkStart w:id="591" w:name="_Toc246996957"/>
      <w:bookmarkStart w:id="592" w:name="_Toc15058893"/>
      <w:bookmarkStart w:id="593" w:name="_Toc152042346"/>
      <w:bookmarkStart w:id="594" w:name="_Toc296602460"/>
      <w:bookmarkStart w:id="595" w:name="_Toc11010"/>
      <w:bookmarkStart w:id="596" w:name="_Toc152045570"/>
      <w:bookmarkStart w:id="597" w:name="_Toc179632588"/>
      <w:bookmarkStart w:id="598" w:name="_Toc247085728"/>
      <w:bookmarkStart w:id="599" w:name="_Toc144974538"/>
      <w:bookmarkStart w:id="600" w:name="_Toc324404855"/>
      <w:bookmarkStart w:id="601" w:name="_Toc78803363"/>
      <w:r>
        <w:rPr>
          <w:rFonts w:hint="eastAsia" w:ascii="宋体" w:hAnsi="宋体" w:eastAsia="宋体" w:cs="宋体"/>
          <w:szCs w:val="21"/>
          <w:highlight w:val="none"/>
        </w:rPr>
        <w:t>7.</w:t>
      </w:r>
      <w:r>
        <w:rPr>
          <w:rFonts w:hint="eastAsia" w:ascii="宋体" w:hAnsi="宋体" w:eastAsia="宋体" w:cs="宋体"/>
          <w:szCs w:val="21"/>
          <w:highlight w:val="none"/>
          <w:lang w:val="en-US" w:eastAsia="zh-CN"/>
        </w:rPr>
        <w:t>6</w:t>
      </w:r>
      <w:r>
        <w:rPr>
          <w:rFonts w:hint="eastAsia" w:ascii="宋体" w:hAnsi="宋体" w:eastAsia="宋体" w:cs="宋体"/>
          <w:szCs w:val="21"/>
          <w:highlight w:val="none"/>
        </w:rPr>
        <w:t>.1在签订合同前，中标人应按投标人须知前附表规定的担保形式和招标文件第五章“合同条款及格式”规定的或者事先经过招标人书面认可的履约担保格式向招标人提交履约担保。联合体中标的，其履约担保应符合投标人须知前附表规定的金额、担保形式和招标文件第五章“合同条款及格式”规定的履约担保格式要求。</w:t>
      </w:r>
    </w:p>
    <w:p w14:paraId="7C6B3360">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w:t>
      </w:r>
      <w:r>
        <w:rPr>
          <w:rFonts w:hint="eastAsia" w:ascii="宋体" w:hAnsi="宋体" w:eastAsia="宋体" w:cs="宋体"/>
          <w:szCs w:val="21"/>
          <w:highlight w:val="none"/>
          <w:lang w:val="en-US" w:eastAsia="zh-CN"/>
        </w:rPr>
        <w:t>6</w:t>
      </w:r>
      <w:r>
        <w:rPr>
          <w:rFonts w:hint="eastAsia" w:ascii="宋体" w:hAnsi="宋体" w:eastAsia="宋体" w:cs="宋体"/>
          <w:szCs w:val="21"/>
          <w:highlight w:val="none"/>
        </w:rPr>
        <w:t>.2 中标人不能按本章第7.</w:t>
      </w:r>
      <w:r>
        <w:rPr>
          <w:rFonts w:hint="eastAsia" w:ascii="宋体" w:hAnsi="宋体" w:eastAsia="宋体" w:cs="宋体"/>
          <w:szCs w:val="21"/>
          <w:highlight w:val="none"/>
          <w:lang w:val="en-US" w:eastAsia="zh-CN"/>
        </w:rPr>
        <w:t>6</w:t>
      </w:r>
      <w:r>
        <w:rPr>
          <w:rFonts w:hint="eastAsia" w:ascii="宋体" w:hAnsi="宋体" w:eastAsia="宋体" w:cs="宋体"/>
          <w:szCs w:val="21"/>
          <w:highlight w:val="none"/>
        </w:rPr>
        <w:t>.1项要求提交履约担保的，视为放弃中标，其投标保证金不予退还，给招标人造成的损失超过投标保证金数额的，中标人还应当对超过部分予以赔偿。</w:t>
      </w:r>
    </w:p>
    <w:p w14:paraId="3B4E380F">
      <w:pPr>
        <w:pStyle w:val="7"/>
        <w:ind w:firstLine="422" w:firstLineChars="200"/>
        <w:rPr>
          <w:rFonts w:ascii="宋体" w:hAnsi="宋体" w:eastAsia="宋体" w:cs="宋体"/>
          <w:highlight w:val="none"/>
        </w:rPr>
      </w:pPr>
      <w:r>
        <w:rPr>
          <w:rFonts w:hint="eastAsia" w:ascii="宋体" w:hAnsi="宋体" w:eastAsia="宋体" w:cs="宋体"/>
          <w:highlight w:val="none"/>
        </w:rPr>
        <w:t>7.</w:t>
      </w:r>
      <w:r>
        <w:rPr>
          <w:rFonts w:hint="eastAsia" w:ascii="宋体" w:hAnsi="宋体" w:eastAsia="宋体" w:cs="宋体"/>
          <w:highlight w:val="none"/>
          <w:lang w:val="en-US" w:eastAsia="zh-CN"/>
        </w:rPr>
        <w:t>7</w:t>
      </w:r>
      <w:r>
        <w:rPr>
          <w:rFonts w:hint="eastAsia" w:ascii="宋体" w:hAnsi="宋体" w:eastAsia="宋体" w:cs="宋体"/>
          <w:highlight w:val="none"/>
        </w:rPr>
        <w:t xml:space="preserve"> 签订合同</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p w14:paraId="72DE0C53">
      <w:pPr>
        <w:wordWrap w:val="0"/>
        <w:spacing w:line="440" w:lineRule="exact"/>
        <w:ind w:firstLine="420" w:firstLineChars="200"/>
        <w:jc w:val="left"/>
        <w:rPr>
          <w:rFonts w:hint="eastAsia" w:ascii="宋体" w:hAnsi="宋体" w:eastAsia="宋体" w:cs="宋体"/>
          <w:bCs/>
          <w:szCs w:val="21"/>
          <w:highlight w:val="none"/>
        </w:rPr>
      </w:pPr>
      <w:bookmarkStart w:id="602" w:name="_Toc324404856"/>
      <w:bookmarkStart w:id="603" w:name="_Toc15058894"/>
      <w:bookmarkStart w:id="604" w:name="_Toc506107309"/>
      <w:r>
        <w:rPr>
          <w:rFonts w:hint="eastAsia" w:ascii="宋体" w:hAnsi="宋体" w:eastAsia="宋体" w:cs="宋体"/>
          <w:bCs/>
          <w:szCs w:val="21"/>
          <w:highlight w:val="none"/>
        </w:rPr>
        <w:t>7.</w:t>
      </w:r>
      <w:r>
        <w:rPr>
          <w:rFonts w:hint="eastAsia" w:ascii="宋体" w:hAnsi="宋体" w:eastAsia="宋体" w:cs="宋体"/>
          <w:bCs/>
          <w:szCs w:val="21"/>
          <w:highlight w:val="none"/>
          <w:lang w:val="en-US" w:eastAsia="zh-CN"/>
        </w:rPr>
        <w:t>7</w:t>
      </w:r>
      <w:r>
        <w:rPr>
          <w:rFonts w:hint="eastAsia" w:ascii="宋体" w:hAnsi="宋体" w:eastAsia="宋体" w:cs="宋体"/>
          <w:bCs/>
          <w:szCs w:val="21"/>
          <w:highlight w:val="none"/>
        </w:rPr>
        <w:t>.1本招标工程的施工合同将授予按本须知第7.</w:t>
      </w:r>
      <w:r>
        <w:rPr>
          <w:rFonts w:hint="eastAsia" w:ascii="宋体" w:hAnsi="宋体" w:eastAsia="宋体" w:cs="宋体"/>
          <w:bCs/>
          <w:szCs w:val="21"/>
          <w:highlight w:val="none"/>
          <w:lang w:val="en-US" w:eastAsia="zh-CN"/>
        </w:rPr>
        <w:t>4</w:t>
      </w:r>
      <w:r>
        <w:rPr>
          <w:rFonts w:hint="eastAsia" w:ascii="宋体" w:hAnsi="宋体" w:eastAsia="宋体" w:cs="宋体"/>
          <w:bCs/>
          <w:szCs w:val="21"/>
          <w:highlight w:val="none"/>
        </w:rPr>
        <w:t xml:space="preserve">条规定所确定的中标人。 </w:t>
      </w:r>
    </w:p>
    <w:p w14:paraId="01C1DF48">
      <w:pPr>
        <w:wordWrap w:val="0"/>
        <w:spacing w:line="440" w:lineRule="exact"/>
        <w:ind w:firstLine="420" w:firstLineChars="200"/>
        <w:jc w:val="left"/>
        <w:rPr>
          <w:rFonts w:hint="eastAsia" w:ascii="宋体" w:hAnsi="宋体" w:eastAsia="宋体" w:cs="宋体"/>
          <w:bCs/>
          <w:szCs w:val="21"/>
          <w:highlight w:val="none"/>
        </w:rPr>
      </w:pPr>
      <w:r>
        <w:rPr>
          <w:rFonts w:hint="eastAsia" w:ascii="宋体" w:hAnsi="宋体" w:eastAsia="宋体" w:cs="宋体"/>
          <w:bCs/>
          <w:szCs w:val="21"/>
          <w:highlight w:val="none"/>
        </w:rPr>
        <w:t>7.</w:t>
      </w:r>
      <w:r>
        <w:rPr>
          <w:rFonts w:hint="eastAsia" w:ascii="宋体" w:hAnsi="宋体" w:eastAsia="宋体" w:cs="宋体"/>
          <w:bCs/>
          <w:szCs w:val="21"/>
          <w:highlight w:val="none"/>
          <w:lang w:val="en-US" w:eastAsia="zh-CN"/>
        </w:rPr>
        <w:t>7</w:t>
      </w:r>
      <w:r>
        <w:rPr>
          <w:rFonts w:hint="eastAsia" w:ascii="宋体" w:hAnsi="宋体" w:eastAsia="宋体" w:cs="宋体"/>
          <w:bCs/>
          <w:szCs w:val="21"/>
          <w:highlight w:val="none"/>
        </w:rPr>
        <w:t>.2招标人和中标人应当自中标通知书发出之日起30天内，根据招标文件和中标人的投标文件订立书面合同。中标人无正当理由拒签合同的，在签订合同时向招标人提出附加条件，或不按照招标文件要求提交履约保证金的，招标人取消其中标资格；给招标人造成的损失的，中标人应当予以赔偿。</w:t>
      </w:r>
    </w:p>
    <w:p w14:paraId="01E0BEC3">
      <w:pPr>
        <w:wordWrap w:val="0"/>
        <w:spacing w:line="440" w:lineRule="exact"/>
        <w:ind w:firstLine="420" w:firstLineChars="200"/>
        <w:jc w:val="left"/>
        <w:rPr>
          <w:rFonts w:hint="eastAsia" w:ascii="宋体" w:hAnsi="宋体" w:eastAsia="宋体" w:cs="宋体"/>
          <w:bCs/>
          <w:szCs w:val="21"/>
          <w:highlight w:val="none"/>
        </w:rPr>
      </w:pPr>
      <w:r>
        <w:rPr>
          <w:rFonts w:hint="eastAsia" w:ascii="宋体" w:hAnsi="宋体" w:eastAsia="宋体" w:cs="宋体"/>
          <w:bCs/>
          <w:szCs w:val="21"/>
          <w:highlight w:val="none"/>
        </w:rPr>
        <w:t>7.</w:t>
      </w:r>
      <w:r>
        <w:rPr>
          <w:rFonts w:hint="eastAsia" w:ascii="宋体" w:hAnsi="宋体" w:eastAsia="宋体" w:cs="宋体"/>
          <w:bCs/>
          <w:szCs w:val="21"/>
          <w:highlight w:val="none"/>
          <w:lang w:val="en-US" w:eastAsia="zh-CN"/>
        </w:rPr>
        <w:t>7</w:t>
      </w:r>
      <w:r>
        <w:rPr>
          <w:rFonts w:hint="eastAsia" w:ascii="宋体" w:hAnsi="宋体" w:eastAsia="宋体" w:cs="宋体"/>
          <w:bCs/>
          <w:szCs w:val="21"/>
          <w:highlight w:val="none"/>
        </w:rPr>
        <w:t>.3发出中标通知书后，招标单位无正当理由拒签合同的，给中标人造成损失的，还应当赔偿损失。</w:t>
      </w:r>
    </w:p>
    <w:p w14:paraId="15321B34">
      <w:pPr>
        <w:wordWrap w:val="0"/>
        <w:spacing w:line="440" w:lineRule="exact"/>
        <w:ind w:firstLine="420" w:firstLineChars="200"/>
        <w:jc w:val="left"/>
        <w:rPr>
          <w:rFonts w:hint="eastAsia" w:ascii="宋体" w:hAnsi="宋体" w:eastAsia="宋体" w:cs="宋体"/>
          <w:bCs/>
          <w:szCs w:val="21"/>
          <w:highlight w:val="none"/>
        </w:rPr>
      </w:pPr>
      <w:r>
        <w:rPr>
          <w:rFonts w:hint="eastAsia" w:ascii="宋体" w:hAnsi="宋体" w:eastAsia="宋体" w:cs="宋体"/>
          <w:bCs/>
          <w:szCs w:val="21"/>
          <w:highlight w:val="none"/>
        </w:rPr>
        <w:t>7.</w:t>
      </w:r>
      <w:r>
        <w:rPr>
          <w:rFonts w:hint="eastAsia" w:ascii="宋体" w:hAnsi="宋体" w:eastAsia="宋体" w:cs="宋体"/>
          <w:bCs/>
          <w:szCs w:val="21"/>
          <w:highlight w:val="none"/>
          <w:lang w:val="en-US" w:eastAsia="zh-CN"/>
        </w:rPr>
        <w:t>7</w:t>
      </w:r>
      <w:r>
        <w:rPr>
          <w:rFonts w:hint="eastAsia" w:ascii="宋体" w:hAnsi="宋体" w:eastAsia="宋体" w:cs="宋体"/>
          <w:bCs/>
          <w:szCs w:val="21"/>
          <w:highlight w:val="none"/>
        </w:rPr>
        <w:t>.4除法定情形外，建设工程合同履行期间项目经理（建造师）不得更换。项目经理（建造师）确需变更的，应根据招标文件要求，变更后的项目经理（建造师）不低于投标文件中拟派项目经理（建造师）的资格条件。</w:t>
      </w:r>
    </w:p>
    <w:bookmarkEnd w:id="602"/>
    <w:bookmarkEnd w:id="603"/>
    <w:bookmarkEnd w:id="604"/>
    <w:p w14:paraId="57E42931">
      <w:pPr>
        <w:pStyle w:val="7"/>
        <w:spacing w:beforeLines="50" w:afterLines="50"/>
        <w:ind w:firstLine="422" w:firstLineChars="200"/>
        <w:rPr>
          <w:rFonts w:hint="eastAsia" w:ascii="宋体" w:hAnsi="宋体" w:eastAsia="宋体" w:cs="宋体"/>
          <w:highlight w:val="none"/>
        </w:rPr>
      </w:pPr>
      <w:bookmarkStart w:id="605" w:name="_Toc95223381"/>
      <w:bookmarkStart w:id="606" w:name="_Toc144974539"/>
      <w:bookmarkStart w:id="607" w:name="_Toc179632589"/>
      <w:bookmarkStart w:id="608" w:name="_Toc152045571"/>
      <w:bookmarkStart w:id="609" w:name="_Toc60061478"/>
      <w:bookmarkStart w:id="610" w:name="_Toc152042347"/>
      <w:bookmarkStart w:id="611" w:name="_Toc83301732"/>
      <w:bookmarkStart w:id="612" w:name="_Toc26974"/>
      <w:bookmarkStart w:id="613" w:name="_Toc78803367"/>
      <w:bookmarkStart w:id="614" w:name="_Toc25375"/>
      <w:bookmarkStart w:id="615" w:name="_Toc35425097"/>
      <w:bookmarkStart w:id="616" w:name="_Toc31686"/>
      <w:bookmarkStart w:id="617" w:name="_Toc35424931"/>
      <w:bookmarkStart w:id="618" w:name="_Toc324404864"/>
      <w:bookmarkStart w:id="619" w:name="_Toc35424939"/>
      <w:bookmarkStart w:id="620" w:name="_Toc506107317"/>
      <w:bookmarkStart w:id="621" w:name="_Toc15058902"/>
      <w:bookmarkStart w:id="622" w:name="_Toc35425105"/>
      <w:bookmarkStart w:id="623" w:name="_Toc296602475"/>
      <w:r>
        <w:rPr>
          <w:rFonts w:hint="eastAsia" w:ascii="宋体" w:hAnsi="宋体" w:eastAsia="宋体" w:cs="宋体"/>
          <w:highlight w:val="none"/>
        </w:rPr>
        <w:t>8. 重新招标和不再招标</w:t>
      </w:r>
      <w:bookmarkEnd w:id="605"/>
      <w:bookmarkEnd w:id="606"/>
      <w:bookmarkEnd w:id="607"/>
      <w:bookmarkEnd w:id="608"/>
      <w:bookmarkEnd w:id="609"/>
      <w:bookmarkEnd w:id="610"/>
      <w:bookmarkEnd w:id="611"/>
    </w:p>
    <w:p w14:paraId="774B94FD">
      <w:pPr>
        <w:pStyle w:val="7"/>
        <w:ind w:firstLine="422" w:firstLineChars="200"/>
        <w:rPr>
          <w:rFonts w:hint="eastAsia" w:ascii="宋体" w:hAnsi="宋体" w:eastAsia="宋体" w:cs="宋体"/>
          <w:highlight w:val="none"/>
        </w:rPr>
      </w:pPr>
      <w:bookmarkStart w:id="624" w:name="_Toc95223382"/>
      <w:bookmarkStart w:id="625" w:name="_Toc179632590"/>
      <w:bookmarkStart w:id="626" w:name="_Toc60061479"/>
      <w:bookmarkStart w:id="627" w:name="_Toc152042348"/>
      <w:bookmarkStart w:id="628" w:name="_Toc144974540"/>
      <w:bookmarkStart w:id="629" w:name="_Toc152045572"/>
      <w:bookmarkStart w:id="630" w:name="_Toc83301733"/>
      <w:r>
        <w:rPr>
          <w:rFonts w:hint="eastAsia" w:ascii="宋体" w:hAnsi="宋体" w:eastAsia="宋体" w:cs="宋体"/>
          <w:highlight w:val="none"/>
        </w:rPr>
        <w:t>8.1 重新招标</w:t>
      </w:r>
      <w:bookmarkEnd w:id="624"/>
      <w:bookmarkEnd w:id="625"/>
      <w:bookmarkEnd w:id="626"/>
      <w:bookmarkEnd w:id="627"/>
      <w:bookmarkEnd w:id="628"/>
      <w:bookmarkEnd w:id="629"/>
      <w:bookmarkEnd w:id="630"/>
    </w:p>
    <w:p w14:paraId="243115F1">
      <w:pPr>
        <w:adjustRightInd w:val="0"/>
        <w:snapToGrid w:val="0"/>
        <w:spacing w:line="600" w:lineRule="exact"/>
        <w:ind w:firstLine="359" w:firstLineChars="171"/>
        <w:rPr>
          <w:rFonts w:hint="eastAsia" w:ascii="宋体" w:hAnsi="宋体" w:cs="宋体"/>
          <w:color w:val="000000"/>
          <w:highlight w:val="none"/>
        </w:rPr>
      </w:pPr>
      <w:r>
        <w:rPr>
          <w:rFonts w:hint="eastAsia" w:ascii="宋体" w:hAnsi="宋体" w:cs="宋体"/>
          <w:color w:val="000000"/>
          <w:highlight w:val="none"/>
        </w:rPr>
        <w:t>依法必须招标的项目有下列情形之一的，招标人将重新招标：</w:t>
      </w:r>
    </w:p>
    <w:p w14:paraId="71A327E5">
      <w:pPr>
        <w:adjustRightInd w:val="0"/>
        <w:snapToGrid w:val="0"/>
        <w:spacing w:line="600" w:lineRule="exact"/>
        <w:ind w:firstLine="359" w:firstLineChars="171"/>
        <w:rPr>
          <w:rFonts w:hint="eastAsia" w:ascii="宋体" w:hAnsi="宋体" w:cs="宋体"/>
          <w:color w:val="000000"/>
          <w:highlight w:val="none"/>
        </w:rPr>
      </w:pPr>
      <w:r>
        <w:rPr>
          <w:rFonts w:hint="eastAsia" w:ascii="宋体" w:hAnsi="宋体" w:cs="宋体"/>
          <w:color w:val="000000"/>
          <w:highlight w:val="none"/>
        </w:rPr>
        <w:t>（1）投标截止时间止，投标人少于3个的；</w:t>
      </w:r>
    </w:p>
    <w:p w14:paraId="53761C98">
      <w:pPr>
        <w:adjustRightInd w:val="0"/>
        <w:snapToGrid w:val="0"/>
        <w:spacing w:line="600" w:lineRule="exact"/>
        <w:ind w:firstLine="359" w:firstLineChars="171"/>
        <w:rPr>
          <w:rFonts w:hint="eastAsia" w:ascii="宋体" w:hAnsi="宋体" w:cs="宋体"/>
          <w:color w:val="000000"/>
          <w:highlight w:val="none"/>
        </w:rPr>
      </w:pPr>
      <w:r>
        <w:rPr>
          <w:rFonts w:hint="eastAsia" w:ascii="宋体" w:hAnsi="宋体" w:cs="宋体"/>
          <w:color w:val="000000"/>
          <w:highlight w:val="none"/>
        </w:rPr>
        <w:t>（2）经评标委员会评审后否决所有投标的；</w:t>
      </w:r>
    </w:p>
    <w:p w14:paraId="3412299B">
      <w:pPr>
        <w:adjustRightInd w:val="0"/>
        <w:snapToGrid w:val="0"/>
        <w:spacing w:line="600" w:lineRule="exact"/>
        <w:ind w:firstLine="359" w:firstLineChars="171"/>
        <w:rPr>
          <w:rFonts w:hint="eastAsia" w:ascii="宋体" w:hAnsi="宋体" w:cs="宋体"/>
          <w:bCs/>
          <w:snapToGrid w:val="0"/>
          <w:color w:val="000000"/>
          <w:kern w:val="0"/>
          <w:szCs w:val="21"/>
          <w:highlight w:val="none"/>
        </w:rPr>
      </w:pPr>
      <w:r>
        <w:rPr>
          <w:rFonts w:hint="eastAsia" w:ascii="宋体" w:hAnsi="宋体" w:cs="宋体"/>
          <w:bCs/>
          <w:snapToGrid w:val="0"/>
          <w:color w:val="000000"/>
          <w:kern w:val="0"/>
          <w:szCs w:val="21"/>
          <w:highlight w:val="none"/>
        </w:rPr>
        <w:t>（3）中标候选人均未与招标人签订合同的；</w:t>
      </w:r>
    </w:p>
    <w:p w14:paraId="4115D547">
      <w:pPr>
        <w:adjustRightInd w:val="0"/>
        <w:snapToGrid w:val="0"/>
        <w:spacing w:line="600" w:lineRule="exact"/>
        <w:ind w:firstLine="359" w:firstLineChars="171"/>
        <w:rPr>
          <w:rFonts w:hint="eastAsia" w:ascii="宋体" w:hAnsi="宋体" w:cs="宋体"/>
          <w:bCs/>
          <w:snapToGrid w:val="0"/>
          <w:color w:val="000000"/>
          <w:kern w:val="0"/>
          <w:szCs w:val="21"/>
          <w:highlight w:val="none"/>
        </w:rPr>
      </w:pPr>
      <w:r>
        <w:rPr>
          <w:rFonts w:hint="eastAsia" w:ascii="宋体" w:hAnsi="宋体" w:cs="宋体"/>
          <w:bCs/>
          <w:snapToGrid w:val="0"/>
          <w:color w:val="000000"/>
          <w:kern w:val="0"/>
          <w:szCs w:val="21"/>
          <w:highlight w:val="none"/>
        </w:rPr>
        <w:t>（4）法律、法规规定的其他情形。</w:t>
      </w:r>
    </w:p>
    <w:p w14:paraId="077F17AF">
      <w:pPr>
        <w:pStyle w:val="7"/>
        <w:ind w:firstLine="422" w:firstLineChars="200"/>
        <w:rPr>
          <w:rFonts w:hint="eastAsia" w:ascii="宋体" w:hAnsi="宋体" w:eastAsia="宋体" w:cs="宋体"/>
          <w:highlight w:val="none"/>
        </w:rPr>
      </w:pPr>
      <w:bookmarkStart w:id="631" w:name="_Toc179632591"/>
      <w:bookmarkStart w:id="632" w:name="_Toc95223383"/>
      <w:bookmarkStart w:id="633" w:name="_Toc152045573"/>
      <w:bookmarkStart w:id="634" w:name="_Toc152042349"/>
      <w:bookmarkStart w:id="635" w:name="_Toc144974541"/>
      <w:bookmarkStart w:id="636" w:name="_Toc83301734"/>
      <w:bookmarkStart w:id="637" w:name="_Toc60061480"/>
      <w:r>
        <w:rPr>
          <w:rFonts w:hint="eastAsia" w:ascii="宋体" w:hAnsi="宋体" w:eastAsia="宋体" w:cs="宋体"/>
          <w:highlight w:val="none"/>
        </w:rPr>
        <w:t>8.2 不再招标</w:t>
      </w:r>
      <w:bookmarkEnd w:id="631"/>
      <w:bookmarkEnd w:id="632"/>
      <w:bookmarkEnd w:id="633"/>
      <w:bookmarkEnd w:id="634"/>
      <w:bookmarkEnd w:id="635"/>
      <w:bookmarkEnd w:id="636"/>
      <w:bookmarkEnd w:id="637"/>
    </w:p>
    <w:p w14:paraId="79E8730A">
      <w:pPr>
        <w:adjustRightInd w:val="0"/>
        <w:snapToGrid w:val="0"/>
        <w:spacing w:line="560" w:lineRule="exact"/>
        <w:ind w:firstLine="420" w:firstLineChars="200"/>
        <w:rPr>
          <w:rFonts w:hint="eastAsia" w:ascii="宋体" w:hAnsi="宋体" w:cs="宋体"/>
          <w:color w:val="000000"/>
          <w:szCs w:val="21"/>
          <w:highlight w:val="none"/>
        </w:rPr>
      </w:pPr>
      <w:r>
        <w:rPr>
          <w:rFonts w:hint="eastAsia" w:ascii="宋体" w:hAnsi="宋体" w:cs="宋体"/>
          <w:color w:val="000000"/>
          <w:szCs w:val="21"/>
          <w:highlight w:val="none"/>
        </w:rPr>
        <w:t>重新招标后投标人仍少于3个或者所有投标被否决的，属于必须审批或核准的工程建设项目，经原审批或核准部门批准后不再进行招标。</w:t>
      </w:r>
    </w:p>
    <w:p w14:paraId="31B2E77F">
      <w:pPr>
        <w:pStyle w:val="7"/>
        <w:spacing w:beforeLines="50" w:afterLines="50"/>
        <w:ind w:firstLine="422" w:firstLineChars="200"/>
        <w:rPr>
          <w:rFonts w:ascii="宋体" w:hAnsi="宋体" w:eastAsia="宋体" w:cs="宋体"/>
          <w:highlight w:val="none"/>
        </w:rPr>
      </w:pPr>
      <w:r>
        <w:rPr>
          <w:rFonts w:hint="eastAsia" w:ascii="宋体" w:hAnsi="宋体" w:eastAsia="宋体" w:cs="宋体"/>
          <w:highlight w:val="none"/>
        </w:rPr>
        <w:t>9. 纪律和监督</w:t>
      </w:r>
      <w:bookmarkEnd w:id="612"/>
      <w:bookmarkEnd w:id="613"/>
      <w:bookmarkEnd w:id="614"/>
      <w:bookmarkEnd w:id="615"/>
      <w:bookmarkEnd w:id="616"/>
      <w:bookmarkEnd w:id="617"/>
    </w:p>
    <w:p w14:paraId="49CA1A8F">
      <w:pPr>
        <w:pStyle w:val="7"/>
        <w:ind w:firstLine="422" w:firstLineChars="200"/>
        <w:rPr>
          <w:rFonts w:ascii="宋体" w:hAnsi="宋体" w:eastAsia="宋体" w:cs="宋体"/>
          <w:highlight w:val="none"/>
        </w:rPr>
      </w:pPr>
      <w:bookmarkStart w:id="638" w:name="_Toc152042351"/>
      <w:bookmarkStart w:id="639" w:name="_Toc506107310"/>
      <w:bookmarkStart w:id="640" w:name="_Toc144974543"/>
      <w:bookmarkStart w:id="641" w:name="_Toc152045575"/>
      <w:bookmarkStart w:id="642" w:name="_Toc15607"/>
      <w:bookmarkStart w:id="643" w:name="_Toc246996962"/>
      <w:bookmarkStart w:id="644" w:name="_Toc35424932"/>
      <w:bookmarkStart w:id="645" w:name="_Toc296602462"/>
      <w:bookmarkStart w:id="646" w:name="_Toc2855"/>
      <w:bookmarkStart w:id="647" w:name="_Toc78803368"/>
      <w:bookmarkStart w:id="648" w:name="_Toc296590983"/>
      <w:bookmarkStart w:id="649" w:name="_Toc35425098"/>
      <w:bookmarkStart w:id="650" w:name="_Toc324404857"/>
      <w:bookmarkStart w:id="651" w:name="_Toc179632593"/>
      <w:bookmarkStart w:id="652" w:name="_Toc246996219"/>
      <w:bookmarkStart w:id="653" w:name="_Toc247085733"/>
      <w:bookmarkStart w:id="654" w:name="_Toc15058895"/>
      <w:r>
        <w:rPr>
          <w:rFonts w:hint="eastAsia" w:ascii="宋体" w:hAnsi="宋体" w:eastAsia="宋体" w:cs="宋体"/>
          <w:highlight w:val="none"/>
        </w:rPr>
        <w:t>9.1 对招标人的纪律要求</w:t>
      </w:r>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p>
    <w:p w14:paraId="25A9C8E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招标人不得泄漏招标投标活动中应当保密的情况和资料，不得与投标人串通损害国家利益、社会公共利益或者他人合法权益。</w:t>
      </w:r>
    </w:p>
    <w:p w14:paraId="6BA9BC3B">
      <w:pPr>
        <w:pStyle w:val="7"/>
        <w:ind w:firstLine="422" w:firstLineChars="200"/>
        <w:rPr>
          <w:rFonts w:ascii="宋体" w:hAnsi="宋体" w:eastAsia="宋体" w:cs="宋体"/>
          <w:highlight w:val="none"/>
        </w:rPr>
      </w:pPr>
      <w:bookmarkStart w:id="655" w:name="_Toc35425099"/>
      <w:bookmarkStart w:id="656" w:name="_Toc247085734"/>
      <w:bookmarkStart w:id="657" w:name="_Toc152042352"/>
      <w:bookmarkStart w:id="658" w:name="_Toc179632594"/>
      <w:bookmarkStart w:id="659" w:name="_Toc324404858"/>
      <w:bookmarkStart w:id="660" w:name="_Toc506107311"/>
      <w:bookmarkStart w:id="661" w:name="_Toc152045576"/>
      <w:bookmarkStart w:id="662" w:name="_Toc15058896"/>
      <w:bookmarkStart w:id="663" w:name="_Toc296602463"/>
      <w:bookmarkStart w:id="664" w:name="_Toc144974544"/>
      <w:bookmarkStart w:id="665" w:name="_Toc32177"/>
      <w:bookmarkStart w:id="666" w:name="_Toc19779"/>
      <w:bookmarkStart w:id="667" w:name="_Toc78803369"/>
      <w:bookmarkStart w:id="668" w:name="_Toc246996963"/>
      <w:bookmarkStart w:id="669" w:name="_Toc35424933"/>
      <w:bookmarkStart w:id="670" w:name="_Toc246996220"/>
      <w:r>
        <w:rPr>
          <w:rFonts w:hint="eastAsia" w:ascii="宋体" w:hAnsi="宋体" w:eastAsia="宋体" w:cs="宋体"/>
          <w:highlight w:val="none"/>
        </w:rPr>
        <w:t>9.2 对投标人的纪律要求</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p>
    <w:p w14:paraId="1B7AC34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533A1F0E">
      <w:pPr>
        <w:pStyle w:val="7"/>
        <w:ind w:firstLine="422" w:firstLineChars="200"/>
        <w:rPr>
          <w:rFonts w:ascii="宋体" w:hAnsi="宋体" w:eastAsia="宋体" w:cs="宋体"/>
          <w:highlight w:val="none"/>
        </w:rPr>
      </w:pPr>
      <w:bookmarkStart w:id="671" w:name="_Toc506107312"/>
      <w:bookmarkStart w:id="672" w:name="_Toc246996221"/>
      <w:bookmarkStart w:id="673" w:name="_Toc15058897"/>
      <w:bookmarkStart w:id="674" w:name="_Toc246996964"/>
      <w:bookmarkStart w:id="675" w:name="_Toc35424934"/>
      <w:bookmarkStart w:id="676" w:name="_Toc144974545"/>
      <w:bookmarkStart w:id="677" w:name="_Toc13043"/>
      <w:bookmarkStart w:id="678" w:name="_Toc12564"/>
      <w:bookmarkStart w:id="679" w:name="_Toc78803370"/>
      <w:bookmarkStart w:id="680" w:name="_Toc296602464"/>
      <w:bookmarkStart w:id="681" w:name="_Toc35425100"/>
      <w:bookmarkStart w:id="682" w:name="_Toc247085735"/>
      <w:bookmarkStart w:id="683" w:name="_Toc152042353"/>
      <w:bookmarkStart w:id="684" w:name="_Toc179632595"/>
      <w:bookmarkStart w:id="685" w:name="_Toc324404859"/>
      <w:bookmarkStart w:id="686" w:name="_Toc152045577"/>
      <w:r>
        <w:rPr>
          <w:rFonts w:hint="eastAsia" w:ascii="宋体" w:hAnsi="宋体" w:eastAsia="宋体" w:cs="宋体"/>
          <w:highlight w:val="none"/>
        </w:rPr>
        <w:t>9.3 对评标委员会成员的纪律要求</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p>
    <w:p w14:paraId="5256DC8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6939E33C">
      <w:pPr>
        <w:pStyle w:val="7"/>
        <w:ind w:firstLine="422" w:firstLineChars="200"/>
        <w:rPr>
          <w:rFonts w:ascii="宋体" w:hAnsi="宋体" w:eastAsia="宋体" w:cs="宋体"/>
          <w:highlight w:val="none"/>
        </w:rPr>
      </w:pPr>
      <w:bookmarkStart w:id="687" w:name="_Toc35425101"/>
      <w:bookmarkStart w:id="688" w:name="_Toc247085736"/>
      <w:bookmarkStart w:id="689" w:name="_Toc324404860"/>
      <w:bookmarkStart w:id="690" w:name="_Toc78803371"/>
      <w:bookmarkStart w:id="691" w:name="_Toc152045578"/>
      <w:bookmarkStart w:id="692" w:name="_Toc15058898"/>
      <w:bookmarkStart w:id="693" w:name="_Toc35424935"/>
      <w:bookmarkStart w:id="694" w:name="_Toc152042354"/>
      <w:bookmarkStart w:id="695" w:name="_Toc32214"/>
      <w:bookmarkStart w:id="696" w:name="_Toc296602465"/>
      <w:bookmarkStart w:id="697" w:name="_Toc246996222"/>
      <w:bookmarkStart w:id="698" w:name="_Toc179632596"/>
      <w:bookmarkStart w:id="699" w:name="_Toc246996965"/>
      <w:bookmarkStart w:id="700" w:name="_Toc18329"/>
      <w:bookmarkStart w:id="701" w:name="_Toc506107313"/>
      <w:bookmarkStart w:id="702" w:name="_Toc144974546"/>
      <w:r>
        <w:rPr>
          <w:rFonts w:hint="eastAsia" w:ascii="宋体" w:hAnsi="宋体" w:eastAsia="宋体" w:cs="宋体"/>
          <w:highlight w:val="none"/>
        </w:rPr>
        <w:t>9.4 对与评标活动有关的工作人员的纪律要求</w:t>
      </w:r>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p>
    <w:p w14:paraId="766BE765">
      <w:pPr>
        <w:spacing w:line="440" w:lineRule="exact"/>
        <w:ind w:firstLine="420" w:firstLineChars="200"/>
        <w:jc w:val="left"/>
        <w:rPr>
          <w:rFonts w:ascii="宋体" w:hAnsi="宋体" w:cs="宋体"/>
          <w:szCs w:val="21"/>
          <w:highlight w:val="none"/>
        </w:rPr>
      </w:pPr>
      <w:bookmarkStart w:id="703" w:name="_Toc152042355"/>
      <w:r>
        <w:rPr>
          <w:rFonts w:hint="eastAsia" w:ascii="宋体" w:hAnsi="宋体" w:cs="宋体"/>
          <w:szCs w:val="21"/>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703"/>
    </w:p>
    <w:p w14:paraId="6EC5285F">
      <w:pPr>
        <w:pStyle w:val="7"/>
        <w:ind w:firstLine="422" w:firstLineChars="200"/>
        <w:rPr>
          <w:rFonts w:ascii="宋体" w:hAnsi="宋体" w:eastAsia="宋体" w:cs="宋体"/>
          <w:highlight w:val="none"/>
        </w:rPr>
      </w:pPr>
      <w:bookmarkStart w:id="704" w:name="_Toc179632597"/>
      <w:bookmarkStart w:id="705" w:name="_Toc35425102"/>
      <w:bookmarkStart w:id="706" w:name="_Toc506107314"/>
      <w:bookmarkStart w:id="707" w:name="_Toc23607"/>
      <w:bookmarkStart w:id="708" w:name="_Toc247085737"/>
      <w:bookmarkStart w:id="709" w:name="_Toc2811"/>
      <w:bookmarkStart w:id="710" w:name="_Toc246996966"/>
      <w:bookmarkStart w:id="711" w:name="_Toc246996223"/>
      <w:bookmarkStart w:id="712" w:name="_Toc324404861"/>
      <w:bookmarkStart w:id="713" w:name="_Toc35424936"/>
      <w:bookmarkStart w:id="714" w:name="_Toc152042356"/>
      <w:bookmarkStart w:id="715" w:name="_Toc152045579"/>
      <w:bookmarkStart w:id="716" w:name="_Toc296602466"/>
      <w:bookmarkStart w:id="717" w:name="_Toc15058899"/>
      <w:bookmarkStart w:id="718" w:name="_Toc78803372"/>
      <w:r>
        <w:rPr>
          <w:rFonts w:hint="eastAsia" w:ascii="宋体" w:hAnsi="宋体" w:eastAsia="宋体" w:cs="宋体"/>
          <w:highlight w:val="none"/>
        </w:rPr>
        <w:t>9.5 投诉</w:t>
      </w:r>
      <w:bookmarkEnd w:id="702"/>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p>
    <w:p w14:paraId="18A92B0B">
      <w:pPr>
        <w:spacing w:line="440" w:lineRule="exact"/>
        <w:ind w:firstLine="420" w:firstLineChars="200"/>
        <w:jc w:val="left"/>
        <w:rPr>
          <w:rFonts w:hint="eastAsia" w:ascii="宋体" w:hAnsi="宋体" w:eastAsia="宋体" w:cs="宋体"/>
          <w:szCs w:val="21"/>
          <w:highlight w:val="none"/>
        </w:rPr>
      </w:pPr>
      <w:bookmarkStart w:id="719" w:name="_Toc247085738"/>
      <w:bookmarkStart w:id="720" w:name="_Toc15058900"/>
      <w:bookmarkStart w:id="721" w:name="_Toc179632598"/>
      <w:bookmarkStart w:id="722" w:name="_Toc152045580"/>
      <w:bookmarkStart w:id="723" w:name="_Toc246996967"/>
      <w:bookmarkStart w:id="724" w:name="_Toc152042357"/>
      <w:bookmarkStart w:id="725" w:name="_Toc31643"/>
      <w:bookmarkStart w:id="726" w:name="_Toc78803373"/>
      <w:bookmarkStart w:id="727" w:name="_Toc324404862"/>
      <w:bookmarkStart w:id="728" w:name="_Toc16463"/>
      <w:bookmarkStart w:id="729" w:name="_Toc20669"/>
      <w:bookmarkStart w:id="730" w:name="_Toc246996224"/>
      <w:bookmarkStart w:id="731" w:name="_Toc144974547"/>
      <w:bookmarkStart w:id="732" w:name="_Toc35424937"/>
      <w:bookmarkStart w:id="733" w:name="_Toc506107315"/>
      <w:bookmarkStart w:id="734" w:name="_Toc35425103"/>
      <w:r>
        <w:rPr>
          <w:rFonts w:hint="eastAsia" w:ascii="宋体" w:hAnsi="宋体" w:eastAsia="宋体" w:cs="宋体"/>
          <w:szCs w:val="21"/>
          <w:highlight w:val="none"/>
        </w:rPr>
        <w:t>9.5.1投标人或者其他利害关系人认为招标投标活动违反法律、法规和规章规定的，有权向相关行政监督部门投诉。投诉应当有明确的请求和必要的证明材料。</w:t>
      </w:r>
    </w:p>
    <w:p w14:paraId="64A3032D">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9.5.2投标人和其他利害关系人对招标文件、开标和评标结果事项投诉的，应当按照投标人须知的规定先向招标人提出异议。异议答复期间不计算在第9.5.1项规定的期限内。</w:t>
      </w:r>
    </w:p>
    <w:p w14:paraId="39FC7842">
      <w:pPr>
        <w:pStyle w:val="7"/>
        <w:spacing w:beforeLines="50" w:afterLines="50"/>
        <w:ind w:firstLine="422" w:firstLineChars="200"/>
        <w:rPr>
          <w:rFonts w:ascii="宋体" w:hAnsi="宋体" w:eastAsia="宋体" w:cs="宋体"/>
          <w:highlight w:val="none"/>
        </w:rPr>
      </w:pPr>
      <w:r>
        <w:rPr>
          <w:rFonts w:hint="eastAsia" w:ascii="宋体" w:hAnsi="宋体" w:eastAsia="宋体" w:cs="宋体"/>
          <w:highlight w:val="none"/>
        </w:rPr>
        <w:t>10.需要补充的其他内容</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p>
    <w:p w14:paraId="2610702A">
      <w:pPr>
        <w:spacing w:line="440" w:lineRule="exact"/>
        <w:ind w:firstLine="420" w:firstLineChars="200"/>
        <w:jc w:val="left"/>
        <w:rPr>
          <w:rFonts w:ascii="宋体" w:hAnsi="宋体" w:cs="宋体"/>
          <w:szCs w:val="21"/>
          <w:highlight w:val="none"/>
        </w:rPr>
      </w:pPr>
      <w:bookmarkStart w:id="735" w:name="_Toc15058901"/>
      <w:r>
        <w:rPr>
          <w:rFonts w:hint="eastAsia" w:ascii="宋体" w:hAnsi="宋体" w:cs="宋体"/>
          <w:szCs w:val="21"/>
          <w:highlight w:val="none"/>
        </w:rPr>
        <w:t>需要补充的其他内容：见投标人须知前附表。</w:t>
      </w:r>
      <w:bookmarkEnd w:id="735"/>
    </w:p>
    <w:p w14:paraId="13695F73">
      <w:pPr>
        <w:spacing w:line="440" w:lineRule="exact"/>
        <w:jc w:val="left"/>
        <w:rPr>
          <w:rFonts w:ascii="宋体" w:hAnsi="宋体" w:cs="宋体"/>
          <w:szCs w:val="21"/>
          <w:highlight w:val="none"/>
        </w:rPr>
      </w:pPr>
    </w:p>
    <w:p w14:paraId="146D6C50">
      <w:pPr>
        <w:pageBreakBefore/>
        <w:spacing w:beforeLines="80" w:afterLines="80" w:line="440" w:lineRule="exact"/>
        <w:jc w:val="center"/>
        <w:outlineLvl w:val="1"/>
        <w:rPr>
          <w:rFonts w:ascii="宋体"/>
          <w:b/>
          <w:sz w:val="32"/>
          <w:szCs w:val="32"/>
          <w:highlight w:val="none"/>
        </w:rPr>
      </w:pPr>
      <w:bookmarkStart w:id="736" w:name="_Toc78803375"/>
      <w:r>
        <w:rPr>
          <w:rFonts w:hint="eastAsia" w:ascii="宋体"/>
          <w:b/>
          <w:sz w:val="32"/>
          <w:szCs w:val="32"/>
          <w:highlight w:val="none"/>
        </w:rPr>
        <w:t>第</w:t>
      </w:r>
      <w:r>
        <w:rPr>
          <w:rFonts w:hint="eastAsia" w:ascii="宋体"/>
          <w:b/>
          <w:sz w:val="32"/>
          <w:szCs w:val="32"/>
          <w:highlight w:val="none"/>
          <w:lang w:val="en-US" w:eastAsia="zh-CN"/>
        </w:rPr>
        <w:t>三</w:t>
      </w:r>
      <w:r>
        <w:rPr>
          <w:rFonts w:hint="eastAsia" w:ascii="宋体"/>
          <w:b/>
          <w:sz w:val="32"/>
          <w:szCs w:val="32"/>
          <w:highlight w:val="none"/>
        </w:rPr>
        <w:t>章  资格审查</w:t>
      </w:r>
      <w:bookmarkEnd w:id="618"/>
      <w:r>
        <w:rPr>
          <w:rFonts w:hint="eastAsia" w:ascii="宋体"/>
          <w:b/>
          <w:sz w:val="32"/>
          <w:szCs w:val="32"/>
          <w:highlight w:val="none"/>
        </w:rPr>
        <w:t>办法</w:t>
      </w:r>
      <w:bookmarkEnd w:id="619"/>
      <w:bookmarkEnd w:id="620"/>
      <w:bookmarkEnd w:id="621"/>
      <w:bookmarkEnd w:id="622"/>
      <w:bookmarkEnd w:id="736"/>
    </w:p>
    <w:p w14:paraId="510BB1C6">
      <w:pPr>
        <w:spacing w:beforeLines="50" w:afterLines="50" w:line="440" w:lineRule="exact"/>
        <w:jc w:val="center"/>
        <w:rPr>
          <w:rFonts w:ascii="宋体" w:hAnsi="宋体" w:cs="宋体"/>
          <w:b/>
          <w:bCs/>
          <w:sz w:val="28"/>
          <w:szCs w:val="22"/>
          <w:highlight w:val="none"/>
        </w:rPr>
      </w:pPr>
      <w:bookmarkStart w:id="737" w:name="_Toc35425106"/>
      <w:bookmarkStart w:id="738" w:name="_Toc506107318"/>
      <w:bookmarkStart w:id="739" w:name="_Toc324404865"/>
      <w:bookmarkStart w:id="740" w:name="_Toc35424940"/>
      <w:bookmarkStart w:id="741" w:name="_Toc15058903"/>
      <w:r>
        <w:rPr>
          <w:rFonts w:hint="eastAsia" w:ascii="宋体" w:hAnsi="宋体" w:cs="宋体"/>
          <w:b/>
          <w:bCs/>
          <w:sz w:val="28"/>
          <w:szCs w:val="22"/>
          <w:highlight w:val="none"/>
        </w:rPr>
        <w:t>资格审查办法前附表</w:t>
      </w:r>
      <w:bookmarkEnd w:id="737"/>
      <w:bookmarkEnd w:id="738"/>
      <w:bookmarkEnd w:id="739"/>
      <w:bookmarkEnd w:id="740"/>
      <w:bookmarkEnd w:id="741"/>
    </w:p>
    <w:tbl>
      <w:tblPr>
        <w:tblStyle w:val="47"/>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58"/>
        <w:gridCol w:w="6183"/>
        <w:gridCol w:w="1860"/>
      </w:tblGrid>
      <w:tr w14:paraId="3443A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023" w:type="dxa"/>
            <w:gridSpan w:val="2"/>
            <w:noWrap/>
            <w:vAlign w:val="center"/>
          </w:tcPr>
          <w:p w14:paraId="21EA50D5">
            <w:pPr>
              <w:spacing w:line="440" w:lineRule="exact"/>
              <w:jc w:val="center"/>
              <w:rPr>
                <w:rFonts w:ascii="宋体" w:hAnsi="宋体" w:cs="宋体"/>
                <w:b/>
                <w:bCs/>
                <w:szCs w:val="21"/>
                <w:highlight w:val="none"/>
              </w:rPr>
            </w:pPr>
            <w:r>
              <w:rPr>
                <w:rFonts w:hint="eastAsia" w:ascii="宋体" w:hAnsi="宋体" w:cs="宋体"/>
                <w:b/>
                <w:bCs/>
                <w:szCs w:val="21"/>
                <w:highlight w:val="none"/>
              </w:rPr>
              <w:t>序号</w:t>
            </w:r>
          </w:p>
        </w:tc>
        <w:tc>
          <w:tcPr>
            <w:tcW w:w="6183" w:type="dxa"/>
            <w:noWrap/>
            <w:vAlign w:val="center"/>
          </w:tcPr>
          <w:p w14:paraId="737B946D">
            <w:pPr>
              <w:spacing w:line="440" w:lineRule="exact"/>
              <w:jc w:val="center"/>
              <w:rPr>
                <w:rFonts w:ascii="宋体" w:hAnsi="宋体" w:cs="宋体"/>
                <w:b/>
                <w:bCs/>
                <w:szCs w:val="21"/>
                <w:highlight w:val="none"/>
              </w:rPr>
            </w:pPr>
            <w:r>
              <w:rPr>
                <w:rFonts w:hint="eastAsia" w:ascii="宋体" w:hAnsi="宋体" w:cs="宋体"/>
                <w:b/>
                <w:bCs/>
                <w:szCs w:val="21"/>
                <w:highlight w:val="none"/>
              </w:rPr>
              <w:t>审查内容</w:t>
            </w:r>
          </w:p>
        </w:tc>
        <w:tc>
          <w:tcPr>
            <w:tcW w:w="1860" w:type="dxa"/>
            <w:noWrap/>
            <w:vAlign w:val="center"/>
          </w:tcPr>
          <w:p w14:paraId="10B4B499">
            <w:pPr>
              <w:spacing w:line="440" w:lineRule="exact"/>
              <w:jc w:val="center"/>
              <w:rPr>
                <w:rFonts w:ascii="宋体" w:hAnsi="宋体" w:cs="宋体"/>
                <w:b/>
                <w:bCs/>
                <w:szCs w:val="21"/>
                <w:highlight w:val="none"/>
              </w:rPr>
            </w:pPr>
            <w:r>
              <w:rPr>
                <w:rFonts w:hint="eastAsia" w:ascii="宋体" w:hAnsi="宋体" w:cs="宋体"/>
                <w:b/>
                <w:bCs/>
                <w:szCs w:val="21"/>
                <w:highlight w:val="none"/>
              </w:rPr>
              <w:t>评审标准</w:t>
            </w:r>
          </w:p>
        </w:tc>
      </w:tr>
      <w:tr w14:paraId="5E38F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65" w:type="dxa"/>
            <w:vMerge w:val="restart"/>
            <w:noWrap/>
            <w:vAlign w:val="center"/>
          </w:tcPr>
          <w:p w14:paraId="4867F738">
            <w:pPr>
              <w:spacing w:line="440" w:lineRule="exact"/>
              <w:jc w:val="center"/>
              <w:rPr>
                <w:rFonts w:ascii="宋体" w:hAnsi="宋体" w:cs="宋体"/>
                <w:szCs w:val="21"/>
                <w:highlight w:val="none"/>
              </w:rPr>
            </w:pPr>
            <w:r>
              <w:rPr>
                <w:rFonts w:hint="eastAsia" w:ascii="宋体" w:hAnsi="宋体" w:cs="宋体"/>
                <w:szCs w:val="21"/>
                <w:highlight w:val="none"/>
              </w:rPr>
              <w:t>1</w:t>
            </w:r>
          </w:p>
        </w:tc>
        <w:tc>
          <w:tcPr>
            <w:tcW w:w="1258" w:type="dxa"/>
            <w:vMerge w:val="restart"/>
            <w:noWrap/>
            <w:vAlign w:val="center"/>
          </w:tcPr>
          <w:p w14:paraId="12F9F292">
            <w:pPr>
              <w:spacing w:line="440" w:lineRule="exact"/>
              <w:jc w:val="center"/>
              <w:rPr>
                <w:rFonts w:ascii="宋体" w:hAnsi="宋体" w:cs="宋体"/>
                <w:b/>
                <w:bCs/>
                <w:szCs w:val="21"/>
                <w:highlight w:val="none"/>
              </w:rPr>
            </w:pPr>
            <w:r>
              <w:rPr>
                <w:rFonts w:hint="eastAsia" w:ascii="宋体" w:hAnsi="宋体" w:cs="宋体"/>
                <w:b/>
                <w:bCs/>
                <w:szCs w:val="21"/>
                <w:highlight w:val="none"/>
              </w:rPr>
              <w:t>审查资料</w:t>
            </w:r>
          </w:p>
        </w:tc>
        <w:tc>
          <w:tcPr>
            <w:tcW w:w="6183" w:type="dxa"/>
            <w:noWrap/>
            <w:vAlign w:val="center"/>
          </w:tcPr>
          <w:p w14:paraId="4223BCB8">
            <w:pPr>
              <w:spacing w:line="440" w:lineRule="exact"/>
              <w:rPr>
                <w:rFonts w:ascii="宋体" w:hAnsi="宋体" w:cs="宋体"/>
                <w:szCs w:val="21"/>
                <w:highlight w:val="none"/>
              </w:rPr>
            </w:pPr>
            <w:r>
              <w:rPr>
                <w:rFonts w:hint="eastAsia" w:ascii="宋体" w:hAnsi="宋体" w:cs="宋体"/>
                <w:szCs w:val="21"/>
                <w:highlight w:val="none"/>
              </w:rPr>
              <w:t>法定代表人身份证明文件和本人有效身份证(或法定代表人授权委托书和委托代理人有效身份证)</w:t>
            </w:r>
          </w:p>
        </w:tc>
        <w:tc>
          <w:tcPr>
            <w:tcW w:w="1860" w:type="dxa"/>
            <w:noWrap/>
            <w:vAlign w:val="center"/>
          </w:tcPr>
          <w:p w14:paraId="08425CC0">
            <w:pPr>
              <w:spacing w:line="440" w:lineRule="exact"/>
              <w:jc w:val="center"/>
              <w:rPr>
                <w:rFonts w:ascii="宋体" w:hAnsi="宋体" w:cs="宋体"/>
                <w:b/>
                <w:szCs w:val="21"/>
                <w:highlight w:val="none"/>
              </w:rPr>
            </w:pPr>
            <w:r>
              <w:rPr>
                <w:rFonts w:hint="eastAsia" w:ascii="宋体" w:hAnsi="宋体" w:cs="宋体"/>
                <w:b/>
                <w:szCs w:val="21"/>
                <w:highlight w:val="none"/>
              </w:rPr>
              <w:t>检验电子标书</w:t>
            </w:r>
          </w:p>
        </w:tc>
      </w:tr>
      <w:tr w14:paraId="0BB7C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ign w:val="center"/>
          </w:tcPr>
          <w:p w14:paraId="0CBF773D">
            <w:pPr>
              <w:spacing w:line="440" w:lineRule="exact"/>
              <w:jc w:val="center"/>
              <w:rPr>
                <w:rFonts w:ascii="宋体" w:hAnsi="宋体" w:cs="宋体"/>
                <w:szCs w:val="21"/>
                <w:highlight w:val="none"/>
              </w:rPr>
            </w:pPr>
          </w:p>
        </w:tc>
        <w:tc>
          <w:tcPr>
            <w:tcW w:w="1258" w:type="dxa"/>
            <w:vMerge w:val="continue"/>
            <w:noWrap/>
            <w:vAlign w:val="center"/>
          </w:tcPr>
          <w:p w14:paraId="5DD98737">
            <w:pPr>
              <w:spacing w:line="440" w:lineRule="exact"/>
              <w:jc w:val="center"/>
              <w:rPr>
                <w:rFonts w:ascii="宋体" w:hAnsi="宋体" w:cs="宋体"/>
                <w:b/>
                <w:bCs/>
                <w:szCs w:val="21"/>
                <w:highlight w:val="none"/>
              </w:rPr>
            </w:pPr>
          </w:p>
        </w:tc>
        <w:tc>
          <w:tcPr>
            <w:tcW w:w="6183" w:type="dxa"/>
            <w:noWrap/>
            <w:vAlign w:val="center"/>
          </w:tcPr>
          <w:p w14:paraId="356F4FA9">
            <w:pPr>
              <w:spacing w:line="440" w:lineRule="exact"/>
              <w:rPr>
                <w:rFonts w:ascii="宋体" w:hAnsi="宋体" w:cs="宋体"/>
                <w:szCs w:val="21"/>
                <w:highlight w:val="none"/>
              </w:rPr>
            </w:pPr>
            <w:r>
              <w:rPr>
                <w:rFonts w:hint="eastAsia" w:ascii="宋体" w:hAnsi="宋体" w:cs="宋体"/>
                <w:szCs w:val="21"/>
                <w:highlight w:val="none"/>
              </w:rPr>
              <w:t>诚信投标承诺书（联合体投标的，各方均提供）</w:t>
            </w:r>
          </w:p>
        </w:tc>
        <w:tc>
          <w:tcPr>
            <w:tcW w:w="1860" w:type="dxa"/>
            <w:vMerge w:val="restart"/>
            <w:noWrap/>
            <w:vAlign w:val="center"/>
          </w:tcPr>
          <w:p w14:paraId="1D178232">
            <w:pPr>
              <w:spacing w:line="440" w:lineRule="exact"/>
              <w:jc w:val="center"/>
              <w:rPr>
                <w:rFonts w:ascii="宋体" w:hAnsi="宋体" w:cs="宋体"/>
                <w:b/>
                <w:szCs w:val="21"/>
                <w:highlight w:val="none"/>
              </w:rPr>
            </w:pPr>
            <w:r>
              <w:rPr>
                <w:rFonts w:hint="eastAsia" w:ascii="宋体" w:hAnsi="宋体" w:cs="宋体"/>
                <w:b/>
                <w:szCs w:val="21"/>
                <w:highlight w:val="none"/>
              </w:rPr>
              <w:t>检验电子标书</w:t>
            </w:r>
          </w:p>
        </w:tc>
      </w:tr>
      <w:tr w14:paraId="6FB20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ign w:val="center"/>
          </w:tcPr>
          <w:p w14:paraId="7D8563C4">
            <w:pPr>
              <w:spacing w:line="440" w:lineRule="exact"/>
              <w:jc w:val="center"/>
              <w:rPr>
                <w:rFonts w:ascii="宋体" w:hAnsi="宋体" w:cs="宋体"/>
                <w:szCs w:val="21"/>
                <w:highlight w:val="none"/>
              </w:rPr>
            </w:pPr>
          </w:p>
        </w:tc>
        <w:tc>
          <w:tcPr>
            <w:tcW w:w="1258" w:type="dxa"/>
            <w:vMerge w:val="continue"/>
            <w:noWrap/>
            <w:vAlign w:val="center"/>
          </w:tcPr>
          <w:p w14:paraId="04C1B076">
            <w:pPr>
              <w:spacing w:line="440" w:lineRule="exact"/>
              <w:jc w:val="center"/>
              <w:rPr>
                <w:rFonts w:ascii="宋体" w:hAnsi="宋体" w:cs="宋体"/>
                <w:b/>
                <w:bCs/>
                <w:szCs w:val="21"/>
                <w:highlight w:val="none"/>
              </w:rPr>
            </w:pPr>
          </w:p>
        </w:tc>
        <w:tc>
          <w:tcPr>
            <w:tcW w:w="6183" w:type="dxa"/>
            <w:noWrap/>
            <w:vAlign w:val="center"/>
          </w:tcPr>
          <w:p w14:paraId="7DE2EBA3">
            <w:pPr>
              <w:spacing w:line="440" w:lineRule="exact"/>
              <w:rPr>
                <w:rFonts w:ascii="宋体" w:hAnsi="宋体" w:cs="宋体"/>
                <w:szCs w:val="21"/>
                <w:highlight w:val="none"/>
              </w:rPr>
            </w:pPr>
            <w:r>
              <w:rPr>
                <w:rFonts w:hint="eastAsia" w:ascii="宋体" w:hAnsi="宋体" w:cs="宋体"/>
                <w:szCs w:val="21"/>
                <w:highlight w:val="none"/>
              </w:rPr>
              <w:t>企业法人营业执照（联合体投标的，各方均提供）</w:t>
            </w:r>
          </w:p>
        </w:tc>
        <w:tc>
          <w:tcPr>
            <w:tcW w:w="1860" w:type="dxa"/>
            <w:vMerge w:val="continue"/>
            <w:noWrap/>
            <w:vAlign w:val="center"/>
          </w:tcPr>
          <w:p w14:paraId="779E57B8">
            <w:pPr>
              <w:spacing w:line="440" w:lineRule="exact"/>
              <w:rPr>
                <w:rFonts w:ascii="宋体" w:hAnsi="宋体" w:cs="宋体"/>
                <w:b/>
                <w:szCs w:val="21"/>
                <w:highlight w:val="none"/>
              </w:rPr>
            </w:pPr>
          </w:p>
        </w:tc>
      </w:tr>
      <w:tr w14:paraId="25FCC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5" w:type="dxa"/>
            <w:vMerge w:val="continue"/>
            <w:noWrap/>
            <w:vAlign w:val="center"/>
          </w:tcPr>
          <w:p w14:paraId="2D4982A9">
            <w:pPr>
              <w:spacing w:line="440" w:lineRule="exact"/>
              <w:jc w:val="center"/>
              <w:rPr>
                <w:rFonts w:ascii="宋体" w:hAnsi="宋体" w:cs="宋体"/>
                <w:szCs w:val="21"/>
                <w:highlight w:val="none"/>
              </w:rPr>
            </w:pPr>
          </w:p>
        </w:tc>
        <w:tc>
          <w:tcPr>
            <w:tcW w:w="1258" w:type="dxa"/>
            <w:vMerge w:val="continue"/>
            <w:noWrap/>
            <w:vAlign w:val="center"/>
          </w:tcPr>
          <w:p w14:paraId="0B3A3CE4">
            <w:pPr>
              <w:spacing w:line="440" w:lineRule="exact"/>
              <w:jc w:val="center"/>
              <w:rPr>
                <w:rFonts w:ascii="宋体" w:hAnsi="宋体" w:cs="宋体"/>
                <w:b/>
                <w:bCs/>
                <w:szCs w:val="21"/>
                <w:highlight w:val="none"/>
              </w:rPr>
            </w:pPr>
          </w:p>
        </w:tc>
        <w:tc>
          <w:tcPr>
            <w:tcW w:w="6183" w:type="dxa"/>
            <w:noWrap/>
            <w:vAlign w:val="center"/>
          </w:tcPr>
          <w:p w14:paraId="5DF3ACB3">
            <w:pPr>
              <w:spacing w:line="440" w:lineRule="exact"/>
              <w:rPr>
                <w:rFonts w:hint="eastAsia" w:ascii="宋体" w:hAnsi="宋体" w:eastAsia="宋体" w:cs="宋体"/>
                <w:szCs w:val="21"/>
                <w:highlight w:val="none"/>
                <w:lang w:val="en-US" w:eastAsia="zh-CN"/>
              </w:rPr>
            </w:pPr>
            <w:r>
              <w:rPr>
                <w:rFonts w:hint="eastAsia" w:ascii="宋体" w:hAnsi="宋体" w:cs="宋体"/>
                <w:szCs w:val="21"/>
                <w:highlight w:val="none"/>
              </w:rPr>
              <w:t>企业资质证书（联合体投标的，各方均提供）</w:t>
            </w:r>
          </w:p>
        </w:tc>
        <w:tc>
          <w:tcPr>
            <w:tcW w:w="1860" w:type="dxa"/>
            <w:vMerge w:val="continue"/>
            <w:noWrap/>
            <w:vAlign w:val="center"/>
          </w:tcPr>
          <w:p w14:paraId="2E943AB5">
            <w:pPr>
              <w:spacing w:line="440" w:lineRule="exact"/>
              <w:rPr>
                <w:rFonts w:ascii="宋体" w:hAnsi="宋体" w:cs="宋体"/>
                <w:szCs w:val="21"/>
                <w:highlight w:val="none"/>
              </w:rPr>
            </w:pPr>
          </w:p>
        </w:tc>
      </w:tr>
      <w:tr w14:paraId="54849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65" w:type="dxa"/>
            <w:vMerge w:val="continue"/>
            <w:noWrap/>
            <w:vAlign w:val="center"/>
          </w:tcPr>
          <w:p w14:paraId="44F29A8D">
            <w:pPr>
              <w:spacing w:line="440" w:lineRule="exact"/>
              <w:jc w:val="center"/>
              <w:rPr>
                <w:rFonts w:ascii="宋体" w:hAnsi="宋体" w:cs="宋体"/>
                <w:szCs w:val="21"/>
                <w:highlight w:val="none"/>
              </w:rPr>
            </w:pPr>
          </w:p>
        </w:tc>
        <w:tc>
          <w:tcPr>
            <w:tcW w:w="1258" w:type="dxa"/>
            <w:vMerge w:val="continue"/>
            <w:noWrap/>
            <w:vAlign w:val="center"/>
          </w:tcPr>
          <w:p w14:paraId="5172F027">
            <w:pPr>
              <w:spacing w:line="440" w:lineRule="exact"/>
              <w:jc w:val="center"/>
              <w:rPr>
                <w:rFonts w:ascii="宋体" w:hAnsi="宋体" w:cs="宋体"/>
                <w:b/>
                <w:bCs/>
                <w:szCs w:val="21"/>
                <w:highlight w:val="none"/>
              </w:rPr>
            </w:pPr>
          </w:p>
        </w:tc>
        <w:tc>
          <w:tcPr>
            <w:tcW w:w="6183" w:type="dxa"/>
            <w:noWrap/>
            <w:vAlign w:val="top"/>
          </w:tcPr>
          <w:p w14:paraId="7910A869">
            <w:pPr>
              <w:keepNext w:val="0"/>
              <w:keepLines w:val="0"/>
              <w:pageBreakBefore w:val="0"/>
              <w:kinsoku/>
              <w:wordWrap/>
              <w:overflowPunct/>
              <w:topLinePunct w:val="0"/>
              <w:autoSpaceDN/>
              <w:bidi w:val="0"/>
              <w:adjustRightInd/>
              <w:snapToGrid/>
              <w:spacing w:line="440" w:lineRule="exact"/>
              <w:textAlignment w:val="auto"/>
              <w:rPr>
                <w:rFonts w:ascii="宋体" w:hAnsi="宋体" w:cs="宋体"/>
                <w:szCs w:val="21"/>
                <w:highlight w:val="none"/>
              </w:rPr>
            </w:pPr>
            <w:r>
              <w:rPr>
                <w:rFonts w:hint="eastAsia" w:ascii="宋体" w:hAnsi="宋体" w:cs="宋体"/>
                <w:color w:val="000000"/>
                <w:szCs w:val="21"/>
                <w:highlight w:val="none"/>
              </w:rPr>
              <w:t>项目</w:t>
            </w:r>
            <w:r>
              <w:rPr>
                <w:rFonts w:hint="eastAsia" w:ascii="宋体" w:hAnsi="宋体" w:cs="宋体"/>
                <w:color w:val="000000"/>
                <w:szCs w:val="21"/>
                <w:highlight w:val="none"/>
                <w:lang w:val="en-US" w:eastAsia="zh-CN"/>
              </w:rPr>
              <w:t>团队人员名单（格式自拟）、所有人员的</w:t>
            </w:r>
            <w:r>
              <w:rPr>
                <w:rFonts w:hint="eastAsia" w:ascii="宋体" w:hAnsi="宋体" w:cs="宋体"/>
                <w:color w:val="000000"/>
                <w:szCs w:val="21"/>
                <w:highlight w:val="none"/>
              </w:rPr>
              <w:t>有效身份证</w:t>
            </w:r>
            <w:r>
              <w:rPr>
                <w:rFonts w:hint="eastAsia" w:ascii="宋体" w:hAnsi="宋体" w:cs="宋体"/>
                <w:color w:val="000000"/>
                <w:szCs w:val="21"/>
                <w:highlight w:val="none"/>
                <w:lang w:val="en-US" w:eastAsia="zh-CN"/>
              </w:rPr>
              <w:t>和</w:t>
            </w:r>
            <w:r>
              <w:rPr>
                <w:rFonts w:hint="eastAsia" w:ascii="宋体" w:hAnsi="宋体" w:cs="宋体"/>
                <w:color w:val="000000"/>
                <w:szCs w:val="21"/>
                <w:highlight w:val="none"/>
              </w:rPr>
              <w:t>注册证书</w:t>
            </w:r>
          </w:p>
        </w:tc>
        <w:tc>
          <w:tcPr>
            <w:tcW w:w="1860" w:type="dxa"/>
            <w:vMerge w:val="continue"/>
            <w:noWrap/>
            <w:vAlign w:val="center"/>
          </w:tcPr>
          <w:p w14:paraId="2BFDCB77">
            <w:pPr>
              <w:spacing w:line="440" w:lineRule="exact"/>
              <w:rPr>
                <w:rFonts w:ascii="宋体" w:hAnsi="宋体" w:cs="宋体"/>
                <w:szCs w:val="21"/>
                <w:highlight w:val="none"/>
              </w:rPr>
            </w:pPr>
          </w:p>
        </w:tc>
      </w:tr>
      <w:tr w14:paraId="4C6AD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765" w:type="dxa"/>
            <w:vMerge w:val="continue"/>
            <w:noWrap/>
            <w:vAlign w:val="center"/>
          </w:tcPr>
          <w:p w14:paraId="196A33EB">
            <w:pPr>
              <w:spacing w:line="440" w:lineRule="exact"/>
              <w:jc w:val="center"/>
              <w:rPr>
                <w:rFonts w:ascii="宋体" w:hAnsi="宋体" w:cs="宋体"/>
                <w:szCs w:val="21"/>
                <w:highlight w:val="none"/>
              </w:rPr>
            </w:pPr>
          </w:p>
        </w:tc>
        <w:tc>
          <w:tcPr>
            <w:tcW w:w="1258" w:type="dxa"/>
            <w:vMerge w:val="continue"/>
            <w:noWrap/>
            <w:vAlign w:val="center"/>
          </w:tcPr>
          <w:p w14:paraId="7D51B5B8">
            <w:pPr>
              <w:spacing w:line="440" w:lineRule="exact"/>
              <w:jc w:val="center"/>
              <w:rPr>
                <w:rFonts w:ascii="宋体" w:hAnsi="宋体" w:cs="宋体"/>
                <w:b/>
                <w:bCs/>
                <w:szCs w:val="21"/>
                <w:highlight w:val="none"/>
              </w:rPr>
            </w:pPr>
          </w:p>
        </w:tc>
        <w:tc>
          <w:tcPr>
            <w:tcW w:w="6183" w:type="dxa"/>
            <w:noWrap/>
            <w:vAlign w:val="top"/>
          </w:tcPr>
          <w:p w14:paraId="7DB448B8">
            <w:pPr>
              <w:spacing w:line="440" w:lineRule="exact"/>
              <w:rPr>
                <w:rFonts w:ascii="宋体" w:hAnsi="宋体" w:cs="宋体"/>
                <w:highlight w:val="none"/>
              </w:rPr>
            </w:pPr>
            <w:r>
              <w:rPr>
                <w:rFonts w:hint="eastAsia" w:ascii="宋体" w:hAnsi="宋体" w:cs="宋体"/>
                <w:color w:val="000000"/>
                <w:szCs w:val="21"/>
                <w:highlight w:val="none"/>
              </w:rPr>
              <w:t>投标人的法定代表人(或委托代理人)和拟任项目</w:t>
            </w:r>
            <w:r>
              <w:rPr>
                <w:rFonts w:hint="eastAsia" w:ascii="宋体" w:hAnsi="宋体" w:cs="宋体"/>
                <w:color w:val="000000"/>
                <w:szCs w:val="21"/>
                <w:highlight w:val="none"/>
                <w:lang w:val="en-US" w:eastAsia="zh-CN"/>
              </w:rPr>
              <w:t>负责人</w:t>
            </w:r>
            <w:r>
              <w:rPr>
                <w:rFonts w:hint="eastAsia" w:ascii="宋体" w:hAnsi="宋体" w:cs="宋体"/>
                <w:color w:val="000000"/>
                <w:szCs w:val="21"/>
                <w:highlight w:val="none"/>
              </w:rPr>
              <w:t>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tc>
        <w:tc>
          <w:tcPr>
            <w:tcW w:w="1860" w:type="dxa"/>
            <w:vMerge w:val="continue"/>
            <w:noWrap/>
            <w:vAlign w:val="center"/>
          </w:tcPr>
          <w:p w14:paraId="701C2C27">
            <w:pPr>
              <w:spacing w:line="440" w:lineRule="exact"/>
              <w:rPr>
                <w:rFonts w:ascii="宋体" w:hAnsi="宋体" w:cs="宋体"/>
                <w:szCs w:val="21"/>
                <w:highlight w:val="none"/>
              </w:rPr>
            </w:pPr>
          </w:p>
        </w:tc>
      </w:tr>
      <w:tr w14:paraId="18D9D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765" w:type="dxa"/>
            <w:vMerge w:val="continue"/>
            <w:noWrap/>
            <w:vAlign w:val="center"/>
          </w:tcPr>
          <w:p w14:paraId="7761F454">
            <w:pPr>
              <w:spacing w:line="440" w:lineRule="exact"/>
              <w:jc w:val="center"/>
              <w:rPr>
                <w:rFonts w:ascii="宋体" w:hAnsi="宋体" w:cs="宋体"/>
                <w:szCs w:val="21"/>
                <w:highlight w:val="none"/>
              </w:rPr>
            </w:pPr>
          </w:p>
        </w:tc>
        <w:tc>
          <w:tcPr>
            <w:tcW w:w="1258" w:type="dxa"/>
            <w:vMerge w:val="continue"/>
            <w:noWrap/>
            <w:vAlign w:val="center"/>
          </w:tcPr>
          <w:p w14:paraId="7860EE20">
            <w:pPr>
              <w:spacing w:line="440" w:lineRule="exact"/>
              <w:jc w:val="center"/>
              <w:rPr>
                <w:rFonts w:ascii="宋体" w:hAnsi="宋体" w:cs="宋体"/>
                <w:b/>
                <w:bCs/>
                <w:szCs w:val="21"/>
                <w:highlight w:val="none"/>
              </w:rPr>
            </w:pPr>
          </w:p>
        </w:tc>
        <w:tc>
          <w:tcPr>
            <w:tcW w:w="6183" w:type="dxa"/>
            <w:noWrap/>
            <w:vAlign w:val="center"/>
          </w:tcPr>
          <w:p w14:paraId="68A804D2">
            <w:pPr>
              <w:spacing w:line="440" w:lineRule="exact"/>
              <w:jc w:val="both"/>
              <w:rPr>
                <w:rFonts w:hint="default"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联合体协议书（如有）</w:t>
            </w:r>
          </w:p>
        </w:tc>
        <w:tc>
          <w:tcPr>
            <w:tcW w:w="1860" w:type="dxa"/>
            <w:vMerge w:val="continue"/>
            <w:noWrap/>
            <w:vAlign w:val="center"/>
          </w:tcPr>
          <w:p w14:paraId="573BA311">
            <w:pPr>
              <w:spacing w:line="440" w:lineRule="exact"/>
              <w:rPr>
                <w:rFonts w:ascii="宋体" w:hAnsi="宋体" w:cs="宋体"/>
                <w:szCs w:val="21"/>
                <w:highlight w:val="none"/>
              </w:rPr>
            </w:pPr>
          </w:p>
        </w:tc>
      </w:tr>
    </w:tbl>
    <w:p w14:paraId="44418C94">
      <w:pPr>
        <w:spacing w:line="440" w:lineRule="exact"/>
        <w:ind w:firstLine="422" w:firstLineChars="200"/>
        <w:jc w:val="left"/>
        <w:rPr>
          <w:rFonts w:ascii="宋体" w:hAnsi="宋体" w:cs="宋体"/>
          <w:b/>
          <w:bCs/>
          <w:szCs w:val="21"/>
          <w:highlight w:val="none"/>
        </w:rPr>
      </w:pPr>
      <w:r>
        <w:rPr>
          <w:rFonts w:hint="eastAsia" w:ascii="宋体" w:hAnsi="宋体" w:cs="宋体"/>
          <w:b/>
          <w:bCs/>
          <w:szCs w:val="21"/>
          <w:highlight w:val="none"/>
        </w:rPr>
        <w:t>重要提示：</w:t>
      </w:r>
    </w:p>
    <w:p w14:paraId="3BA6D76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szCs w:val="21"/>
          <w:highlight w:val="none"/>
        </w:rPr>
      </w:pPr>
      <w:r>
        <w:rPr>
          <w:rFonts w:hint="eastAsia" w:ascii="宋体" w:hAnsi="宋体" w:eastAsia="宋体" w:cs="宋体"/>
          <w:b/>
          <w:bCs/>
          <w:szCs w:val="21"/>
          <w:highlight w:val="none"/>
          <w:lang w:eastAsia="zh-CN"/>
        </w:rPr>
        <w:t>（</w:t>
      </w:r>
      <w:r>
        <w:rPr>
          <w:rFonts w:hint="eastAsia" w:ascii="宋体" w:hAnsi="宋体" w:eastAsia="宋体" w:cs="宋体"/>
          <w:b/>
          <w:bCs/>
          <w:szCs w:val="21"/>
          <w:highlight w:val="none"/>
          <w:lang w:val="en-US" w:eastAsia="zh-CN"/>
        </w:rPr>
        <w:t>1）</w:t>
      </w:r>
      <w:r>
        <w:rPr>
          <w:rFonts w:hint="eastAsia" w:ascii="宋体" w:hAnsi="宋体" w:eastAsia="宋体" w:cs="宋体"/>
          <w:b/>
          <w:bCs/>
          <w:szCs w:val="21"/>
          <w:highlight w:val="none"/>
        </w:rPr>
        <w:t>评标专家在检验电子投标文件过程中，如果由于投标人自身原因导致评标专家无法查看并检验电子投标文件中相关资料的，视为无效标处理。即使投标人将原件携带至现场的，同样按无效标处理。</w:t>
      </w:r>
    </w:p>
    <w:p w14:paraId="4A8A3FCB">
      <w:pPr>
        <w:pStyle w:val="7"/>
        <w:spacing w:beforeLines="50" w:afterLines="50"/>
        <w:ind w:firstLine="422" w:firstLineChars="200"/>
        <w:rPr>
          <w:rFonts w:ascii="宋体" w:hAnsi="宋体" w:eastAsia="宋体" w:cs="宋体"/>
          <w:highlight w:val="none"/>
        </w:rPr>
      </w:pPr>
      <w:bookmarkStart w:id="742" w:name="_Toc506107319"/>
      <w:bookmarkStart w:id="743" w:name="_Toc324404866"/>
      <w:bookmarkStart w:id="744" w:name="_Toc27127"/>
      <w:bookmarkStart w:id="745" w:name="_Toc78803376"/>
      <w:bookmarkStart w:id="746" w:name="_Toc35424941"/>
      <w:bookmarkStart w:id="747" w:name="_Toc15058904"/>
      <w:bookmarkStart w:id="748" w:name="_Toc35425107"/>
      <w:r>
        <w:rPr>
          <w:rFonts w:hint="eastAsia" w:ascii="宋体" w:hAnsi="宋体" w:eastAsia="宋体" w:cs="宋体"/>
          <w:highlight w:val="none"/>
        </w:rPr>
        <w:t>1.审查资料</w:t>
      </w:r>
      <w:bookmarkEnd w:id="742"/>
      <w:bookmarkEnd w:id="743"/>
      <w:bookmarkEnd w:id="744"/>
      <w:bookmarkEnd w:id="745"/>
      <w:bookmarkEnd w:id="746"/>
      <w:bookmarkEnd w:id="747"/>
      <w:bookmarkEnd w:id="748"/>
    </w:p>
    <w:p w14:paraId="2DC377C4">
      <w:pPr>
        <w:spacing w:line="440" w:lineRule="exact"/>
        <w:ind w:firstLine="420" w:firstLineChars="200"/>
        <w:jc w:val="left"/>
        <w:rPr>
          <w:rFonts w:hint="eastAsia" w:ascii="宋体" w:hAnsi="宋体" w:cs="宋体"/>
          <w:szCs w:val="21"/>
          <w:highlight w:val="none"/>
        </w:rPr>
      </w:pPr>
      <w:bookmarkStart w:id="749" w:name="_Toc15058905"/>
      <w:bookmarkStart w:id="750" w:name="_Toc324404867"/>
      <w:r>
        <w:rPr>
          <w:rFonts w:hint="eastAsia" w:ascii="宋体" w:hAnsi="宋体" w:cs="宋体"/>
          <w:szCs w:val="21"/>
          <w:highlight w:val="none"/>
        </w:rPr>
        <w:t>（1）法定代表人身份证明文件和本人有效身份证(或法定代表人授权委托书和委托代理人有效身份证)；</w:t>
      </w:r>
    </w:p>
    <w:p w14:paraId="3F0E71BB">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（2）诚信投标承诺书（联合体投标的，各方均提供）；</w:t>
      </w:r>
    </w:p>
    <w:p w14:paraId="12618AFF">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（3）企业法人营业执照（联合体投标的，各方均提供）；</w:t>
      </w:r>
    </w:p>
    <w:p w14:paraId="45677E59">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（4）企业资质证书（联合体投标的，各方均提供）；</w:t>
      </w:r>
    </w:p>
    <w:p w14:paraId="0ED50D49">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（5）</w:t>
      </w:r>
      <w:r>
        <w:rPr>
          <w:rFonts w:hint="eastAsia" w:ascii="宋体" w:hAnsi="宋体" w:cs="宋体"/>
          <w:color w:val="000000"/>
          <w:szCs w:val="21"/>
          <w:highlight w:val="none"/>
        </w:rPr>
        <w:t>项目</w:t>
      </w:r>
      <w:r>
        <w:rPr>
          <w:rFonts w:hint="eastAsia" w:ascii="宋体" w:hAnsi="宋体" w:cs="宋体"/>
          <w:color w:val="000000"/>
          <w:szCs w:val="21"/>
          <w:highlight w:val="none"/>
          <w:lang w:val="en-US" w:eastAsia="zh-CN"/>
        </w:rPr>
        <w:t>团队人员名单（格式自拟）、所有人员的</w:t>
      </w:r>
      <w:r>
        <w:rPr>
          <w:rFonts w:hint="eastAsia" w:ascii="宋体" w:hAnsi="宋体" w:cs="宋体"/>
          <w:color w:val="000000"/>
          <w:szCs w:val="21"/>
          <w:highlight w:val="none"/>
        </w:rPr>
        <w:t>有效身份证</w:t>
      </w:r>
      <w:r>
        <w:rPr>
          <w:rFonts w:hint="eastAsia" w:ascii="宋体" w:hAnsi="宋体" w:cs="宋体"/>
          <w:color w:val="000000"/>
          <w:szCs w:val="21"/>
          <w:highlight w:val="none"/>
          <w:lang w:val="en-US" w:eastAsia="zh-CN"/>
        </w:rPr>
        <w:t>和</w:t>
      </w:r>
      <w:r>
        <w:rPr>
          <w:rFonts w:hint="eastAsia" w:ascii="宋体" w:hAnsi="宋体" w:cs="宋体"/>
          <w:color w:val="000000"/>
          <w:szCs w:val="21"/>
          <w:highlight w:val="none"/>
        </w:rPr>
        <w:t>注册证书</w:t>
      </w:r>
      <w:r>
        <w:rPr>
          <w:rFonts w:hint="eastAsia" w:ascii="宋体" w:hAnsi="宋体" w:cs="宋体"/>
          <w:szCs w:val="21"/>
          <w:highlight w:val="none"/>
        </w:rPr>
        <w:t>；</w:t>
      </w:r>
    </w:p>
    <w:p w14:paraId="57EC5BE4">
      <w:pPr>
        <w:spacing w:line="440" w:lineRule="exact"/>
        <w:ind w:firstLine="420" w:firstLineChars="200"/>
        <w:jc w:val="left"/>
        <w:rPr>
          <w:rFonts w:hint="eastAsia" w:ascii="宋体" w:hAnsi="宋体" w:cs="宋体"/>
          <w:color w:val="000000"/>
          <w:szCs w:val="21"/>
          <w:highlight w:val="none"/>
          <w:lang w:eastAsia="zh-CN"/>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w:t>
      </w:r>
      <w:r>
        <w:rPr>
          <w:rFonts w:hint="eastAsia" w:ascii="宋体" w:hAnsi="宋体" w:cs="宋体"/>
          <w:color w:val="000000"/>
          <w:szCs w:val="21"/>
          <w:highlight w:val="none"/>
        </w:rPr>
        <w:t>投标人的法定代表人(或委托代理人)和拟任项目</w:t>
      </w:r>
      <w:r>
        <w:rPr>
          <w:rFonts w:hint="eastAsia" w:ascii="宋体" w:hAnsi="宋体" w:cs="宋体"/>
          <w:color w:val="000000"/>
          <w:szCs w:val="21"/>
          <w:highlight w:val="none"/>
          <w:lang w:val="en-US" w:eastAsia="zh-CN"/>
        </w:rPr>
        <w:t>负责人</w:t>
      </w:r>
      <w:r>
        <w:rPr>
          <w:rFonts w:hint="eastAsia" w:ascii="宋体" w:hAnsi="宋体" w:cs="宋体"/>
          <w:color w:val="000000"/>
          <w:szCs w:val="21"/>
          <w:highlight w:val="none"/>
        </w:rPr>
        <w:t>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r>
        <w:rPr>
          <w:rFonts w:hint="eastAsia" w:ascii="宋体" w:hAnsi="宋体" w:cs="宋体"/>
          <w:color w:val="000000"/>
          <w:szCs w:val="21"/>
          <w:highlight w:val="none"/>
          <w:lang w:eastAsia="zh-CN"/>
        </w:rPr>
        <w:t>；</w:t>
      </w:r>
    </w:p>
    <w:p w14:paraId="330482FA">
      <w:pPr>
        <w:spacing w:line="440" w:lineRule="exact"/>
        <w:ind w:firstLine="420" w:firstLineChars="200"/>
        <w:jc w:val="left"/>
        <w:rPr>
          <w:rFonts w:hint="default" w:ascii="宋体" w:hAnsi="宋体" w:cs="宋体"/>
          <w:color w:val="000000"/>
          <w:szCs w:val="21"/>
          <w:highlight w:val="none"/>
          <w:lang w:val="en-US" w:eastAsia="zh-CN"/>
        </w:rPr>
      </w:pPr>
      <w:r>
        <w:rPr>
          <w:rFonts w:hint="eastAsia" w:ascii="宋体" w:hAnsi="宋体" w:cs="宋体"/>
          <w:color w:val="000000"/>
          <w:szCs w:val="21"/>
          <w:highlight w:val="none"/>
          <w:lang w:eastAsia="zh-CN"/>
        </w:rPr>
        <w:t>（</w:t>
      </w:r>
      <w:r>
        <w:rPr>
          <w:rFonts w:hint="eastAsia" w:ascii="宋体" w:hAnsi="宋体" w:cs="宋体"/>
          <w:color w:val="000000"/>
          <w:szCs w:val="21"/>
          <w:highlight w:val="none"/>
          <w:lang w:val="en-US" w:eastAsia="zh-CN"/>
        </w:rPr>
        <w:t>7）联合体协议书（如有）。</w:t>
      </w:r>
    </w:p>
    <w:bookmarkEnd w:id="749"/>
    <w:p w14:paraId="5990719C">
      <w:pPr>
        <w:pStyle w:val="7"/>
        <w:spacing w:beforeLines="50" w:afterLines="50"/>
        <w:ind w:firstLine="422" w:firstLineChars="200"/>
        <w:rPr>
          <w:rFonts w:ascii="宋体" w:hAnsi="宋体" w:eastAsia="宋体" w:cs="宋体"/>
          <w:highlight w:val="none"/>
        </w:rPr>
      </w:pPr>
      <w:bookmarkStart w:id="751" w:name="_Toc35425108"/>
      <w:bookmarkStart w:id="752" w:name="_Toc78803377"/>
      <w:bookmarkStart w:id="753" w:name="_Toc15058909"/>
      <w:bookmarkStart w:id="754" w:name="_Toc35424942"/>
      <w:bookmarkStart w:id="755" w:name="_Toc506107320"/>
      <w:bookmarkStart w:id="756" w:name="_Toc12549"/>
      <w:r>
        <w:rPr>
          <w:rFonts w:hint="eastAsia" w:ascii="宋体" w:hAnsi="宋体" w:eastAsia="宋体" w:cs="宋体"/>
          <w:highlight w:val="none"/>
        </w:rPr>
        <w:t>2.审查办法</w:t>
      </w:r>
      <w:bookmarkEnd w:id="750"/>
      <w:bookmarkEnd w:id="751"/>
      <w:bookmarkEnd w:id="752"/>
      <w:bookmarkEnd w:id="753"/>
      <w:bookmarkEnd w:id="754"/>
      <w:bookmarkEnd w:id="755"/>
      <w:bookmarkEnd w:id="756"/>
    </w:p>
    <w:p w14:paraId="0B018554">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由资格审查委员会（评标委员会）按资格审查办法前附表中资格审查必要合格条件评审表要求对投标人审查资料进行核验。</w:t>
      </w:r>
    </w:p>
    <w:p w14:paraId="447D2762">
      <w:pPr>
        <w:pStyle w:val="7"/>
        <w:spacing w:beforeLines="50" w:afterLines="50"/>
        <w:ind w:firstLine="422" w:firstLineChars="200"/>
        <w:rPr>
          <w:rFonts w:ascii="宋体" w:hAnsi="宋体" w:eastAsia="宋体" w:cs="宋体"/>
          <w:highlight w:val="none"/>
        </w:rPr>
      </w:pPr>
      <w:bookmarkStart w:id="757" w:name="_Toc324404868"/>
      <w:bookmarkStart w:id="758" w:name="_Toc506107321"/>
      <w:bookmarkStart w:id="759" w:name="_Toc15626"/>
      <w:bookmarkStart w:id="760" w:name="_Toc35425109"/>
      <w:bookmarkStart w:id="761" w:name="_Toc35424943"/>
      <w:bookmarkStart w:id="762" w:name="_Toc78803378"/>
      <w:bookmarkStart w:id="763" w:name="_Toc15058910"/>
      <w:r>
        <w:rPr>
          <w:rFonts w:hint="eastAsia" w:ascii="宋体" w:hAnsi="宋体" w:eastAsia="宋体" w:cs="宋体"/>
          <w:highlight w:val="none"/>
        </w:rPr>
        <w:t>3.资格审查委员会和审查标准</w:t>
      </w:r>
      <w:bookmarkEnd w:id="757"/>
      <w:bookmarkEnd w:id="758"/>
      <w:bookmarkEnd w:id="759"/>
      <w:bookmarkEnd w:id="760"/>
      <w:bookmarkEnd w:id="761"/>
      <w:bookmarkEnd w:id="762"/>
      <w:bookmarkEnd w:id="763"/>
    </w:p>
    <w:p w14:paraId="48F20776">
      <w:pPr>
        <w:spacing w:line="440" w:lineRule="exact"/>
        <w:ind w:firstLine="420" w:firstLineChars="200"/>
        <w:jc w:val="left"/>
        <w:rPr>
          <w:rFonts w:hint="eastAsia" w:ascii="宋体" w:hAnsi="宋体" w:eastAsia="宋体" w:cs="宋体"/>
          <w:szCs w:val="21"/>
          <w:highlight w:val="none"/>
        </w:rPr>
      </w:pPr>
      <w:bookmarkStart w:id="764" w:name="_Toc15058911"/>
      <w:bookmarkStart w:id="765" w:name="_Toc324404869"/>
      <w:bookmarkStart w:id="766" w:name="_Toc10330"/>
      <w:bookmarkStart w:id="767" w:name="_Toc78803379"/>
      <w:bookmarkStart w:id="768" w:name="_Toc35424944"/>
      <w:bookmarkStart w:id="769" w:name="_Toc35425110"/>
      <w:bookmarkStart w:id="770" w:name="_Toc506107322"/>
      <w:r>
        <w:rPr>
          <w:rFonts w:hint="eastAsia" w:ascii="宋体" w:hAnsi="宋体" w:eastAsia="宋体" w:cs="宋体"/>
          <w:szCs w:val="21"/>
          <w:highlight w:val="none"/>
        </w:rPr>
        <w:t>3.1资格审查由招标人依法组建的资格审查委员会（或评标委员会）负责。审查标准见资格审查办法前附表。</w:t>
      </w:r>
    </w:p>
    <w:p w14:paraId="75FCAEF4">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3.2由资格审查委员会（评标委员会）按资格审查办法前附表要求对投标人的审查资料进行核验。投标申请人有下列情形之一的，其资格审查为不合格： </w:t>
      </w:r>
    </w:p>
    <w:p w14:paraId="73C4AAA1">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（1）未发送标书或电子标书经审查不合格；</w:t>
      </w:r>
    </w:p>
    <w:p w14:paraId="4B1B7620">
      <w:pPr>
        <w:spacing w:line="440" w:lineRule="exact"/>
        <w:ind w:firstLine="420" w:firstLineChars="200"/>
        <w:jc w:val="left"/>
        <w:rPr>
          <w:rFonts w:hint="eastAsia" w:ascii="宋体" w:hAnsi="宋体" w:eastAsia="宋体" w:cs="宋体"/>
          <w:szCs w:val="21"/>
          <w:highlight w:val="none"/>
          <w:lang w:eastAsia="zh-CN"/>
        </w:rPr>
      </w:pPr>
      <w:r>
        <w:rPr>
          <w:rFonts w:hint="eastAsia" w:ascii="宋体" w:hAnsi="宋体" w:eastAsia="宋体" w:cs="宋体"/>
          <w:szCs w:val="21"/>
          <w:highlight w:val="none"/>
        </w:rPr>
        <w:t>（2）电子标书无法打开</w:t>
      </w:r>
      <w:r>
        <w:rPr>
          <w:rFonts w:hint="eastAsia" w:ascii="宋体" w:hAnsi="宋体" w:eastAsia="宋体" w:cs="宋体"/>
          <w:szCs w:val="21"/>
          <w:highlight w:val="none"/>
          <w:lang w:eastAsia="zh-CN"/>
        </w:rPr>
        <w:t>；</w:t>
      </w:r>
    </w:p>
    <w:p w14:paraId="57921172">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lang w:eastAsia="zh-CN"/>
        </w:rPr>
        <w:t>）法律、法规规定的其他情形</w:t>
      </w:r>
      <w:r>
        <w:rPr>
          <w:rFonts w:hint="eastAsia" w:ascii="宋体" w:hAnsi="宋体" w:eastAsia="宋体" w:cs="宋体"/>
          <w:szCs w:val="21"/>
          <w:highlight w:val="none"/>
        </w:rPr>
        <w:t>。</w:t>
      </w:r>
    </w:p>
    <w:p w14:paraId="439F3B10">
      <w:pPr>
        <w:pStyle w:val="7"/>
        <w:spacing w:beforeLines="50" w:afterLines="50"/>
        <w:ind w:firstLine="422" w:firstLineChars="200"/>
        <w:rPr>
          <w:rFonts w:ascii="宋体" w:hAnsi="宋体" w:eastAsia="宋体" w:cs="宋体"/>
          <w:highlight w:val="none"/>
        </w:rPr>
      </w:pPr>
      <w:r>
        <w:rPr>
          <w:rFonts w:hint="eastAsia" w:ascii="宋体" w:hAnsi="宋体" w:eastAsia="宋体" w:cs="宋体"/>
          <w:highlight w:val="none"/>
        </w:rPr>
        <w:t>4.审查结果</w:t>
      </w:r>
      <w:bookmarkEnd w:id="764"/>
      <w:bookmarkEnd w:id="765"/>
      <w:bookmarkEnd w:id="766"/>
      <w:bookmarkEnd w:id="767"/>
      <w:bookmarkEnd w:id="768"/>
      <w:bookmarkEnd w:id="769"/>
      <w:bookmarkEnd w:id="770"/>
    </w:p>
    <w:p w14:paraId="58D45548">
      <w:pPr>
        <w:spacing w:line="440" w:lineRule="exact"/>
        <w:ind w:firstLine="420" w:firstLineChars="200"/>
        <w:jc w:val="left"/>
        <w:rPr>
          <w:rFonts w:ascii="宋体" w:hAnsi="宋体" w:cs="宋体"/>
          <w:szCs w:val="21"/>
          <w:highlight w:val="none"/>
        </w:rPr>
      </w:pPr>
      <w:r>
        <w:rPr>
          <w:rFonts w:hint="eastAsia" w:ascii="宋体" w:hAnsi="宋体" w:cs="宋体"/>
          <w:highlight w:val="none"/>
        </w:rPr>
        <w:t>只有通过资格审查的投标人才能进入下一步的评标程序。</w:t>
      </w:r>
      <w:bookmarkStart w:id="771" w:name="_Toc506107323"/>
    </w:p>
    <w:p w14:paraId="500CB5F4">
      <w:pPr>
        <w:pStyle w:val="6"/>
        <w:spacing w:beforeLines="50" w:afterLines="50"/>
        <w:rPr>
          <w:highlight w:val="none"/>
        </w:rPr>
      </w:pPr>
      <w:bookmarkStart w:id="772" w:name="_Toc15058912"/>
      <w:bookmarkStart w:id="773" w:name="_Toc35425111"/>
      <w:bookmarkStart w:id="774" w:name="_Toc35424945"/>
      <w:r>
        <w:rPr>
          <w:rFonts w:hint="eastAsia"/>
          <w:highlight w:val="none"/>
        </w:rPr>
        <w:br w:type="page"/>
      </w:r>
      <w:bookmarkStart w:id="775" w:name="_Toc78803380"/>
      <w:r>
        <w:rPr>
          <w:rFonts w:hint="eastAsia" w:ascii="Arial" w:hAnsi="Arial"/>
          <w:kern w:val="0"/>
          <w:sz w:val="32"/>
          <w:szCs w:val="32"/>
          <w:highlight w:val="none"/>
        </w:rPr>
        <w:t>第</w:t>
      </w:r>
      <w:r>
        <w:rPr>
          <w:rFonts w:hint="eastAsia" w:ascii="Arial" w:hAnsi="Arial"/>
          <w:kern w:val="0"/>
          <w:sz w:val="32"/>
          <w:szCs w:val="32"/>
          <w:highlight w:val="none"/>
          <w:lang w:val="en-US" w:eastAsia="zh-CN"/>
        </w:rPr>
        <w:t>四</w:t>
      </w:r>
      <w:r>
        <w:rPr>
          <w:rFonts w:hint="eastAsia" w:ascii="Arial" w:hAnsi="Arial"/>
          <w:kern w:val="0"/>
          <w:sz w:val="32"/>
          <w:szCs w:val="32"/>
          <w:highlight w:val="none"/>
        </w:rPr>
        <w:t>章 评标办法</w:t>
      </w:r>
      <w:bookmarkEnd w:id="623"/>
      <w:bookmarkEnd w:id="771"/>
      <w:bookmarkEnd w:id="772"/>
      <w:bookmarkEnd w:id="773"/>
      <w:bookmarkEnd w:id="774"/>
      <w:bookmarkEnd w:id="775"/>
    </w:p>
    <w:p w14:paraId="0B4C7729">
      <w:pPr>
        <w:pStyle w:val="2"/>
        <w:adjustRightInd w:val="0"/>
        <w:snapToGrid w:val="0"/>
        <w:spacing w:after="0" w:afterLines="0" w:line="560" w:lineRule="exact"/>
        <w:ind w:left="0" w:leftChars="0" w:firstLine="0" w:firstLineChars="0"/>
        <w:jc w:val="center"/>
        <w:rPr>
          <w:rFonts w:hint="eastAsia" w:ascii="Times New Roman" w:hAnsi="Times New Roman" w:eastAsia="宋体" w:cs="Times New Roman"/>
          <w:color w:val="000000"/>
          <w:sz w:val="25"/>
          <w:szCs w:val="24"/>
          <w:highlight w:val="none"/>
        </w:rPr>
      </w:pPr>
      <w:r>
        <w:rPr>
          <w:rFonts w:hint="eastAsia" w:ascii="Times New Roman" w:hAnsi="Times New Roman" w:eastAsia="宋体" w:cs="Times New Roman"/>
          <w:color w:val="000000"/>
          <w:sz w:val="25"/>
          <w:szCs w:val="24"/>
          <w:highlight w:val="none"/>
        </w:rPr>
        <w:t>商务标评审</w:t>
      </w:r>
    </w:p>
    <w:tbl>
      <w:tblPr>
        <w:tblStyle w:val="47"/>
        <w:tblW w:w="10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80"/>
        <w:gridCol w:w="2858"/>
        <w:gridCol w:w="5526"/>
      </w:tblGrid>
      <w:tr w14:paraId="7B944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60" w:type="dxa"/>
            <w:gridSpan w:val="2"/>
            <w:noWrap w:val="0"/>
            <w:vAlign w:val="center"/>
          </w:tcPr>
          <w:p w14:paraId="143D8C4E">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eastAsia" w:ascii="宋体" w:hAnsi="宋体" w:cs="宋体"/>
                <w:color w:val="000000"/>
                <w:szCs w:val="21"/>
                <w:highlight w:val="none"/>
              </w:rPr>
            </w:pPr>
            <w:bookmarkStart w:id="776" w:name="_Toc35425113"/>
            <w:bookmarkStart w:id="777" w:name="_Toc144974556"/>
            <w:bookmarkStart w:id="778" w:name="_Toc152045589"/>
            <w:bookmarkStart w:id="779" w:name="_Toc324404872"/>
            <w:bookmarkStart w:id="780" w:name="_Toc78803381"/>
            <w:bookmarkStart w:id="781" w:name="_Toc246996232"/>
            <w:bookmarkStart w:id="782" w:name="_Toc152042366"/>
            <w:bookmarkStart w:id="783" w:name="_Toc246996975"/>
            <w:bookmarkStart w:id="784" w:name="_Toc15058913"/>
            <w:bookmarkStart w:id="785" w:name="_Toc179632607"/>
            <w:bookmarkStart w:id="786" w:name="_Toc35424947"/>
            <w:bookmarkStart w:id="787" w:name="_Toc506107324"/>
            <w:bookmarkStart w:id="788" w:name="_Toc6491"/>
            <w:bookmarkStart w:id="789" w:name="_Toc247085747"/>
            <w:r>
              <w:rPr>
                <w:rFonts w:hint="eastAsia" w:ascii="宋体" w:hAnsi="宋体" w:cs="宋体"/>
                <w:color w:val="000000"/>
                <w:szCs w:val="21"/>
                <w:highlight w:val="none"/>
              </w:rPr>
              <w:t>条款号</w:t>
            </w:r>
          </w:p>
        </w:tc>
        <w:tc>
          <w:tcPr>
            <w:tcW w:w="2858" w:type="dxa"/>
            <w:noWrap w:val="0"/>
            <w:vAlign w:val="center"/>
          </w:tcPr>
          <w:p w14:paraId="333E1D52">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eastAsia" w:ascii="宋体" w:hAnsi="宋体" w:cs="宋体"/>
                <w:color w:val="000000"/>
                <w:szCs w:val="21"/>
                <w:highlight w:val="none"/>
              </w:rPr>
            </w:pPr>
            <w:r>
              <w:rPr>
                <w:rFonts w:hint="eastAsia" w:ascii="宋体" w:hAnsi="宋体" w:cs="宋体"/>
                <w:color w:val="000000"/>
                <w:szCs w:val="21"/>
                <w:highlight w:val="none"/>
              </w:rPr>
              <w:t>评审因素</w:t>
            </w:r>
          </w:p>
        </w:tc>
        <w:tc>
          <w:tcPr>
            <w:tcW w:w="5526" w:type="dxa"/>
            <w:noWrap w:val="0"/>
            <w:vAlign w:val="center"/>
          </w:tcPr>
          <w:p w14:paraId="7FEED237">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eastAsia" w:ascii="宋体" w:hAnsi="宋体" w:cs="宋体"/>
                <w:color w:val="000000"/>
                <w:szCs w:val="21"/>
                <w:highlight w:val="none"/>
              </w:rPr>
            </w:pPr>
            <w:r>
              <w:rPr>
                <w:rFonts w:hint="eastAsia" w:ascii="宋体" w:hAnsi="宋体" w:cs="宋体"/>
                <w:color w:val="000000"/>
                <w:szCs w:val="21"/>
                <w:highlight w:val="none"/>
              </w:rPr>
              <w:t>评审标准</w:t>
            </w:r>
          </w:p>
        </w:tc>
      </w:tr>
      <w:tr w14:paraId="33054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80" w:type="dxa"/>
            <w:vMerge w:val="restart"/>
            <w:noWrap w:val="0"/>
            <w:vAlign w:val="center"/>
          </w:tcPr>
          <w:p w14:paraId="2ED09A3D">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eastAsia" w:ascii="宋体" w:hAnsi="宋体" w:cs="宋体"/>
                <w:color w:val="000000"/>
                <w:szCs w:val="21"/>
                <w:highlight w:val="none"/>
              </w:rPr>
            </w:pPr>
            <w:r>
              <w:rPr>
                <w:rFonts w:hint="eastAsia" w:ascii="宋体" w:hAnsi="宋体" w:cs="宋体"/>
                <w:color w:val="000000"/>
                <w:szCs w:val="21"/>
                <w:highlight w:val="none"/>
              </w:rPr>
              <w:t>4.</w:t>
            </w:r>
            <w:r>
              <w:rPr>
                <w:rFonts w:hint="eastAsia" w:ascii="宋体" w:hAnsi="宋体" w:cs="宋体"/>
                <w:color w:val="000000"/>
                <w:szCs w:val="21"/>
                <w:highlight w:val="none"/>
                <w:lang w:val="en-US" w:eastAsia="zh-CN"/>
              </w:rPr>
              <w:t>1</w:t>
            </w:r>
            <w:r>
              <w:rPr>
                <w:rFonts w:hint="eastAsia" w:ascii="宋体" w:hAnsi="宋体" w:cs="宋体"/>
                <w:color w:val="000000"/>
                <w:szCs w:val="21"/>
                <w:highlight w:val="none"/>
              </w:rPr>
              <w:t>.1</w:t>
            </w:r>
          </w:p>
        </w:tc>
        <w:tc>
          <w:tcPr>
            <w:tcW w:w="780" w:type="dxa"/>
            <w:vMerge w:val="restart"/>
            <w:noWrap w:val="0"/>
            <w:vAlign w:val="center"/>
          </w:tcPr>
          <w:p w14:paraId="60C7E2F2">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eastAsia" w:ascii="宋体" w:hAnsi="宋体" w:cs="宋体"/>
                <w:color w:val="000000"/>
                <w:szCs w:val="21"/>
                <w:highlight w:val="none"/>
              </w:rPr>
            </w:pPr>
            <w:r>
              <w:rPr>
                <w:rFonts w:hint="eastAsia" w:ascii="宋体" w:hAnsi="宋体" w:cs="宋体"/>
                <w:color w:val="000000"/>
                <w:szCs w:val="21"/>
                <w:highlight w:val="none"/>
              </w:rPr>
              <w:t>形式评审标准</w:t>
            </w:r>
          </w:p>
        </w:tc>
        <w:tc>
          <w:tcPr>
            <w:tcW w:w="2858" w:type="dxa"/>
            <w:noWrap w:val="0"/>
            <w:vAlign w:val="center"/>
          </w:tcPr>
          <w:p w14:paraId="017775B0">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投标函签字盖章</w:t>
            </w:r>
          </w:p>
        </w:tc>
        <w:tc>
          <w:tcPr>
            <w:tcW w:w="5526" w:type="dxa"/>
            <w:noWrap w:val="0"/>
            <w:vAlign w:val="center"/>
          </w:tcPr>
          <w:p w14:paraId="3F81F23C">
            <w:pPr>
              <w:keepNext w:val="0"/>
              <w:keepLines w:val="0"/>
              <w:pageBreakBefore w:val="0"/>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rPr>
              <w:t>有投标人及其法定代表人签章。</w:t>
            </w:r>
          </w:p>
        </w:tc>
      </w:tr>
      <w:tr w14:paraId="6B0BB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80" w:type="dxa"/>
            <w:vMerge w:val="continue"/>
            <w:noWrap w:val="0"/>
            <w:vAlign w:val="center"/>
          </w:tcPr>
          <w:p w14:paraId="3700C00D">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780" w:type="dxa"/>
            <w:vMerge w:val="continue"/>
            <w:noWrap w:val="0"/>
            <w:vAlign w:val="center"/>
          </w:tcPr>
          <w:p w14:paraId="065B03CB">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2858" w:type="dxa"/>
            <w:noWrap w:val="0"/>
            <w:vAlign w:val="center"/>
          </w:tcPr>
          <w:p w14:paraId="241FD3CA">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投标文件格式</w:t>
            </w:r>
          </w:p>
        </w:tc>
        <w:tc>
          <w:tcPr>
            <w:tcW w:w="5526" w:type="dxa"/>
            <w:noWrap w:val="0"/>
            <w:vAlign w:val="center"/>
          </w:tcPr>
          <w:p w14:paraId="01312F3B">
            <w:pPr>
              <w:keepNext w:val="0"/>
              <w:keepLines w:val="0"/>
              <w:pageBreakBefore w:val="0"/>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rPr>
              <w:t>符合第</w:t>
            </w:r>
            <w:r>
              <w:rPr>
                <w:rFonts w:hint="eastAsia" w:ascii="宋体" w:hAnsi="宋体" w:cs="宋体"/>
                <w:color w:val="000000"/>
                <w:szCs w:val="21"/>
                <w:highlight w:val="none"/>
                <w:lang w:val="en-US" w:eastAsia="zh-CN"/>
              </w:rPr>
              <w:t>七</w:t>
            </w:r>
            <w:r>
              <w:rPr>
                <w:rFonts w:hint="eastAsia" w:ascii="宋体" w:hAnsi="宋体" w:cs="宋体"/>
                <w:color w:val="000000"/>
                <w:szCs w:val="21"/>
                <w:highlight w:val="none"/>
              </w:rPr>
              <w:t>章“投标文件格式”的要求。</w:t>
            </w:r>
          </w:p>
        </w:tc>
      </w:tr>
      <w:tr w14:paraId="15BCA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80" w:type="dxa"/>
            <w:vMerge w:val="continue"/>
            <w:noWrap w:val="0"/>
            <w:vAlign w:val="center"/>
          </w:tcPr>
          <w:p w14:paraId="2C5FBDDE">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780" w:type="dxa"/>
            <w:vMerge w:val="continue"/>
            <w:noWrap w:val="0"/>
            <w:vAlign w:val="center"/>
          </w:tcPr>
          <w:p w14:paraId="329A8809">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2858" w:type="dxa"/>
            <w:noWrap w:val="0"/>
            <w:vAlign w:val="center"/>
          </w:tcPr>
          <w:p w14:paraId="4DF4A6F3">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商务标签字盖章</w:t>
            </w:r>
          </w:p>
        </w:tc>
        <w:tc>
          <w:tcPr>
            <w:tcW w:w="5526" w:type="dxa"/>
            <w:noWrap w:val="0"/>
            <w:vAlign w:val="center"/>
          </w:tcPr>
          <w:p w14:paraId="1C8555C3">
            <w:pPr>
              <w:keepNext w:val="0"/>
              <w:keepLines w:val="0"/>
              <w:pageBreakBefore w:val="0"/>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rPr>
              <w:t>按投标文件格式要求签章。</w:t>
            </w:r>
          </w:p>
        </w:tc>
      </w:tr>
      <w:tr w14:paraId="50CCE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80" w:type="dxa"/>
            <w:vMerge w:val="continue"/>
            <w:noWrap w:val="0"/>
            <w:vAlign w:val="center"/>
          </w:tcPr>
          <w:p w14:paraId="6BBFE91B">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780" w:type="dxa"/>
            <w:vMerge w:val="continue"/>
            <w:noWrap w:val="0"/>
            <w:vAlign w:val="center"/>
          </w:tcPr>
          <w:p w14:paraId="189EADC7">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2858" w:type="dxa"/>
            <w:noWrap w:val="0"/>
            <w:vAlign w:val="center"/>
          </w:tcPr>
          <w:p w14:paraId="5F468EB6">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报价唯一</w:t>
            </w:r>
          </w:p>
        </w:tc>
        <w:tc>
          <w:tcPr>
            <w:tcW w:w="5526" w:type="dxa"/>
            <w:noWrap w:val="0"/>
            <w:vAlign w:val="center"/>
          </w:tcPr>
          <w:p w14:paraId="08DAAE97">
            <w:pPr>
              <w:keepNext w:val="0"/>
              <w:keepLines w:val="0"/>
              <w:pageBreakBefore w:val="0"/>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rPr>
              <w:t>只能有一个</w:t>
            </w:r>
            <w:r>
              <w:rPr>
                <w:rFonts w:hint="eastAsia" w:ascii="宋体" w:hAnsi="宋体" w:cs="宋体"/>
                <w:color w:val="000000"/>
                <w:szCs w:val="21"/>
                <w:highlight w:val="none"/>
                <w:lang w:val="en-US" w:eastAsia="zh-CN"/>
              </w:rPr>
              <w:t>投标</w:t>
            </w:r>
            <w:r>
              <w:rPr>
                <w:rFonts w:hint="eastAsia" w:ascii="宋体" w:hAnsi="宋体" w:cs="宋体"/>
                <w:color w:val="000000"/>
                <w:szCs w:val="21"/>
                <w:highlight w:val="none"/>
              </w:rPr>
              <w:t>报价</w:t>
            </w:r>
            <w:r>
              <w:rPr>
                <w:rFonts w:hint="eastAsia" w:ascii="宋体" w:hAnsi="宋体" w:cs="宋体"/>
                <w:color w:val="000000"/>
                <w:szCs w:val="21"/>
                <w:highlight w:val="none"/>
                <w:lang w:eastAsia="zh-CN"/>
              </w:rPr>
              <w:t>（</w:t>
            </w:r>
            <w:r>
              <w:rPr>
                <w:rFonts w:hint="eastAsia" w:ascii="宋体" w:hAnsi="宋体" w:cs="宋体"/>
                <w:color w:val="000000"/>
                <w:szCs w:val="21"/>
                <w:highlight w:val="none"/>
                <w:lang w:val="en-US" w:eastAsia="zh-CN"/>
              </w:rPr>
              <w:t>下浮率）</w:t>
            </w:r>
            <w:r>
              <w:rPr>
                <w:rFonts w:hint="eastAsia" w:ascii="宋体" w:hAnsi="宋体" w:cs="宋体"/>
                <w:color w:val="000000"/>
                <w:szCs w:val="21"/>
                <w:highlight w:val="none"/>
              </w:rPr>
              <w:t>。</w:t>
            </w:r>
          </w:p>
        </w:tc>
      </w:tr>
      <w:tr w14:paraId="74F2A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880" w:type="dxa"/>
            <w:vMerge w:val="restart"/>
            <w:noWrap w:val="0"/>
            <w:vAlign w:val="center"/>
          </w:tcPr>
          <w:p w14:paraId="59F3DEE5">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eastAsia" w:ascii="宋体" w:hAnsi="宋体" w:cs="宋体"/>
                <w:color w:val="000000"/>
                <w:szCs w:val="21"/>
                <w:highlight w:val="none"/>
              </w:rPr>
            </w:pPr>
            <w:r>
              <w:rPr>
                <w:rFonts w:hint="eastAsia" w:ascii="宋体" w:hAnsi="宋体" w:cs="宋体"/>
                <w:color w:val="000000"/>
                <w:szCs w:val="21"/>
                <w:highlight w:val="none"/>
              </w:rPr>
              <w:t>4.</w:t>
            </w:r>
            <w:r>
              <w:rPr>
                <w:rFonts w:hint="eastAsia" w:ascii="宋体" w:hAnsi="宋体" w:cs="宋体"/>
                <w:color w:val="000000"/>
                <w:szCs w:val="21"/>
                <w:highlight w:val="none"/>
                <w:lang w:val="en-US" w:eastAsia="zh-CN"/>
              </w:rPr>
              <w:t>1</w:t>
            </w:r>
            <w:r>
              <w:rPr>
                <w:rFonts w:hint="eastAsia" w:ascii="宋体" w:hAnsi="宋体" w:cs="宋体"/>
                <w:color w:val="000000"/>
                <w:szCs w:val="21"/>
                <w:highlight w:val="none"/>
              </w:rPr>
              <w:t>.2</w:t>
            </w:r>
          </w:p>
        </w:tc>
        <w:tc>
          <w:tcPr>
            <w:tcW w:w="780" w:type="dxa"/>
            <w:vMerge w:val="restart"/>
            <w:noWrap w:val="0"/>
            <w:vAlign w:val="center"/>
          </w:tcPr>
          <w:p w14:paraId="1D89A365">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响应性评审标准</w:t>
            </w:r>
          </w:p>
          <w:p w14:paraId="1C9DD95C">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eastAsia" w:ascii="宋体" w:hAnsi="宋体" w:cs="宋体"/>
                <w:color w:val="000000"/>
                <w:szCs w:val="21"/>
                <w:highlight w:val="none"/>
              </w:rPr>
            </w:pPr>
          </w:p>
        </w:tc>
        <w:tc>
          <w:tcPr>
            <w:tcW w:w="2858" w:type="dxa"/>
            <w:noWrap w:val="0"/>
            <w:vAlign w:val="center"/>
          </w:tcPr>
          <w:p w14:paraId="11A690D3">
            <w:pPr>
              <w:keepNext w:val="0"/>
              <w:keepLines w:val="0"/>
              <w:pageBreakBefore w:val="0"/>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r>
              <w:rPr>
                <w:rFonts w:hint="eastAsia" w:ascii="宋体" w:hAnsi="宋体" w:cs="宋体"/>
                <w:color w:val="000000"/>
                <w:szCs w:val="21"/>
                <w:highlight w:val="none"/>
              </w:rPr>
              <w:t>工期</w:t>
            </w:r>
          </w:p>
        </w:tc>
        <w:tc>
          <w:tcPr>
            <w:tcW w:w="5526" w:type="dxa"/>
            <w:noWrap w:val="0"/>
            <w:vAlign w:val="center"/>
          </w:tcPr>
          <w:p w14:paraId="45957E2D">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符合投标须知前附表规定。</w:t>
            </w:r>
          </w:p>
        </w:tc>
      </w:tr>
      <w:tr w14:paraId="7E4EA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80" w:type="dxa"/>
            <w:vMerge w:val="continue"/>
            <w:noWrap w:val="0"/>
            <w:vAlign w:val="center"/>
          </w:tcPr>
          <w:p w14:paraId="4913C3E4">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780" w:type="dxa"/>
            <w:vMerge w:val="continue"/>
            <w:noWrap w:val="0"/>
            <w:vAlign w:val="center"/>
          </w:tcPr>
          <w:p w14:paraId="1E28DC8E">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2858" w:type="dxa"/>
            <w:noWrap w:val="0"/>
            <w:vAlign w:val="center"/>
          </w:tcPr>
          <w:p w14:paraId="2072AC6F">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工程质量</w:t>
            </w:r>
          </w:p>
        </w:tc>
        <w:tc>
          <w:tcPr>
            <w:tcW w:w="5526" w:type="dxa"/>
            <w:noWrap w:val="0"/>
            <w:vAlign w:val="center"/>
          </w:tcPr>
          <w:p w14:paraId="249DF313">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符合投标须知前附表规定。</w:t>
            </w:r>
          </w:p>
        </w:tc>
      </w:tr>
      <w:tr w14:paraId="4025F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80" w:type="dxa"/>
            <w:vMerge w:val="continue"/>
            <w:noWrap w:val="0"/>
            <w:vAlign w:val="center"/>
          </w:tcPr>
          <w:p w14:paraId="46F9F4B0">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780" w:type="dxa"/>
            <w:vMerge w:val="continue"/>
            <w:noWrap w:val="0"/>
            <w:vAlign w:val="center"/>
          </w:tcPr>
          <w:p w14:paraId="5B7E47B5">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2858" w:type="dxa"/>
            <w:noWrap w:val="0"/>
            <w:vAlign w:val="center"/>
          </w:tcPr>
          <w:p w14:paraId="01A8BD8F">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投标有效期</w:t>
            </w:r>
          </w:p>
        </w:tc>
        <w:tc>
          <w:tcPr>
            <w:tcW w:w="5526" w:type="dxa"/>
            <w:noWrap w:val="0"/>
            <w:vAlign w:val="center"/>
          </w:tcPr>
          <w:p w14:paraId="74AE9B67">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符合投标须知前附表规定。</w:t>
            </w:r>
          </w:p>
        </w:tc>
      </w:tr>
      <w:tr w14:paraId="13577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880" w:type="dxa"/>
            <w:vMerge w:val="continue"/>
            <w:noWrap w:val="0"/>
            <w:vAlign w:val="center"/>
          </w:tcPr>
          <w:p w14:paraId="591FD257">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780" w:type="dxa"/>
            <w:vMerge w:val="continue"/>
            <w:noWrap w:val="0"/>
            <w:vAlign w:val="center"/>
          </w:tcPr>
          <w:p w14:paraId="777044C5">
            <w:pPr>
              <w:keepNext w:val="0"/>
              <w:keepLines w:val="0"/>
              <w:pageBreakBefore w:val="0"/>
              <w:widowControl/>
              <w:kinsoku/>
              <w:wordWrap/>
              <w:overflowPunct/>
              <w:topLinePunct w:val="0"/>
              <w:autoSpaceDE/>
              <w:autoSpaceDN/>
              <w:bidi w:val="0"/>
              <w:adjustRightInd w:val="0"/>
              <w:snapToGrid w:val="0"/>
              <w:spacing w:line="540" w:lineRule="exact"/>
              <w:jc w:val="left"/>
              <w:textAlignment w:val="auto"/>
              <w:rPr>
                <w:rFonts w:hint="eastAsia" w:ascii="宋体" w:hAnsi="宋体" w:cs="宋体"/>
                <w:color w:val="000000"/>
                <w:szCs w:val="21"/>
                <w:highlight w:val="none"/>
              </w:rPr>
            </w:pPr>
          </w:p>
        </w:tc>
        <w:tc>
          <w:tcPr>
            <w:tcW w:w="2858" w:type="dxa"/>
            <w:noWrap w:val="0"/>
            <w:vAlign w:val="center"/>
          </w:tcPr>
          <w:p w14:paraId="05FAB150">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zCs w:val="21"/>
                <w:highlight w:val="none"/>
              </w:rPr>
            </w:pPr>
            <w:r>
              <w:rPr>
                <w:rFonts w:hint="eastAsia" w:ascii="宋体" w:hAnsi="宋体" w:cs="宋体"/>
                <w:color w:val="000000"/>
                <w:szCs w:val="21"/>
                <w:highlight w:val="none"/>
              </w:rPr>
              <w:t>投标</w:t>
            </w:r>
            <w:r>
              <w:rPr>
                <w:rFonts w:hint="eastAsia" w:ascii="宋体" w:hAnsi="宋体" w:cs="宋体"/>
                <w:color w:val="000000"/>
                <w:szCs w:val="21"/>
                <w:highlight w:val="none"/>
                <w:lang w:val="en-US" w:eastAsia="zh-CN"/>
              </w:rPr>
              <w:t>报价（下浮率）</w:t>
            </w:r>
            <w:r>
              <w:rPr>
                <w:rFonts w:hint="eastAsia" w:ascii="宋体" w:hAnsi="宋体" w:cs="宋体"/>
                <w:color w:val="000000"/>
                <w:szCs w:val="21"/>
                <w:highlight w:val="none"/>
              </w:rPr>
              <w:t>评审</w:t>
            </w:r>
          </w:p>
        </w:tc>
        <w:tc>
          <w:tcPr>
            <w:tcW w:w="5526" w:type="dxa"/>
            <w:noWrap w:val="0"/>
            <w:vAlign w:val="center"/>
          </w:tcPr>
          <w:p w14:paraId="2D6FC50A">
            <w:pPr>
              <w:keepNext w:val="0"/>
              <w:keepLines w:val="0"/>
              <w:pageBreakBefore w:val="0"/>
              <w:kinsoku/>
              <w:wordWrap/>
              <w:overflowPunct/>
              <w:topLinePunct w:val="0"/>
              <w:autoSpaceDE/>
              <w:autoSpaceDN/>
              <w:bidi w:val="0"/>
              <w:adjustRightInd w:val="0"/>
              <w:snapToGrid w:val="0"/>
              <w:spacing w:line="540" w:lineRule="exact"/>
              <w:textAlignment w:val="auto"/>
              <w:rPr>
                <w:rFonts w:hint="eastAsia" w:ascii="宋体" w:hAnsi="宋体" w:cs="宋体"/>
                <w:color w:val="000000"/>
                <w:spacing w:val="-6"/>
                <w:szCs w:val="21"/>
                <w:highlight w:val="none"/>
              </w:rPr>
            </w:pPr>
            <w:r>
              <w:rPr>
                <w:rFonts w:hint="eastAsia" w:ascii="宋体" w:hAnsi="宋体" w:cs="宋体"/>
                <w:color w:val="000000"/>
                <w:spacing w:val="-6"/>
                <w:szCs w:val="21"/>
                <w:highlight w:val="none"/>
                <w:lang w:val="en-US" w:eastAsia="zh-CN"/>
              </w:rPr>
              <w:t>投标下浮率</w:t>
            </w:r>
            <w:r>
              <w:rPr>
                <w:rFonts w:hint="eastAsia" w:ascii="宋体" w:hAnsi="宋体" w:cs="宋体"/>
                <w:color w:val="000000"/>
                <w:spacing w:val="-6"/>
                <w:szCs w:val="21"/>
                <w:highlight w:val="none"/>
              </w:rPr>
              <w:t>不得</w:t>
            </w:r>
            <w:r>
              <w:rPr>
                <w:rFonts w:hint="eastAsia" w:ascii="宋体" w:hAnsi="宋体" w:cs="宋体"/>
                <w:color w:val="000000"/>
                <w:spacing w:val="-6"/>
                <w:szCs w:val="21"/>
                <w:highlight w:val="none"/>
                <w:lang w:val="en-US" w:eastAsia="zh-CN"/>
              </w:rPr>
              <w:t>小于0%</w:t>
            </w:r>
            <w:r>
              <w:rPr>
                <w:rFonts w:hint="eastAsia" w:ascii="宋体" w:hAnsi="宋体" w:cs="宋体"/>
                <w:color w:val="000000"/>
                <w:spacing w:val="-6"/>
                <w:szCs w:val="21"/>
                <w:highlight w:val="none"/>
              </w:rPr>
              <w:t>，也不得低于工程成本价。</w:t>
            </w:r>
          </w:p>
        </w:tc>
      </w:tr>
    </w:tbl>
    <w:p w14:paraId="59E5148A">
      <w:pPr>
        <w:pStyle w:val="7"/>
        <w:spacing w:beforeLines="50" w:afterLines="50"/>
        <w:ind w:firstLine="422" w:firstLineChars="200"/>
        <w:rPr>
          <w:rFonts w:ascii="宋体" w:hAnsi="宋体" w:eastAsia="宋体" w:cs="宋体"/>
          <w:highlight w:val="none"/>
        </w:rPr>
      </w:pPr>
      <w:r>
        <w:rPr>
          <w:rFonts w:hint="eastAsia" w:ascii="宋体" w:hAnsi="宋体" w:eastAsia="宋体" w:cs="宋体"/>
          <w:highlight w:val="none"/>
        </w:rPr>
        <w:t>1.评标方法</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14:paraId="4E1FC433">
      <w:pPr>
        <w:widowControl/>
        <w:adjustRightInd w:val="0"/>
        <w:snapToGrid w:val="0"/>
        <w:spacing w:line="560" w:lineRule="exact"/>
        <w:ind w:firstLine="422" w:firstLineChars="200"/>
        <w:jc w:val="left"/>
        <w:rPr>
          <w:rFonts w:hint="eastAsia" w:ascii="宋体" w:hAnsi="宋体" w:cs="宋体"/>
          <w:b/>
          <w:color w:val="000000"/>
          <w:szCs w:val="21"/>
          <w:highlight w:val="none"/>
        </w:rPr>
      </w:pPr>
      <w:bookmarkStart w:id="790" w:name="_Toc324404873"/>
      <w:bookmarkStart w:id="791" w:name="_Toc11945"/>
      <w:bookmarkStart w:id="792" w:name="_Toc15058914"/>
      <w:bookmarkStart w:id="793" w:name="_Toc35425114"/>
      <w:bookmarkStart w:id="794" w:name="_Toc35424948"/>
      <w:bookmarkStart w:id="795" w:name="_Toc506107325"/>
      <w:bookmarkStart w:id="796" w:name="_Toc78803382"/>
      <w:bookmarkStart w:id="797" w:name="_Toc152045590"/>
      <w:bookmarkStart w:id="798" w:name="_Toc296602478"/>
      <w:bookmarkStart w:id="799" w:name="_Toc246996233"/>
      <w:bookmarkStart w:id="800" w:name="_Toc179632608"/>
      <w:bookmarkStart w:id="801" w:name="_Toc246996976"/>
      <w:bookmarkStart w:id="802" w:name="_Toc152042367"/>
      <w:bookmarkStart w:id="803" w:name="_Toc144974557"/>
      <w:bookmarkStart w:id="804" w:name="_Toc247085748"/>
      <w:r>
        <w:rPr>
          <w:rFonts w:hint="eastAsia" w:ascii="宋体" w:hAnsi="宋体" w:cs="宋体"/>
          <w:b/>
          <w:color w:val="000000"/>
          <w:szCs w:val="21"/>
          <w:highlight w:val="none"/>
        </w:rPr>
        <w:t>本次评标采用合理价格竞争法。评标委员会对满足招标文件实质性要求的投标文件，最终按投标报价最低原则，推荐有效投标报价最低</w:t>
      </w:r>
      <w:r>
        <w:rPr>
          <w:rFonts w:hint="eastAsia" w:ascii="宋体" w:hAnsi="宋体" w:cs="宋体"/>
          <w:b/>
          <w:color w:val="000000"/>
          <w:szCs w:val="21"/>
          <w:highlight w:val="none"/>
          <w:lang w:eastAsia="zh-CN"/>
        </w:rPr>
        <w:t>（</w:t>
      </w:r>
      <w:r>
        <w:rPr>
          <w:rFonts w:hint="eastAsia" w:ascii="宋体" w:hAnsi="宋体" w:cs="宋体"/>
          <w:b/>
          <w:color w:val="000000"/>
          <w:szCs w:val="21"/>
          <w:highlight w:val="none"/>
          <w:lang w:val="en-US" w:eastAsia="zh-CN"/>
        </w:rPr>
        <w:t>即投标下浮率数值最大）</w:t>
      </w:r>
      <w:r>
        <w:rPr>
          <w:rFonts w:hint="eastAsia" w:ascii="宋体" w:hAnsi="宋体" w:cs="宋体"/>
          <w:b/>
          <w:color w:val="000000"/>
          <w:szCs w:val="21"/>
          <w:highlight w:val="none"/>
        </w:rPr>
        <w:t>的为第一中标候选人，次低</w:t>
      </w:r>
      <w:r>
        <w:rPr>
          <w:rFonts w:hint="eastAsia" w:ascii="宋体" w:hAnsi="宋体" w:cs="宋体"/>
          <w:b/>
          <w:color w:val="000000"/>
          <w:szCs w:val="21"/>
          <w:highlight w:val="none"/>
          <w:lang w:eastAsia="zh-CN"/>
        </w:rPr>
        <w:t>（</w:t>
      </w:r>
      <w:r>
        <w:rPr>
          <w:rFonts w:hint="eastAsia" w:ascii="宋体" w:hAnsi="宋体" w:cs="宋体"/>
          <w:b/>
          <w:color w:val="000000"/>
          <w:szCs w:val="21"/>
          <w:highlight w:val="none"/>
          <w:lang w:val="en-US" w:eastAsia="zh-CN"/>
        </w:rPr>
        <w:t>即投标下浮率数值次大）</w:t>
      </w:r>
      <w:r>
        <w:rPr>
          <w:rFonts w:hint="eastAsia" w:ascii="宋体" w:hAnsi="宋体" w:cs="宋体"/>
          <w:b/>
          <w:color w:val="000000"/>
          <w:szCs w:val="21"/>
          <w:highlight w:val="none"/>
        </w:rPr>
        <w:t>的为第二中标候选人，以此类推，推荐中标候选人</w:t>
      </w:r>
      <w:r>
        <w:rPr>
          <w:rFonts w:hint="eastAsia" w:ascii="宋体" w:hAnsi="宋体" w:cs="宋体"/>
          <w:b/>
          <w:color w:val="000000"/>
          <w:szCs w:val="21"/>
          <w:highlight w:val="none"/>
          <w:lang w:val="en-US" w:eastAsia="zh-CN"/>
        </w:rPr>
        <w:t>3</w:t>
      </w:r>
      <w:r>
        <w:rPr>
          <w:rFonts w:hint="eastAsia" w:ascii="宋体" w:hAnsi="宋体" w:cs="宋体"/>
          <w:b/>
          <w:color w:val="000000"/>
          <w:szCs w:val="21"/>
          <w:highlight w:val="none"/>
        </w:rPr>
        <w:t>名，并标明排序，但投标报价低于其成本的除外。投标报价最低</w:t>
      </w:r>
      <w:r>
        <w:rPr>
          <w:rFonts w:hint="eastAsia" w:ascii="宋体" w:hAnsi="宋体" w:cs="宋体"/>
          <w:b/>
          <w:color w:val="000000"/>
          <w:szCs w:val="21"/>
          <w:highlight w:val="none"/>
          <w:lang w:eastAsia="zh-CN"/>
        </w:rPr>
        <w:t>（</w:t>
      </w:r>
      <w:r>
        <w:rPr>
          <w:rFonts w:hint="eastAsia" w:ascii="宋体" w:hAnsi="宋体" w:cs="宋体"/>
          <w:b/>
          <w:color w:val="000000"/>
          <w:szCs w:val="21"/>
          <w:highlight w:val="none"/>
          <w:lang w:val="en-US" w:eastAsia="zh-CN"/>
        </w:rPr>
        <w:t>即投标下浮率数值最大）</w:t>
      </w:r>
      <w:r>
        <w:rPr>
          <w:rFonts w:hint="eastAsia" w:ascii="宋体" w:hAnsi="宋体" w:cs="宋体"/>
          <w:b/>
          <w:color w:val="000000"/>
          <w:szCs w:val="21"/>
          <w:highlight w:val="none"/>
        </w:rPr>
        <w:t>的有效投标人有两名或两名以上相同时，由评标委员会主任委员或招标人抽签确定第一中标候选人。</w:t>
      </w:r>
    </w:p>
    <w:p w14:paraId="2DAB305A">
      <w:pPr>
        <w:adjustRightInd w:val="0"/>
        <w:snapToGrid w:val="0"/>
        <w:spacing w:line="560" w:lineRule="exact"/>
        <w:ind w:firstLine="420" w:firstLineChars="200"/>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（1）根据评标委员会评审初步</w:t>
      </w:r>
      <w:r>
        <w:rPr>
          <w:rFonts w:hint="eastAsia" w:ascii="宋体" w:hAnsi="宋体" w:cs="Times New Roman"/>
          <w:color w:val="000000"/>
          <w:szCs w:val="21"/>
          <w:highlight w:val="none"/>
          <w:lang w:val="en-US" w:eastAsia="zh-CN"/>
        </w:rPr>
        <w:t xml:space="preserve">  </w:t>
      </w:r>
      <w:r>
        <w:rPr>
          <w:rFonts w:hint="eastAsia" w:ascii="宋体" w:hAnsi="宋体" w:eastAsia="宋体" w:cs="Times New Roman"/>
          <w:color w:val="000000"/>
          <w:szCs w:val="21"/>
          <w:highlight w:val="none"/>
        </w:rPr>
        <w:t>结论，项目单位（代理机构）对预中标候选人、法定代表人及其项目经理（建造师）是否存在招标文件要求查询的失信行为进行网上核查后，提交网站截图等查询记录给评标委员会复核。若核查结果不符合招标文件规定的投标人资格条件信誉要求，由评标委员会取消其预中标候选人资格，并依次替补，再次对替补单位进行核查。如评标现场未发现问题但标后质疑（异议）、投诉发现中标候选人存在信誉问题，则组织评标委员会重新启动复核程序。核查结果不改变原评标基准价。</w:t>
      </w:r>
    </w:p>
    <w:p w14:paraId="3F12DD3B">
      <w:pPr>
        <w:pStyle w:val="7"/>
        <w:spacing w:beforeLines="50" w:afterLines="50"/>
        <w:ind w:firstLine="422" w:firstLineChars="200"/>
        <w:rPr>
          <w:rFonts w:hint="eastAsia" w:ascii="宋体" w:hAnsi="宋体" w:eastAsia="宋体" w:cs="宋体"/>
          <w:highlight w:val="none"/>
        </w:rPr>
      </w:pPr>
      <w:r>
        <w:rPr>
          <w:rFonts w:hint="eastAsia" w:ascii="宋体" w:hAnsi="宋体" w:eastAsia="宋体" w:cs="宋体"/>
          <w:highlight w:val="none"/>
        </w:rPr>
        <w:t>2.评标委员会的职责</w:t>
      </w:r>
      <w:bookmarkEnd w:id="790"/>
      <w:bookmarkEnd w:id="791"/>
      <w:bookmarkEnd w:id="792"/>
      <w:bookmarkEnd w:id="793"/>
      <w:bookmarkEnd w:id="794"/>
      <w:bookmarkEnd w:id="795"/>
      <w:bookmarkEnd w:id="796"/>
    </w:p>
    <w:p w14:paraId="2366AE8E">
      <w:pPr>
        <w:shd w:val="clear"/>
        <w:adjustRightInd w:val="0"/>
        <w:snapToGrid w:val="0"/>
        <w:spacing w:line="560" w:lineRule="exact"/>
        <w:ind w:firstLine="420" w:firstLineChars="200"/>
        <w:jc w:val="left"/>
        <w:rPr>
          <w:rFonts w:hint="eastAsia" w:ascii="宋体" w:hAnsi="宋体" w:eastAsia="宋体" w:cs="宋体"/>
          <w:color w:val="auto"/>
          <w:szCs w:val="21"/>
          <w:highlight w:val="none"/>
        </w:rPr>
      </w:pPr>
      <w:bookmarkStart w:id="805" w:name="_Toc324404874"/>
      <w:bookmarkStart w:id="806" w:name="_Toc35425115"/>
      <w:bookmarkStart w:id="807" w:name="_Toc506107326"/>
      <w:bookmarkStart w:id="808" w:name="_Toc15058915"/>
      <w:bookmarkStart w:id="809" w:name="_Toc35424949"/>
      <w:bookmarkStart w:id="810" w:name="_Toc17377"/>
      <w:bookmarkStart w:id="811" w:name="_Toc78803384"/>
      <w:r>
        <w:rPr>
          <w:rFonts w:hint="eastAsia" w:ascii="宋体" w:hAnsi="宋体" w:eastAsia="宋体" w:cs="宋体"/>
          <w:color w:val="auto"/>
          <w:szCs w:val="21"/>
          <w:highlight w:val="none"/>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3220F0DC">
      <w:pPr>
        <w:shd w:val="clear"/>
        <w:adjustRightInd w:val="0"/>
        <w:snapToGrid w:val="0"/>
        <w:spacing w:line="56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应加强对报价合理性审查。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14:paraId="2EE942C7">
      <w:pPr>
        <w:pStyle w:val="7"/>
        <w:spacing w:beforeLines="50" w:afterLines="50"/>
        <w:ind w:firstLine="422" w:firstLineChars="200"/>
        <w:rPr>
          <w:rFonts w:ascii="宋体" w:hAnsi="宋体" w:eastAsia="宋体" w:cs="宋体"/>
          <w:highlight w:val="none"/>
        </w:rPr>
      </w:pPr>
      <w:r>
        <w:rPr>
          <w:rFonts w:hint="eastAsia" w:ascii="宋体" w:hAnsi="宋体" w:eastAsia="宋体" w:cs="宋体"/>
          <w:highlight w:val="none"/>
        </w:rPr>
        <w:t>3.评标程序</w:t>
      </w:r>
      <w:bookmarkEnd w:id="805"/>
      <w:bookmarkEnd w:id="806"/>
      <w:bookmarkEnd w:id="807"/>
      <w:bookmarkEnd w:id="808"/>
      <w:bookmarkEnd w:id="809"/>
      <w:bookmarkEnd w:id="810"/>
      <w:bookmarkEnd w:id="811"/>
    </w:p>
    <w:p w14:paraId="6091849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评标先做准备工作，先进行资信评审，然后进行商务标评审。</w:t>
      </w:r>
    </w:p>
    <w:p w14:paraId="6E980930">
      <w:pPr>
        <w:pStyle w:val="7"/>
        <w:ind w:firstLine="422" w:firstLineChars="200"/>
        <w:rPr>
          <w:rFonts w:ascii="宋体" w:hAnsi="宋体" w:eastAsia="宋体" w:cs="宋体"/>
          <w:highlight w:val="none"/>
        </w:rPr>
      </w:pPr>
      <w:bookmarkStart w:id="812" w:name="_Toc35424950"/>
      <w:bookmarkStart w:id="813" w:name="_Toc27389"/>
      <w:bookmarkStart w:id="814" w:name="_Toc35425116"/>
      <w:bookmarkStart w:id="815" w:name="_Toc15058916"/>
      <w:bookmarkStart w:id="816" w:name="_Toc78803385"/>
      <w:r>
        <w:rPr>
          <w:rFonts w:hint="eastAsia" w:ascii="宋体" w:hAnsi="宋体" w:eastAsia="宋体" w:cs="宋体"/>
          <w:highlight w:val="none"/>
        </w:rPr>
        <w:t>3.1评标准备工作</w:t>
      </w:r>
      <w:bookmarkEnd w:id="812"/>
      <w:bookmarkEnd w:id="813"/>
      <w:bookmarkEnd w:id="814"/>
      <w:bookmarkEnd w:id="815"/>
      <w:bookmarkEnd w:id="816"/>
    </w:p>
    <w:p w14:paraId="12DD11E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评标委员会熟悉评标工作情况：</w:t>
      </w:r>
    </w:p>
    <w:p w14:paraId="61A7679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（1）阅读由招标人或者其委托的工程代理机构编制的招标项目情况材料。</w:t>
      </w:r>
    </w:p>
    <w:p w14:paraId="3327388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（2）阅读、研究招标文件和相关评标资料，获取评标所需要的重要信息和数据，至少应了解和熟悉以下内容：招标项目的范围和性质，招标文件规定的主要技术要求、标准和商务条款。</w:t>
      </w:r>
    </w:p>
    <w:p w14:paraId="3514C36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（3）熟悉招标文件规定的评标标准和评标方法及在评标过程中需要考虑的相关因素。</w:t>
      </w:r>
    </w:p>
    <w:p w14:paraId="0377C0C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（4）核对评标工作用表。</w:t>
      </w:r>
    </w:p>
    <w:p w14:paraId="6912EA5D">
      <w:pPr>
        <w:pStyle w:val="7"/>
        <w:ind w:firstLine="422" w:firstLineChars="200"/>
        <w:rPr>
          <w:rFonts w:ascii="宋体" w:hAnsi="宋体" w:eastAsia="宋体" w:cs="宋体"/>
          <w:highlight w:val="none"/>
        </w:rPr>
      </w:pPr>
      <w:bookmarkStart w:id="817" w:name="_Toc17468"/>
      <w:bookmarkStart w:id="818" w:name="_Toc78803387"/>
      <w:bookmarkStart w:id="819" w:name="_Toc35424952"/>
      <w:bookmarkStart w:id="820" w:name="_Toc35425118"/>
      <w:bookmarkStart w:id="821" w:name="_Toc11990"/>
      <w:bookmarkStart w:id="822" w:name="_Toc15058918"/>
      <w:bookmarkStart w:id="823" w:name="_Toc15058919"/>
      <w:bookmarkStart w:id="824" w:name="_Toc12200"/>
      <w:bookmarkStart w:id="825" w:name="_Toc506107327"/>
      <w:bookmarkStart w:id="826" w:name="_Toc35425120"/>
      <w:bookmarkStart w:id="827" w:name="_Toc324404875"/>
      <w:bookmarkStart w:id="828" w:name="_Toc35424954"/>
      <w:r>
        <w:rPr>
          <w:rFonts w:hint="eastAsia" w:ascii="宋体" w:hAnsi="宋体" w:eastAsia="宋体" w:cs="宋体"/>
          <w:highlight w:val="none"/>
        </w:rPr>
        <w:t>3.</w:t>
      </w:r>
      <w:r>
        <w:rPr>
          <w:rFonts w:hint="eastAsia" w:ascii="宋体" w:hAnsi="宋体" w:eastAsia="宋体" w:cs="宋体"/>
          <w:highlight w:val="none"/>
          <w:lang w:val="en-US" w:eastAsia="zh-CN"/>
        </w:rPr>
        <w:t>2</w:t>
      </w:r>
      <w:r>
        <w:rPr>
          <w:rFonts w:hint="eastAsia" w:ascii="宋体" w:hAnsi="宋体" w:eastAsia="宋体" w:cs="宋体"/>
          <w:highlight w:val="none"/>
        </w:rPr>
        <w:t>商务标评审</w:t>
      </w:r>
      <w:bookmarkEnd w:id="817"/>
      <w:bookmarkEnd w:id="818"/>
      <w:bookmarkEnd w:id="819"/>
      <w:bookmarkEnd w:id="820"/>
      <w:bookmarkEnd w:id="821"/>
      <w:bookmarkEnd w:id="822"/>
    </w:p>
    <w:p w14:paraId="686CA6CF">
      <w:pPr>
        <w:spacing w:line="440" w:lineRule="exact"/>
        <w:ind w:firstLine="420" w:firstLineChars="200"/>
        <w:rPr>
          <w:rFonts w:ascii="宋体" w:hAnsi="宋体" w:cs="宋体"/>
          <w:szCs w:val="21"/>
          <w:highlight w:val="none"/>
        </w:rPr>
      </w:pPr>
      <w:r>
        <w:rPr>
          <w:rFonts w:hint="eastAsia" w:ascii="宋体" w:hAnsi="宋体" w:cs="宋体"/>
          <w:szCs w:val="21"/>
          <w:highlight w:val="none"/>
        </w:rPr>
        <w:t>详见商务标评审表。</w:t>
      </w:r>
    </w:p>
    <w:p w14:paraId="56AFC15C">
      <w:pPr>
        <w:spacing w:line="440" w:lineRule="exact"/>
        <w:ind w:firstLine="422" w:firstLineChars="200"/>
        <w:rPr>
          <w:rFonts w:ascii="宋体" w:hAnsi="宋体" w:cs="宋体"/>
          <w:color w:val="auto"/>
          <w:szCs w:val="21"/>
          <w:highlight w:val="none"/>
        </w:rPr>
      </w:pPr>
      <w:bookmarkStart w:id="829" w:name="_Toc78803388"/>
      <w:bookmarkStart w:id="830" w:name="_Toc18087"/>
      <w:bookmarkStart w:id="831" w:name="_Toc35424953"/>
      <w:bookmarkStart w:id="832" w:name="_Toc26895"/>
      <w:bookmarkStart w:id="833" w:name="_Toc35425119"/>
      <w:r>
        <w:rPr>
          <w:rStyle w:val="197"/>
          <w:rFonts w:hint="eastAsia" w:ascii="宋体" w:hAnsi="宋体" w:eastAsia="宋体" w:cs="宋体"/>
          <w:highlight w:val="none"/>
        </w:rPr>
        <w:t>3.</w:t>
      </w:r>
      <w:r>
        <w:rPr>
          <w:rStyle w:val="197"/>
          <w:rFonts w:hint="eastAsia" w:ascii="宋体" w:hAnsi="宋体" w:cs="宋体"/>
          <w:highlight w:val="none"/>
          <w:lang w:val="en-US"/>
        </w:rPr>
        <w:t>3</w:t>
      </w:r>
      <w:r>
        <w:rPr>
          <w:rStyle w:val="197"/>
          <w:rFonts w:hint="eastAsia" w:ascii="宋体" w:hAnsi="宋体" w:eastAsia="宋体" w:cs="宋体"/>
          <w:highlight w:val="none"/>
        </w:rPr>
        <w:t>推荐中标候选人</w:t>
      </w:r>
      <w:bookmarkEnd w:id="829"/>
      <w:bookmarkEnd w:id="830"/>
      <w:bookmarkEnd w:id="831"/>
      <w:bookmarkEnd w:id="832"/>
      <w:bookmarkEnd w:id="833"/>
      <w:r>
        <w:rPr>
          <w:rFonts w:hint="eastAsia" w:ascii="宋体" w:hAnsi="宋体" w:cs="宋体"/>
          <w:b/>
          <w:bCs/>
          <w:highlight w:val="none"/>
        </w:rPr>
        <w:t>：</w:t>
      </w:r>
      <w:r>
        <w:rPr>
          <w:rFonts w:hint="eastAsia" w:ascii="宋体" w:hAnsi="宋体" w:cs="宋体"/>
          <w:highlight w:val="none"/>
        </w:rPr>
        <w:t>资信评审、商务标</w:t>
      </w:r>
      <w:r>
        <w:rPr>
          <w:rFonts w:hint="eastAsia" w:ascii="宋体" w:hAnsi="宋体" w:cs="宋体"/>
          <w:color w:val="auto"/>
          <w:highlight w:val="none"/>
        </w:rPr>
        <w:t>评审后，推荐</w:t>
      </w:r>
      <w:r>
        <w:rPr>
          <w:rFonts w:hint="eastAsia" w:ascii="宋体" w:hAnsi="宋体" w:cs="宋体"/>
          <w:color w:val="auto"/>
          <w:highlight w:val="none"/>
          <w:u w:val="single"/>
          <w:lang w:val="en-US" w:eastAsia="zh-CN"/>
        </w:rPr>
        <w:t>3</w:t>
      </w:r>
      <w:r>
        <w:rPr>
          <w:rFonts w:hint="eastAsia" w:ascii="宋体" w:hAnsi="宋体" w:cs="宋体"/>
          <w:color w:val="auto"/>
          <w:highlight w:val="none"/>
          <w:u w:val="single"/>
        </w:rPr>
        <w:t xml:space="preserve"> </w:t>
      </w:r>
      <w:r>
        <w:rPr>
          <w:rFonts w:hint="eastAsia" w:ascii="宋体" w:hAnsi="宋体" w:cs="宋体"/>
          <w:color w:val="auto"/>
          <w:highlight w:val="none"/>
        </w:rPr>
        <w:t>名中标候选人。</w:t>
      </w:r>
    </w:p>
    <w:p w14:paraId="3113A55A">
      <w:pPr>
        <w:pStyle w:val="7"/>
        <w:spacing w:beforeLines="50" w:afterLines="50"/>
        <w:ind w:firstLine="422" w:firstLineChars="200"/>
        <w:rPr>
          <w:rFonts w:ascii="宋体" w:hAnsi="宋体" w:eastAsia="宋体" w:cs="宋体"/>
          <w:highlight w:val="none"/>
        </w:rPr>
      </w:pPr>
      <w:bookmarkStart w:id="834" w:name="_Toc78803389"/>
      <w:r>
        <w:rPr>
          <w:rFonts w:hint="eastAsia" w:ascii="宋体" w:hAnsi="宋体" w:eastAsia="宋体" w:cs="宋体"/>
          <w:highlight w:val="none"/>
        </w:rPr>
        <w:t>4.评审内容</w:t>
      </w:r>
      <w:bookmarkEnd w:id="823"/>
      <w:bookmarkEnd w:id="824"/>
      <w:bookmarkEnd w:id="825"/>
      <w:bookmarkEnd w:id="826"/>
      <w:bookmarkEnd w:id="827"/>
      <w:bookmarkEnd w:id="828"/>
      <w:bookmarkEnd w:id="834"/>
    </w:p>
    <w:p w14:paraId="0F1392E9">
      <w:pPr>
        <w:pStyle w:val="7"/>
        <w:ind w:firstLine="422" w:firstLineChars="200"/>
        <w:rPr>
          <w:rFonts w:ascii="宋体" w:hAnsi="宋体" w:eastAsia="宋体" w:cs="宋体"/>
          <w:highlight w:val="none"/>
        </w:rPr>
      </w:pPr>
      <w:bookmarkStart w:id="835" w:name="_Toc9630"/>
      <w:bookmarkStart w:id="836" w:name="_Toc78803390"/>
      <w:r>
        <w:rPr>
          <w:rFonts w:hint="eastAsia" w:ascii="宋体" w:hAnsi="宋体" w:eastAsia="宋体" w:cs="宋体"/>
          <w:highlight w:val="none"/>
        </w:rPr>
        <w:t>4.1</w:t>
      </w:r>
      <w:bookmarkEnd w:id="835"/>
      <w:bookmarkEnd w:id="836"/>
      <w:bookmarkStart w:id="837" w:name="_Toc35425122"/>
      <w:bookmarkStart w:id="838" w:name="_Toc78803391"/>
      <w:bookmarkStart w:id="839" w:name="_Toc35424956"/>
      <w:bookmarkStart w:id="840" w:name="_Toc15058921"/>
      <w:bookmarkStart w:id="841" w:name="_Toc3531"/>
      <w:bookmarkStart w:id="842" w:name="_Toc324404876"/>
      <w:r>
        <w:rPr>
          <w:rFonts w:hint="eastAsia" w:ascii="宋体" w:hAnsi="宋体" w:eastAsia="宋体" w:cs="宋体"/>
          <w:highlight w:val="none"/>
        </w:rPr>
        <w:t>商务标评审</w:t>
      </w:r>
      <w:bookmarkEnd w:id="837"/>
      <w:bookmarkEnd w:id="838"/>
      <w:bookmarkEnd w:id="839"/>
      <w:bookmarkEnd w:id="840"/>
      <w:bookmarkEnd w:id="841"/>
    </w:p>
    <w:p w14:paraId="7908D5C2">
      <w:pPr>
        <w:spacing w:line="440" w:lineRule="exact"/>
        <w:ind w:firstLine="420" w:firstLineChars="200"/>
        <w:jc w:val="left"/>
        <w:rPr>
          <w:rFonts w:ascii="宋体" w:hAnsi="宋体" w:cs="宋体"/>
          <w:highlight w:val="none"/>
        </w:rPr>
      </w:pPr>
      <w:r>
        <w:rPr>
          <w:rFonts w:hint="eastAsia" w:ascii="宋体" w:hAnsi="宋体" w:cs="宋体"/>
          <w:highlight w:val="none"/>
        </w:rPr>
        <w:t>4.1.1形式性评审标准：见商务标评审表。</w:t>
      </w:r>
    </w:p>
    <w:p w14:paraId="5FDB8153">
      <w:pPr>
        <w:spacing w:line="440" w:lineRule="exact"/>
        <w:ind w:firstLine="420" w:firstLineChars="200"/>
        <w:jc w:val="left"/>
        <w:rPr>
          <w:rFonts w:ascii="宋体" w:hAnsi="宋体" w:cs="宋体"/>
          <w:highlight w:val="none"/>
        </w:rPr>
      </w:pPr>
      <w:r>
        <w:rPr>
          <w:rFonts w:hint="eastAsia" w:ascii="宋体" w:hAnsi="宋体" w:cs="宋体"/>
          <w:highlight w:val="none"/>
        </w:rPr>
        <w:t>4.1.2响应性评审标准：见商务标评审表。</w:t>
      </w:r>
    </w:p>
    <w:p w14:paraId="5104F405">
      <w:pPr>
        <w:spacing w:line="440" w:lineRule="exact"/>
        <w:ind w:firstLine="420" w:firstLineChars="200"/>
        <w:jc w:val="left"/>
        <w:rPr>
          <w:rFonts w:ascii="宋体" w:hAnsi="宋体" w:cs="宋体"/>
          <w:highlight w:val="none"/>
        </w:rPr>
      </w:pPr>
      <w:r>
        <w:rPr>
          <w:rFonts w:hint="eastAsia" w:ascii="宋体" w:hAnsi="宋体" w:cs="宋体"/>
          <w:highlight w:val="none"/>
        </w:rPr>
        <w:t>评标委员会依据上述标准对投标文件进行初步评审。有一项不符合评审标准的，作无效投标处理。</w:t>
      </w:r>
    </w:p>
    <w:p w14:paraId="407A1839">
      <w:pPr>
        <w:adjustRightInd w:val="0"/>
        <w:snapToGrid w:val="0"/>
        <w:spacing w:line="560" w:lineRule="exact"/>
        <w:ind w:firstLine="420" w:firstLineChars="200"/>
        <w:rPr>
          <w:rFonts w:hint="eastAsia" w:ascii="宋体" w:hAnsi="宋体" w:cs="宋体"/>
          <w:color w:val="000000"/>
          <w:szCs w:val="21"/>
          <w:highlight w:val="none"/>
        </w:rPr>
      </w:pPr>
      <w:bookmarkStart w:id="843" w:name="_Toc15058922"/>
      <w:bookmarkStart w:id="844" w:name="_Toc35425123"/>
      <w:bookmarkStart w:id="845" w:name="_Toc506107328"/>
      <w:bookmarkStart w:id="846" w:name="_Toc13125"/>
      <w:bookmarkStart w:id="847" w:name="_Toc78803392"/>
      <w:bookmarkStart w:id="848" w:name="_Toc35424957"/>
      <w:r>
        <w:rPr>
          <w:rFonts w:hint="eastAsia" w:ascii="宋体" w:hAnsi="宋体" w:cs="宋体"/>
          <w:color w:val="000000"/>
          <w:szCs w:val="21"/>
          <w:highlight w:val="none"/>
        </w:rPr>
        <w:t>4.2.3详细评审标准：见商务标评审表。</w:t>
      </w:r>
    </w:p>
    <w:p w14:paraId="5D984954">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4.2.4评标委员会按以下原则对投标报价进行修正。</w:t>
      </w:r>
    </w:p>
    <w:p w14:paraId="3588E17A">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（1）投标文件中的大写金额与小写金额不一致的，以大写金额为准。</w:t>
      </w:r>
    </w:p>
    <w:p w14:paraId="48583295">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（2）总价金额与依据单价计算出的结果不一致的，以单价金额为准修正总价，但单价金额小数点有明显错误的除外。</w:t>
      </w:r>
    </w:p>
    <w:p w14:paraId="66441996">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按上述修正错误的原则及方法调整或修正投标文件的投标报价</w:t>
      </w:r>
      <w:r>
        <w:rPr>
          <w:rFonts w:hint="eastAsia" w:ascii="宋体" w:hAnsi="宋体" w:cs="宋体"/>
          <w:highlight w:val="none"/>
          <w:lang w:eastAsia="zh-CN"/>
        </w:rPr>
        <w:t>（</w:t>
      </w:r>
      <w:r>
        <w:rPr>
          <w:rFonts w:hint="eastAsia" w:ascii="宋体" w:hAnsi="宋体" w:cs="宋体"/>
          <w:highlight w:val="none"/>
          <w:lang w:val="en-US" w:eastAsia="zh-CN"/>
        </w:rPr>
        <w:t>下浮率）</w:t>
      </w:r>
      <w:r>
        <w:rPr>
          <w:rFonts w:hint="eastAsia" w:ascii="宋体" w:hAnsi="宋体" w:eastAsia="宋体" w:cs="宋体"/>
          <w:highlight w:val="none"/>
        </w:rPr>
        <w:t>，调整或修正的价格</w:t>
      </w:r>
      <w:r>
        <w:rPr>
          <w:rFonts w:hint="eastAsia" w:ascii="宋体" w:hAnsi="宋体" w:cs="宋体"/>
          <w:highlight w:val="none"/>
          <w:lang w:eastAsia="zh-CN"/>
        </w:rPr>
        <w:t>（</w:t>
      </w:r>
      <w:r>
        <w:rPr>
          <w:rFonts w:hint="eastAsia" w:ascii="宋体" w:hAnsi="宋体" w:cs="宋体"/>
          <w:highlight w:val="none"/>
          <w:lang w:val="en-US" w:eastAsia="zh-CN"/>
        </w:rPr>
        <w:t>下浮率）</w:t>
      </w:r>
      <w:r>
        <w:rPr>
          <w:rFonts w:hint="eastAsia" w:ascii="宋体" w:hAnsi="宋体" w:eastAsia="宋体" w:cs="宋体"/>
          <w:highlight w:val="none"/>
        </w:rPr>
        <w:t>经投标人书面确认后具有约束力。中标价</w:t>
      </w:r>
      <w:r>
        <w:rPr>
          <w:rFonts w:hint="eastAsia" w:ascii="宋体" w:hAnsi="宋体" w:cs="宋体"/>
          <w:highlight w:val="none"/>
          <w:lang w:eastAsia="zh-CN"/>
        </w:rPr>
        <w:t>（</w:t>
      </w:r>
      <w:r>
        <w:rPr>
          <w:rFonts w:hint="eastAsia" w:ascii="宋体" w:hAnsi="宋体" w:cs="宋体"/>
          <w:highlight w:val="none"/>
          <w:lang w:val="en-US" w:eastAsia="zh-CN"/>
        </w:rPr>
        <w:t>下浮率）</w:t>
      </w:r>
      <w:r>
        <w:rPr>
          <w:rFonts w:hint="eastAsia" w:ascii="宋体" w:hAnsi="宋体" w:eastAsia="宋体" w:cs="宋体"/>
          <w:highlight w:val="none"/>
        </w:rPr>
        <w:t>原则上以调整或修正后的</w:t>
      </w:r>
      <w:r>
        <w:rPr>
          <w:rFonts w:hint="eastAsia" w:ascii="宋体" w:hAnsi="宋体" w:cs="宋体"/>
          <w:highlight w:val="none"/>
          <w:lang w:val="en-US" w:eastAsia="zh-CN"/>
        </w:rPr>
        <w:t>下浮率</w:t>
      </w:r>
      <w:r>
        <w:rPr>
          <w:rFonts w:hint="eastAsia" w:ascii="宋体" w:hAnsi="宋体" w:eastAsia="宋体" w:cs="宋体"/>
          <w:highlight w:val="none"/>
        </w:rPr>
        <w:t>为准，调整或修正后的价格与投标报价相比，价格低</w:t>
      </w:r>
      <w:r>
        <w:rPr>
          <w:rFonts w:hint="eastAsia" w:ascii="宋体" w:hAnsi="宋体" w:cs="宋体"/>
          <w:highlight w:val="none"/>
          <w:lang w:eastAsia="zh-CN"/>
        </w:rPr>
        <w:t>（</w:t>
      </w:r>
      <w:r>
        <w:rPr>
          <w:rFonts w:hint="eastAsia" w:ascii="宋体" w:hAnsi="宋体" w:cs="宋体"/>
          <w:b/>
          <w:color w:val="000000"/>
          <w:szCs w:val="21"/>
          <w:highlight w:val="none"/>
          <w:lang w:val="en-US" w:eastAsia="zh-CN"/>
        </w:rPr>
        <w:t>即投标下浮率数值大</w:t>
      </w:r>
      <w:r>
        <w:rPr>
          <w:rFonts w:hint="eastAsia" w:ascii="宋体" w:hAnsi="宋体" w:cs="宋体"/>
          <w:highlight w:val="none"/>
          <w:lang w:val="en-US" w:eastAsia="zh-CN"/>
        </w:rPr>
        <w:t>）</w:t>
      </w:r>
      <w:r>
        <w:rPr>
          <w:rFonts w:hint="eastAsia" w:ascii="宋体" w:hAnsi="宋体" w:eastAsia="宋体" w:cs="宋体"/>
          <w:highlight w:val="none"/>
        </w:rPr>
        <w:t>的为中标价。投标人不接受的，其投标将被拒绝。</w:t>
      </w:r>
    </w:p>
    <w:p w14:paraId="0D8AA3CD">
      <w:pPr>
        <w:pStyle w:val="7"/>
        <w:spacing w:beforeLines="50" w:afterLines="50"/>
        <w:ind w:firstLine="422" w:firstLineChars="200"/>
        <w:rPr>
          <w:rFonts w:hint="eastAsia" w:ascii="宋体" w:hAnsi="宋体" w:eastAsia="宋体" w:cs="宋体"/>
          <w:highlight w:val="none"/>
        </w:rPr>
      </w:pPr>
      <w:r>
        <w:rPr>
          <w:rFonts w:hint="eastAsia" w:ascii="宋体" w:hAnsi="宋体" w:eastAsia="宋体" w:cs="宋体"/>
          <w:highlight w:val="none"/>
        </w:rPr>
        <w:t>5.无效投标条款</w:t>
      </w:r>
      <w:bookmarkEnd w:id="842"/>
      <w:bookmarkEnd w:id="843"/>
      <w:bookmarkEnd w:id="844"/>
      <w:bookmarkEnd w:id="845"/>
      <w:bookmarkEnd w:id="846"/>
      <w:bookmarkEnd w:id="847"/>
      <w:bookmarkEnd w:id="848"/>
    </w:p>
    <w:p w14:paraId="3E3E65E8">
      <w:pPr>
        <w:spacing w:line="440" w:lineRule="exact"/>
        <w:ind w:firstLine="420" w:firstLineChars="200"/>
        <w:jc w:val="left"/>
        <w:rPr>
          <w:rFonts w:hint="eastAsia" w:ascii="宋体" w:hAnsi="宋体" w:eastAsia="宋体" w:cs="宋体"/>
          <w:highlight w:val="none"/>
        </w:rPr>
      </w:pPr>
      <w:bookmarkStart w:id="849" w:name="_Toc506107329"/>
      <w:bookmarkStart w:id="850" w:name="_Toc78803393"/>
      <w:bookmarkStart w:id="851" w:name="_Toc35425124"/>
      <w:bookmarkStart w:id="852" w:name="_Toc27846"/>
      <w:bookmarkStart w:id="853" w:name="_Toc324404877"/>
      <w:bookmarkStart w:id="854" w:name="_Toc15058923"/>
      <w:bookmarkStart w:id="855" w:name="_Toc35424958"/>
      <w:r>
        <w:rPr>
          <w:rFonts w:hint="eastAsia" w:ascii="宋体" w:hAnsi="宋体" w:eastAsia="宋体" w:cs="宋体"/>
          <w:highlight w:val="none"/>
        </w:rPr>
        <w:t>5.1投标人存在下列情形的招标人将拒收投标文件：</w:t>
      </w:r>
    </w:p>
    <w:p w14:paraId="465E634E">
      <w:pPr>
        <w:spacing w:line="440" w:lineRule="exact"/>
        <w:ind w:firstLine="315" w:firstLineChars="150"/>
        <w:jc w:val="left"/>
        <w:rPr>
          <w:rFonts w:ascii="宋体" w:hAnsi="宋体" w:cs="宋体"/>
          <w:color w:val="auto"/>
          <w:highlight w:val="none"/>
        </w:rPr>
      </w:pPr>
      <w:r>
        <w:rPr>
          <w:rFonts w:hint="eastAsia" w:ascii="宋体" w:hAnsi="宋体" w:cs="宋体"/>
          <w:color w:val="auto"/>
          <w:highlight w:val="none"/>
        </w:rPr>
        <w:t>（1）未在投标截止时间前通过电子邮箱递交有效电子投标文件的，投标将被拒绝。</w:t>
      </w:r>
    </w:p>
    <w:p w14:paraId="1B53F403">
      <w:pPr>
        <w:spacing w:line="440" w:lineRule="exact"/>
        <w:ind w:firstLine="315" w:firstLineChars="150"/>
        <w:jc w:val="left"/>
        <w:rPr>
          <w:rFonts w:ascii="宋体" w:hAnsi="宋体" w:cs="宋体"/>
          <w:color w:val="auto"/>
          <w:highlight w:val="none"/>
        </w:rPr>
      </w:pPr>
      <w:r>
        <w:rPr>
          <w:rFonts w:hint="eastAsia" w:ascii="宋体" w:hAnsi="宋体" w:cs="宋体"/>
          <w:color w:val="auto"/>
          <w:highlight w:val="none"/>
        </w:rPr>
        <w:t>（2）在提交投标文件截止时间后送达的投标文件将被拒绝，投标文件送达时间以滁州市城投工程咨询管理有限公司邮箱显示的邮件送达时间为准。</w:t>
      </w:r>
    </w:p>
    <w:p w14:paraId="61E1FF6B">
      <w:pPr>
        <w:spacing w:line="440" w:lineRule="exact"/>
        <w:ind w:firstLine="315" w:firstLineChars="150"/>
        <w:jc w:val="left"/>
        <w:rPr>
          <w:rFonts w:ascii="宋体" w:hAnsi="宋体" w:cs="宋体"/>
          <w:color w:val="auto"/>
          <w:highlight w:val="none"/>
        </w:rPr>
      </w:pPr>
      <w:r>
        <w:rPr>
          <w:rFonts w:hint="eastAsia" w:ascii="宋体" w:hAnsi="宋体" w:cs="宋体"/>
          <w:color w:val="auto"/>
          <w:highlight w:val="none"/>
        </w:rPr>
        <w:t>（3）未在规定时间内发送密码或发送的密码无法正确打开投标文件的，投标文件将被拒绝。</w:t>
      </w:r>
    </w:p>
    <w:p w14:paraId="19B71362">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5.2投标人有下列情形的，经评审后其投标作无效投标处理：</w:t>
      </w:r>
    </w:p>
    <w:p w14:paraId="14839BB2">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5.2.</w:t>
      </w:r>
      <w:r>
        <w:rPr>
          <w:rFonts w:hint="eastAsia" w:ascii="宋体" w:hAnsi="宋体" w:eastAsia="宋体" w:cs="宋体"/>
          <w:highlight w:val="none"/>
          <w:lang w:val="en-US" w:eastAsia="zh-CN"/>
        </w:rPr>
        <w:t>1</w:t>
      </w:r>
      <w:r>
        <w:rPr>
          <w:rFonts w:hint="eastAsia" w:ascii="宋体" w:hAnsi="宋体" w:eastAsia="宋体" w:cs="宋体"/>
          <w:highlight w:val="none"/>
        </w:rPr>
        <w:t>商务标评审</w:t>
      </w:r>
    </w:p>
    <w:p w14:paraId="2A080AD7">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(1)评标委员会依据《商务标评审表》进行形式性评审和响应性评审。有一项不符合评审标准的，做无效投标处理；</w:t>
      </w:r>
    </w:p>
    <w:p w14:paraId="5769FB6D">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（2）商务标详细评审标准中有任何一项不能通过评审的，作无效投标处理。</w:t>
      </w:r>
    </w:p>
    <w:p w14:paraId="11B68C29">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5.3其他无效投标情况：</w:t>
      </w:r>
    </w:p>
    <w:p w14:paraId="5D501451">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214A4A89">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（2）按第四章“评标方法”第4.2.4项修正错误的原则及方法调整或修正投标文件的投标报价，调整或修正的价格经投标人书面确认后具有约束力。投标人不接受修正价格的，其投标将被拒绝。</w:t>
      </w:r>
    </w:p>
    <w:p w14:paraId="7C1D2B26">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（3）第二章“投标人须知”第1.4.3项规定的任何一种情形的。</w:t>
      </w:r>
    </w:p>
    <w:p w14:paraId="48DD6505">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（4）投标人有串通投标、视为串通投标、弄虚作假、行贿等违法行为。</w:t>
      </w:r>
    </w:p>
    <w:p w14:paraId="7AE90BB0">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（5）投标文件没有对招标文件的实质性要求和条件作出响应。</w:t>
      </w:r>
    </w:p>
    <w:p w14:paraId="08A90169">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（6）未按规定的格式填写导致实质性内容不全以及实质上不响应，或者关键字迹模糊、无法辨认。</w:t>
      </w:r>
    </w:p>
    <w:p w14:paraId="00808C1E">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（7）同一投标人提交两个以上不同的投标文件或者投标报价</w:t>
      </w:r>
      <w:r>
        <w:rPr>
          <w:rFonts w:hint="eastAsia" w:ascii="宋体" w:hAnsi="宋体" w:cs="宋体"/>
          <w:highlight w:val="none"/>
          <w:lang w:eastAsia="zh-CN"/>
        </w:rPr>
        <w:t>（</w:t>
      </w:r>
      <w:r>
        <w:rPr>
          <w:rFonts w:hint="eastAsia" w:ascii="宋体" w:hAnsi="宋体" w:cs="宋体"/>
          <w:highlight w:val="none"/>
          <w:lang w:val="en-US" w:eastAsia="zh-CN"/>
        </w:rPr>
        <w:t>下浮率）</w:t>
      </w:r>
      <w:r>
        <w:rPr>
          <w:rFonts w:hint="eastAsia" w:ascii="宋体" w:hAnsi="宋体" w:eastAsia="宋体" w:cs="宋体"/>
          <w:highlight w:val="none"/>
        </w:rPr>
        <w:t>，但招标文件规定提交备选投标的除外。</w:t>
      </w:r>
    </w:p>
    <w:p w14:paraId="2533827A">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（8）投标文件中存在招标人不能接受的其他实质性条件。</w:t>
      </w:r>
    </w:p>
    <w:p w14:paraId="524D53D9">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（9）投标文件中填报的拟任项目经理（建造师）与资格审查通过的项目经理（建造师）前后不一致的。</w:t>
      </w:r>
    </w:p>
    <w:p w14:paraId="3D744B31">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（10）投标人拒不按照要求对投标文件进行澄清、说明、补正的，或评标委员会根据招标文件的规定对招标文件的计算错误进行修正后，投标人不接受修正的投标报价的。</w:t>
      </w:r>
    </w:p>
    <w:p w14:paraId="512E080E">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（1</w:t>
      </w:r>
      <w:r>
        <w:rPr>
          <w:rFonts w:hint="eastAsia" w:ascii="宋体" w:hAnsi="宋体" w:eastAsia="宋体" w:cs="宋体"/>
          <w:highlight w:val="none"/>
          <w:lang w:val="en-US" w:eastAsia="zh-CN"/>
        </w:rPr>
        <w:t>1</w:t>
      </w:r>
      <w:r>
        <w:rPr>
          <w:rFonts w:hint="eastAsia" w:ascii="宋体" w:hAnsi="宋体" w:eastAsia="宋体" w:cs="宋体"/>
          <w:highlight w:val="none"/>
        </w:rPr>
        <w:t>）投标人单方面出现其他投标人材料。</w:t>
      </w:r>
    </w:p>
    <w:p w14:paraId="47D8332E">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（1</w:t>
      </w:r>
      <w:r>
        <w:rPr>
          <w:rFonts w:hint="eastAsia" w:ascii="宋体" w:hAnsi="宋体" w:eastAsia="宋体" w:cs="宋体"/>
          <w:highlight w:val="none"/>
          <w:lang w:val="en-US" w:eastAsia="zh-CN"/>
        </w:rPr>
        <w:t>2</w:t>
      </w:r>
      <w:r>
        <w:rPr>
          <w:rFonts w:hint="eastAsia" w:ascii="宋体" w:hAnsi="宋体" w:eastAsia="宋体" w:cs="宋体"/>
          <w:highlight w:val="none"/>
        </w:rPr>
        <w:t>）投标人联系人或联系电话相同的。</w:t>
      </w:r>
    </w:p>
    <w:p w14:paraId="14639CA5">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w:t>
      </w:r>
      <w:r>
        <w:rPr>
          <w:rFonts w:hint="eastAsia" w:ascii="宋体" w:hAnsi="宋体" w:eastAsia="宋体" w:cs="宋体"/>
          <w:highlight w:val="none"/>
          <w:lang w:val="en-US" w:eastAsia="zh-CN"/>
        </w:rPr>
        <w:t>13</w:t>
      </w:r>
      <w:r>
        <w:rPr>
          <w:rFonts w:hint="eastAsia" w:ascii="宋体" w:hAnsi="宋体" w:eastAsia="宋体" w:cs="宋体"/>
          <w:highlight w:val="none"/>
        </w:rPr>
        <w:t>）法律、法规规定的其他情形。</w:t>
      </w:r>
    </w:p>
    <w:p w14:paraId="5A018EF6">
      <w:pPr>
        <w:pStyle w:val="7"/>
        <w:spacing w:beforeLines="50" w:afterLines="50"/>
        <w:ind w:firstLine="422" w:firstLineChars="200"/>
        <w:rPr>
          <w:rFonts w:hint="eastAsia" w:ascii="宋体" w:hAnsi="宋体" w:eastAsia="宋体" w:cs="宋体"/>
          <w:highlight w:val="none"/>
        </w:rPr>
      </w:pPr>
      <w:bookmarkStart w:id="856" w:name="_Toc95223409"/>
      <w:r>
        <w:rPr>
          <w:rFonts w:hint="eastAsia" w:ascii="宋体" w:hAnsi="宋体" w:eastAsia="宋体" w:cs="宋体"/>
          <w:highlight w:val="none"/>
        </w:rPr>
        <w:t>6.投标文件的澄清和补正</w:t>
      </w:r>
      <w:bookmarkEnd w:id="856"/>
    </w:p>
    <w:p w14:paraId="4C9D7324">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6.1在评标过程中，评标委员会可以书面形式要求投标</w:t>
      </w:r>
      <w:bookmarkStart w:id="857" w:name="_Toc60061506"/>
      <w:r>
        <w:rPr>
          <w:rFonts w:hint="eastAsia" w:ascii="宋体" w:hAnsi="宋体" w:eastAsia="宋体" w:cs="宋体"/>
          <w:highlight w:val="none"/>
        </w:rPr>
        <w:t>人对所提交的投标文件中含</w:t>
      </w:r>
      <w:bookmarkEnd w:id="857"/>
      <w:r>
        <w:rPr>
          <w:rFonts w:hint="eastAsia" w:ascii="宋体" w:hAnsi="宋体" w:eastAsia="宋体" w:cs="宋体"/>
          <w:highlight w:val="none"/>
        </w:rPr>
        <w:t>义不明确、对同类问题表述不一致或者有明显文字和计算错误的内容进行书面澄清或说明，或者对细微偏差进行补正。评标委员会不接受投标人主动提出的澄清、说明或补正。</w:t>
      </w:r>
    </w:p>
    <w:p w14:paraId="4AF5F2BE">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6.2澄清、说明和补正不得改变投标文件的实质性内容（算术性错误修正的除外）。投标人的书面澄清、说明和补正属于投标文件的组成部分。</w:t>
      </w:r>
    </w:p>
    <w:p w14:paraId="5067B074">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6.3评标委员会对投标人提交的澄清、说明和补正有疑问的，可以要求投标人进一步澄清、说明或补正、直至满足评标委员会的要求。</w:t>
      </w:r>
    </w:p>
    <w:p w14:paraId="42BDF8A3">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按照投标文件规定进行澄清、补正后的投标报价经投标人的法定代表人或其委托代理人确认后即为该投标人的最终投标报价</w:t>
      </w:r>
      <w:r>
        <w:rPr>
          <w:rFonts w:hint="eastAsia" w:ascii="宋体" w:hAnsi="宋体" w:cs="宋体"/>
          <w:highlight w:val="none"/>
          <w:lang w:eastAsia="zh-CN"/>
        </w:rPr>
        <w:t>（</w:t>
      </w:r>
      <w:r>
        <w:rPr>
          <w:rFonts w:hint="eastAsia" w:ascii="宋体" w:hAnsi="宋体" w:cs="宋体"/>
          <w:highlight w:val="none"/>
          <w:lang w:val="en-US" w:eastAsia="zh-CN"/>
        </w:rPr>
        <w:t>下浮率）</w:t>
      </w:r>
      <w:r>
        <w:rPr>
          <w:rFonts w:hint="eastAsia" w:ascii="宋体" w:hAnsi="宋体" w:eastAsia="宋体" w:cs="宋体"/>
          <w:highlight w:val="none"/>
        </w:rPr>
        <w:t>。投标人一旦中标，此报价</w:t>
      </w:r>
      <w:r>
        <w:rPr>
          <w:rFonts w:hint="eastAsia" w:ascii="宋体" w:hAnsi="宋体" w:cs="宋体"/>
          <w:highlight w:val="none"/>
          <w:lang w:eastAsia="zh-CN"/>
        </w:rPr>
        <w:t>（</w:t>
      </w:r>
      <w:r>
        <w:rPr>
          <w:rFonts w:hint="eastAsia" w:ascii="宋体" w:hAnsi="宋体" w:cs="宋体"/>
          <w:highlight w:val="none"/>
          <w:lang w:val="en-US" w:eastAsia="zh-CN"/>
        </w:rPr>
        <w:t>下浮率）</w:t>
      </w:r>
      <w:r>
        <w:rPr>
          <w:rFonts w:hint="eastAsia" w:ascii="宋体" w:hAnsi="宋体" w:eastAsia="宋体" w:cs="宋体"/>
          <w:highlight w:val="none"/>
        </w:rPr>
        <w:t>即为中标价。</w:t>
      </w:r>
    </w:p>
    <w:bookmarkEnd w:id="797"/>
    <w:bookmarkEnd w:id="798"/>
    <w:bookmarkEnd w:id="799"/>
    <w:bookmarkEnd w:id="800"/>
    <w:bookmarkEnd w:id="801"/>
    <w:bookmarkEnd w:id="802"/>
    <w:bookmarkEnd w:id="803"/>
    <w:bookmarkEnd w:id="804"/>
    <w:bookmarkEnd w:id="849"/>
    <w:bookmarkEnd w:id="850"/>
    <w:bookmarkEnd w:id="851"/>
    <w:bookmarkEnd w:id="852"/>
    <w:bookmarkEnd w:id="853"/>
    <w:bookmarkEnd w:id="854"/>
    <w:bookmarkEnd w:id="855"/>
    <w:p w14:paraId="7BC20C8A">
      <w:pPr>
        <w:pStyle w:val="7"/>
        <w:spacing w:beforeLines="50" w:afterLines="50"/>
        <w:ind w:firstLine="422" w:firstLineChars="200"/>
        <w:rPr>
          <w:rFonts w:hint="eastAsia" w:ascii="宋体" w:hAnsi="宋体" w:eastAsia="宋体" w:cs="宋体"/>
          <w:highlight w:val="none"/>
        </w:rPr>
      </w:pPr>
      <w:bookmarkStart w:id="858" w:name="_Toc95223410"/>
      <w:bookmarkStart w:id="859" w:name="_Toc506107333"/>
      <w:bookmarkStart w:id="860" w:name="_Toc35424962"/>
      <w:bookmarkStart w:id="861" w:name="_Toc35425128"/>
      <w:bookmarkStart w:id="862" w:name="_Toc15058927"/>
      <w:bookmarkStart w:id="863" w:name="_Toc179632785"/>
      <w:bookmarkStart w:id="864" w:name="_Toc144974826"/>
      <w:bookmarkStart w:id="865" w:name="_Toc152045767"/>
      <w:bookmarkStart w:id="866" w:name="_Toc152042546"/>
      <w:r>
        <w:rPr>
          <w:rFonts w:hint="eastAsia" w:ascii="宋体" w:hAnsi="宋体" w:eastAsia="宋体" w:cs="宋体"/>
          <w:highlight w:val="none"/>
        </w:rPr>
        <w:t>7.评分标准</w:t>
      </w:r>
      <w:bookmarkEnd w:id="858"/>
    </w:p>
    <w:p w14:paraId="1CE63C2D">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7.1商务标评分标准：见商务标评审表。</w:t>
      </w:r>
    </w:p>
    <w:p w14:paraId="1ED9F886">
      <w:pPr>
        <w:pStyle w:val="7"/>
        <w:spacing w:beforeLines="50" w:afterLines="50"/>
        <w:ind w:firstLine="422" w:firstLineChars="200"/>
        <w:rPr>
          <w:rFonts w:hint="eastAsia" w:ascii="宋体" w:hAnsi="宋体" w:eastAsia="宋体" w:cs="宋体"/>
          <w:highlight w:val="none"/>
        </w:rPr>
      </w:pPr>
      <w:bookmarkStart w:id="867" w:name="_Toc95223411"/>
      <w:r>
        <w:rPr>
          <w:rFonts w:hint="eastAsia" w:ascii="宋体" w:hAnsi="宋体" w:eastAsia="宋体" w:cs="宋体"/>
          <w:highlight w:val="none"/>
        </w:rPr>
        <w:t>8.评审结果</w:t>
      </w:r>
      <w:bookmarkEnd w:id="867"/>
    </w:p>
    <w:p w14:paraId="5A148736">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8.1除第二章“投标人须知”及其前附表授权直接确定中标人外，评</w:t>
      </w:r>
      <w:bookmarkStart w:id="868" w:name="_Toc15058925"/>
      <w:bookmarkStart w:id="869" w:name="_Toc506107331"/>
      <w:bookmarkStart w:id="870" w:name="_Toc60061508"/>
      <w:bookmarkStart w:id="871" w:name="_Toc324404879"/>
      <w:r>
        <w:rPr>
          <w:rFonts w:hint="eastAsia" w:ascii="宋体" w:hAnsi="宋体" w:eastAsia="宋体" w:cs="宋体"/>
          <w:highlight w:val="none"/>
        </w:rPr>
        <w:t>标委员会</w:t>
      </w:r>
      <w:bookmarkEnd w:id="868"/>
      <w:bookmarkEnd w:id="869"/>
      <w:bookmarkEnd w:id="870"/>
      <w:bookmarkEnd w:id="871"/>
      <w:r>
        <w:rPr>
          <w:rFonts w:hint="eastAsia" w:ascii="宋体" w:hAnsi="宋体" w:eastAsia="宋体" w:cs="宋体"/>
          <w:highlight w:val="none"/>
        </w:rPr>
        <w:t>按有效报价由低到高</w:t>
      </w:r>
      <w:r>
        <w:rPr>
          <w:rFonts w:hint="eastAsia" w:ascii="宋体" w:hAnsi="宋体" w:eastAsia="宋体" w:cs="宋体"/>
          <w:b/>
          <w:color w:val="000000"/>
          <w:szCs w:val="21"/>
          <w:highlight w:val="none"/>
          <w:lang w:val="en-US" w:eastAsia="zh-CN"/>
        </w:rPr>
        <w:t>（即投</w:t>
      </w:r>
      <w:r>
        <w:rPr>
          <w:rFonts w:hint="eastAsia" w:ascii="宋体" w:hAnsi="宋体" w:cs="宋体"/>
          <w:b/>
          <w:color w:val="000000"/>
          <w:szCs w:val="21"/>
          <w:highlight w:val="none"/>
          <w:lang w:val="en-US" w:eastAsia="zh-CN"/>
        </w:rPr>
        <w:t>标下浮率数值由大到小）</w:t>
      </w:r>
      <w:r>
        <w:rPr>
          <w:rFonts w:hint="eastAsia" w:ascii="宋体" w:hAnsi="宋体" w:eastAsia="宋体" w:cs="宋体"/>
          <w:highlight w:val="none"/>
        </w:rPr>
        <w:t>的顺序推荐中标候选人。</w:t>
      </w:r>
    </w:p>
    <w:p w14:paraId="0586443D">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8.2评标委员会完成评标后，应当向招标人提交书面评标报告。评标报告应当如实记载以下内容：</w:t>
      </w:r>
    </w:p>
    <w:p w14:paraId="60C496F3">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（1）基本情况和数据表。</w:t>
      </w:r>
    </w:p>
    <w:p w14:paraId="2FF38250">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（2）评标委员会成员名单。</w:t>
      </w:r>
    </w:p>
    <w:p w14:paraId="3E8F5A80">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（3）开标记录。</w:t>
      </w:r>
    </w:p>
    <w:p w14:paraId="77CE3783">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（4）符合要求的投标人一览表。</w:t>
      </w:r>
    </w:p>
    <w:p w14:paraId="1A0FCCDD">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（5）否决投标情况说明。</w:t>
      </w:r>
    </w:p>
    <w:p w14:paraId="18FE4A2D">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（6）评标标准、评标方法或者评标因素。</w:t>
      </w:r>
    </w:p>
    <w:p w14:paraId="4F8B3E86">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（7）经评审的价格比较一览表。</w:t>
      </w:r>
    </w:p>
    <w:p w14:paraId="4B89E24A">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（8）经评审的投标人排序。</w:t>
      </w:r>
    </w:p>
    <w:p w14:paraId="3C2A0C70">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（9）推荐的中标候选人名单与签订合同前要处理的事宜。</w:t>
      </w:r>
    </w:p>
    <w:p w14:paraId="03A977F1">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（10）澄清、说明、补正事项纪要。</w:t>
      </w:r>
    </w:p>
    <w:p w14:paraId="555E532D">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8.3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7DDB352D">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除第一中标候选人或者中标人以外的其他投标人存在串通投标、弄虚作假、行贿情形且在评标过程中未被发现的，视为对中标结果没有造成实质性影响，招标人可以依法继续开展招标活动。</w:t>
      </w:r>
    </w:p>
    <w:p w14:paraId="22FE37EA">
      <w:pPr>
        <w:pStyle w:val="7"/>
        <w:spacing w:beforeLines="50" w:afterLines="50"/>
        <w:ind w:firstLine="422" w:firstLineChars="200"/>
        <w:rPr>
          <w:rFonts w:hint="eastAsia" w:ascii="宋体" w:hAnsi="宋体" w:eastAsia="宋体" w:cs="宋体"/>
          <w:highlight w:val="none"/>
        </w:rPr>
      </w:pPr>
      <w:bookmarkStart w:id="872" w:name="_Toc95223412"/>
      <w:r>
        <w:rPr>
          <w:rFonts w:hint="eastAsia" w:ascii="宋体" w:hAnsi="宋体" w:eastAsia="宋体" w:cs="宋体"/>
          <w:highlight w:val="none"/>
        </w:rPr>
        <w:t>9.其他</w:t>
      </w:r>
      <w:bookmarkEnd w:id="872"/>
    </w:p>
    <w:p w14:paraId="546BC29A">
      <w:pPr>
        <w:spacing w:line="44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投标人提供的与投标文件有关的各类证书、证明、文件、资料等的真实性、</w:t>
      </w:r>
      <w:bookmarkStart w:id="873" w:name="_Toc15058926"/>
      <w:bookmarkStart w:id="874" w:name="_Toc324404880"/>
      <w:bookmarkStart w:id="875" w:name="_Toc60061509"/>
      <w:bookmarkStart w:id="876" w:name="_Toc506107332"/>
      <w:r>
        <w:rPr>
          <w:rFonts w:hint="eastAsia" w:ascii="宋体" w:hAnsi="宋体" w:eastAsia="宋体" w:cs="宋体"/>
          <w:highlight w:val="none"/>
        </w:rPr>
        <w:t>合法性由</w:t>
      </w:r>
      <w:bookmarkEnd w:id="873"/>
      <w:bookmarkEnd w:id="874"/>
      <w:bookmarkEnd w:id="875"/>
      <w:bookmarkEnd w:id="876"/>
      <w:r>
        <w:rPr>
          <w:rFonts w:hint="eastAsia" w:ascii="宋体" w:hAnsi="宋体" w:eastAsia="宋体" w:cs="宋体"/>
          <w:highlight w:val="none"/>
        </w:rPr>
        <w:t>投标人负全责。</w:t>
      </w:r>
    </w:p>
    <w:p w14:paraId="569BEFC2">
      <w:pPr>
        <w:rPr>
          <w:highlight w:val="none"/>
        </w:rPr>
      </w:pPr>
    </w:p>
    <w:p w14:paraId="65923B12">
      <w:pPr>
        <w:rPr>
          <w:rFonts w:hint="eastAsia"/>
          <w:highlight w:val="none"/>
        </w:rPr>
      </w:pPr>
      <w:r>
        <w:rPr>
          <w:rFonts w:hint="eastAsia"/>
          <w:highlight w:val="none"/>
        </w:rPr>
        <w:br w:type="page"/>
      </w:r>
      <w:bookmarkStart w:id="877" w:name="_Toc78803397"/>
    </w:p>
    <w:bookmarkEnd w:id="859"/>
    <w:bookmarkEnd w:id="860"/>
    <w:bookmarkEnd w:id="861"/>
    <w:bookmarkEnd w:id="862"/>
    <w:bookmarkEnd w:id="877"/>
    <w:p w14:paraId="226BC7FC">
      <w:pPr>
        <w:pStyle w:val="6"/>
        <w:spacing w:beforeLines="50" w:afterLines="50"/>
        <w:rPr>
          <w:rFonts w:hint="eastAsia" w:ascii="Arial" w:hAnsi="Arial" w:eastAsia="宋体" w:cs="Times New Roman"/>
          <w:kern w:val="0"/>
          <w:sz w:val="32"/>
          <w:szCs w:val="32"/>
          <w:highlight w:val="none"/>
          <w:lang w:val="en-US" w:eastAsia="zh-CN"/>
        </w:rPr>
      </w:pPr>
      <w:bookmarkStart w:id="878" w:name="_Toc16721"/>
      <w:r>
        <w:rPr>
          <w:rFonts w:hint="eastAsia" w:ascii="Arial" w:hAnsi="Arial" w:eastAsia="宋体" w:cs="Times New Roman"/>
          <w:kern w:val="0"/>
          <w:sz w:val="32"/>
          <w:szCs w:val="32"/>
          <w:highlight w:val="none"/>
          <w:lang w:val="en-US" w:eastAsia="zh-CN"/>
        </w:rPr>
        <w:t>第五章  合同条款及格式</w:t>
      </w:r>
      <w:bookmarkEnd w:id="878"/>
    </w:p>
    <w:p w14:paraId="20A3EDC6">
      <w:pPr>
        <w:jc w:val="center"/>
        <w:rPr>
          <w:rFonts w:hint="eastAsia" w:ascii="宋体" w:hAnsi="宋体" w:eastAsia="宋体" w:cs="宋体"/>
          <w:b/>
          <w:sz w:val="56"/>
          <w:szCs w:val="44"/>
          <w:highlight w:val="none"/>
          <w:lang w:eastAsia="zh-CN"/>
        </w:rPr>
      </w:pPr>
      <w:r>
        <w:rPr>
          <w:rFonts w:hint="eastAsia" w:ascii="宋体" w:hAnsi="宋体" w:eastAsia="宋体" w:cs="宋体"/>
          <w:b/>
          <w:sz w:val="28"/>
          <w:szCs w:val="21"/>
          <w:highlight w:val="none"/>
          <w:lang w:val="en-US" w:eastAsia="zh-CN"/>
        </w:rPr>
        <w:t>（合同格式仅供参考）</w:t>
      </w:r>
    </w:p>
    <w:p w14:paraId="38F7EA0E">
      <w:pPr>
        <w:spacing w:line="360" w:lineRule="auto"/>
        <w:rPr>
          <w:rFonts w:hint="eastAsia" w:ascii="宋体" w:hAnsi="宋体" w:cs="宋体"/>
          <w:color w:val="000000"/>
          <w:szCs w:val="21"/>
          <w:highlight w:val="none"/>
        </w:rPr>
      </w:pPr>
    </w:p>
    <w:p w14:paraId="63800E6E">
      <w:pPr>
        <w:rPr>
          <w:rFonts w:hint="eastAsia"/>
          <w:highlight w:val="none"/>
        </w:rPr>
      </w:pPr>
    </w:p>
    <w:p w14:paraId="595D49F7">
      <w:pPr>
        <w:spacing w:line="520" w:lineRule="exact"/>
        <w:ind w:right="-433" w:rightChars="-206" w:firstLine="630" w:firstLineChars="300"/>
        <w:jc w:val="left"/>
        <w:rPr>
          <w:rFonts w:hint="eastAsia" w:ascii="宋体" w:hAnsi="宋体" w:cs="宋体"/>
          <w:szCs w:val="21"/>
          <w:highlight w:val="none"/>
        </w:rPr>
      </w:pPr>
      <w:r>
        <w:rPr>
          <w:rFonts w:hint="eastAsia" w:ascii="宋体" w:hAnsi="宋体" w:cs="宋体"/>
          <w:szCs w:val="21"/>
          <w:highlight w:val="none"/>
          <w:lang w:val="en-US" w:eastAsia="zh-CN"/>
        </w:rPr>
        <w:t>招标</w:t>
      </w:r>
      <w:r>
        <w:rPr>
          <w:rFonts w:hint="eastAsia" w:ascii="宋体" w:hAnsi="宋体" w:cs="宋体"/>
          <w:szCs w:val="21"/>
          <w:highlight w:val="none"/>
        </w:rPr>
        <w:t>单位（全称）:</w:t>
      </w:r>
      <w:r>
        <w:rPr>
          <w:rFonts w:hint="eastAsia" w:ascii="宋体" w:hAnsi="宋体" w:cs="宋体"/>
          <w:szCs w:val="21"/>
          <w:highlight w:val="none"/>
          <w:u w:val="single"/>
        </w:rPr>
        <w:t xml:space="preserve">  </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single"/>
        </w:rPr>
        <w:t xml:space="preserve">  </w:t>
      </w:r>
      <w:r>
        <w:rPr>
          <w:rFonts w:hint="eastAsia" w:ascii="宋体" w:hAnsi="宋体" w:cs="宋体"/>
          <w:szCs w:val="21"/>
          <w:highlight w:val="none"/>
        </w:rPr>
        <w:t>（以下简称甲方）</w:t>
      </w:r>
    </w:p>
    <w:p w14:paraId="0F456690">
      <w:pPr>
        <w:spacing w:line="520" w:lineRule="exact"/>
        <w:ind w:right="-433" w:rightChars="-206"/>
        <w:jc w:val="left"/>
        <w:rPr>
          <w:rFonts w:hint="eastAsia" w:ascii="宋体" w:hAnsi="宋体" w:cs="宋体"/>
          <w:szCs w:val="21"/>
          <w:highlight w:val="none"/>
        </w:rPr>
      </w:pPr>
      <w:r>
        <w:rPr>
          <w:rFonts w:hint="eastAsia" w:ascii="宋体" w:hAnsi="宋体" w:cs="宋体"/>
          <w:szCs w:val="21"/>
          <w:highlight w:val="none"/>
        </w:rPr>
        <w:t xml:space="preserve">      服务单位（全称）:</w:t>
      </w:r>
      <w:r>
        <w:rPr>
          <w:rFonts w:hint="eastAsia" w:ascii="宋体" w:hAnsi="宋体" w:cs="宋体"/>
          <w:szCs w:val="21"/>
          <w:highlight w:val="none"/>
          <w:u w:val="single"/>
        </w:rPr>
        <w:t xml:space="preserve">                          </w:t>
      </w:r>
      <w:r>
        <w:rPr>
          <w:rFonts w:hint="eastAsia" w:ascii="宋体" w:hAnsi="宋体" w:cs="宋体"/>
          <w:szCs w:val="21"/>
          <w:highlight w:val="none"/>
        </w:rPr>
        <w:t>（以下简称乙方）</w:t>
      </w:r>
    </w:p>
    <w:p w14:paraId="734896EC">
      <w:pPr>
        <w:spacing w:line="400" w:lineRule="exact"/>
        <w:ind w:right="-433" w:rightChars="-206" w:firstLine="420" w:firstLineChars="200"/>
        <w:jc w:val="left"/>
        <w:rPr>
          <w:rFonts w:hint="eastAsia" w:ascii="宋体" w:hAnsi="宋体" w:cs="宋体"/>
          <w:szCs w:val="21"/>
          <w:highlight w:val="none"/>
        </w:rPr>
      </w:pPr>
      <w:r>
        <w:rPr>
          <w:rFonts w:hint="eastAsia" w:ascii="宋体" w:hAnsi="宋体" w:cs="宋体"/>
          <w:szCs w:val="21"/>
          <w:highlight w:val="none"/>
        </w:rPr>
        <w:t>依照《中华人民共和国民法典》及其他有关法律、法规，遵循平等、自愿、公平和诚实信用的原则，双方就本此采购服务事项协商一致，订立本合同。</w:t>
      </w:r>
    </w:p>
    <w:p w14:paraId="6FD56658">
      <w:pPr>
        <w:keepNext w:val="0"/>
        <w:keepLines w:val="0"/>
        <w:pageBreakBefore w:val="0"/>
        <w:widowControl/>
        <w:kinsoku/>
        <w:wordWrap/>
        <w:overflowPunct/>
        <w:topLinePunct w:val="0"/>
        <w:autoSpaceDE/>
        <w:autoSpaceDN/>
        <w:bidi w:val="0"/>
        <w:adjustRightInd/>
        <w:spacing w:line="420" w:lineRule="exact"/>
        <w:ind w:firstLine="420" w:firstLineChars="200"/>
        <w:textAlignment w:val="auto"/>
        <w:rPr>
          <w:rFonts w:hint="eastAsia" w:ascii="宋体" w:hAnsi="宋体" w:eastAsia="宋体" w:cs="Times New Roman"/>
          <w:color w:val="000000" w:themeColor="text1"/>
          <w:kern w:val="0"/>
          <w:szCs w:val="21"/>
          <w:highlight w:val="none"/>
          <w:lang w:bidi="en-US"/>
          <w14:textFill>
            <w14:solidFill>
              <w14:schemeClr w14:val="tx1"/>
            </w14:solidFill>
          </w14:textFill>
        </w:rPr>
      </w:pPr>
      <w:r>
        <w:rPr>
          <w:rFonts w:hint="eastAsia" w:ascii="宋体" w:hAnsi="宋体" w:eastAsia="宋体" w:cs="Times New Roman"/>
          <w:color w:val="000000" w:themeColor="text1"/>
          <w:kern w:val="0"/>
          <w:szCs w:val="21"/>
          <w:highlight w:val="none"/>
          <w:lang w:bidi="en-US"/>
          <w14:textFill>
            <w14:solidFill>
              <w14:schemeClr w14:val="tx1"/>
            </w14:solidFill>
          </w14:textFill>
        </w:rPr>
        <w:t>1、项目名称：</w:t>
      </w:r>
    </w:p>
    <w:p w14:paraId="57D029C5">
      <w:pPr>
        <w:keepNext w:val="0"/>
        <w:keepLines w:val="0"/>
        <w:pageBreakBefore w:val="0"/>
        <w:widowControl/>
        <w:kinsoku/>
        <w:wordWrap/>
        <w:overflowPunct/>
        <w:topLinePunct w:val="0"/>
        <w:autoSpaceDE/>
        <w:autoSpaceDN/>
        <w:bidi w:val="0"/>
        <w:adjustRightInd/>
        <w:spacing w:line="420" w:lineRule="exact"/>
        <w:ind w:firstLine="420" w:firstLineChars="200"/>
        <w:textAlignment w:val="auto"/>
        <w:rPr>
          <w:rFonts w:hint="eastAsia" w:ascii="宋体" w:hAnsi="宋体" w:eastAsia="宋体" w:cs="Times New Roman"/>
          <w:color w:val="000000" w:themeColor="text1"/>
          <w:kern w:val="0"/>
          <w:szCs w:val="21"/>
          <w:highlight w:val="none"/>
          <w:lang w:bidi="en-US"/>
          <w14:textFill>
            <w14:solidFill>
              <w14:schemeClr w14:val="tx1"/>
            </w14:solidFill>
          </w14:textFill>
        </w:rPr>
      </w:pPr>
      <w:r>
        <w:rPr>
          <w:rFonts w:hint="eastAsia" w:ascii="宋体" w:hAnsi="宋体" w:eastAsia="宋体" w:cs="Times New Roman"/>
          <w:color w:val="000000" w:themeColor="text1"/>
          <w:kern w:val="0"/>
          <w:szCs w:val="21"/>
          <w:highlight w:val="none"/>
          <w:lang w:bidi="en-US"/>
          <w14:textFill>
            <w14:solidFill>
              <w14:schemeClr w14:val="tx1"/>
            </w14:solidFill>
          </w14:textFill>
        </w:rPr>
        <w:t>2、服务范围及内容：</w:t>
      </w:r>
    </w:p>
    <w:p w14:paraId="72CE0261">
      <w:pPr>
        <w:keepNext w:val="0"/>
        <w:keepLines w:val="0"/>
        <w:pageBreakBefore w:val="0"/>
        <w:widowControl/>
        <w:kinsoku/>
        <w:wordWrap/>
        <w:overflowPunct/>
        <w:topLinePunct w:val="0"/>
        <w:autoSpaceDE/>
        <w:autoSpaceDN/>
        <w:bidi w:val="0"/>
        <w:adjustRightInd/>
        <w:spacing w:line="420" w:lineRule="exact"/>
        <w:ind w:firstLine="420" w:firstLineChars="200"/>
        <w:textAlignment w:val="auto"/>
        <w:rPr>
          <w:rFonts w:hint="default" w:ascii="宋体" w:hAnsi="宋体" w:eastAsia="宋体" w:cs="Times New Roman"/>
          <w:color w:val="000000" w:themeColor="text1"/>
          <w:kern w:val="0"/>
          <w:szCs w:val="21"/>
          <w:highlight w:val="none"/>
          <w:lang w:val="en-US" w:eastAsia="zh-CN" w:bidi="en-US"/>
          <w14:textFill>
            <w14:solidFill>
              <w14:schemeClr w14:val="tx1"/>
            </w14:solidFill>
          </w14:textFill>
        </w:rPr>
      </w:pPr>
      <w:r>
        <w:rPr>
          <w:rFonts w:hint="eastAsia" w:ascii="宋体" w:hAnsi="宋体" w:eastAsia="宋体" w:cs="Times New Roman"/>
          <w:color w:val="000000" w:themeColor="text1"/>
          <w:kern w:val="0"/>
          <w:szCs w:val="21"/>
          <w:highlight w:val="none"/>
          <w:lang w:eastAsia="zh-CN" w:bidi="en-US"/>
          <w14:textFill>
            <w14:solidFill>
              <w14:schemeClr w14:val="tx1"/>
            </w14:solidFill>
          </w14:textFill>
        </w:rPr>
        <w:t>3、</w:t>
      </w:r>
      <w:r>
        <w:rPr>
          <w:rFonts w:hint="eastAsia" w:ascii="宋体" w:hAnsi="宋体" w:eastAsia="宋体" w:cs="Times New Roman"/>
          <w:color w:val="000000" w:themeColor="text1"/>
          <w:kern w:val="0"/>
          <w:szCs w:val="21"/>
          <w:highlight w:val="none"/>
          <w:lang w:val="en-US" w:eastAsia="zh-CN" w:bidi="en-US"/>
          <w14:textFill>
            <w14:solidFill>
              <w14:schemeClr w14:val="tx1"/>
            </w14:solidFill>
          </w14:textFill>
        </w:rPr>
        <w:t>编制周期：</w:t>
      </w:r>
    </w:p>
    <w:p w14:paraId="4C7F8FA4">
      <w:pPr>
        <w:keepNext w:val="0"/>
        <w:keepLines w:val="0"/>
        <w:pageBreakBefore w:val="0"/>
        <w:widowControl/>
        <w:kinsoku/>
        <w:wordWrap/>
        <w:overflowPunct/>
        <w:topLinePunct w:val="0"/>
        <w:autoSpaceDE/>
        <w:autoSpaceDN/>
        <w:bidi w:val="0"/>
        <w:adjustRightInd/>
        <w:spacing w:line="420" w:lineRule="exact"/>
        <w:ind w:firstLine="420" w:firstLineChars="200"/>
        <w:textAlignment w:val="auto"/>
        <w:rPr>
          <w:rFonts w:hint="eastAsia" w:ascii="宋体" w:hAnsi="宋体" w:eastAsia="宋体" w:cs="Times New Roman"/>
          <w:color w:val="000000" w:themeColor="text1"/>
          <w:kern w:val="0"/>
          <w:szCs w:val="21"/>
          <w:highlight w:val="none"/>
          <w:lang w:eastAsia="zh-CN" w:bidi="en-US"/>
          <w14:textFill>
            <w14:solidFill>
              <w14:schemeClr w14:val="tx1"/>
            </w14:solidFill>
          </w14:textFill>
        </w:rPr>
      </w:pPr>
      <w:r>
        <w:rPr>
          <w:rFonts w:hint="eastAsia" w:ascii="宋体" w:hAnsi="宋体" w:eastAsia="宋体" w:cs="Times New Roman"/>
          <w:color w:val="000000" w:themeColor="text1"/>
          <w:kern w:val="0"/>
          <w:szCs w:val="21"/>
          <w:highlight w:val="none"/>
          <w:lang w:val="en-US" w:eastAsia="zh-CN" w:bidi="en-US"/>
          <w14:textFill>
            <w14:solidFill>
              <w14:schemeClr w14:val="tx1"/>
            </w14:solidFill>
          </w14:textFill>
        </w:rPr>
        <w:t>4、</w:t>
      </w:r>
      <w:r>
        <w:rPr>
          <w:rFonts w:hint="eastAsia" w:ascii="宋体" w:hAnsi="宋体" w:eastAsia="宋体" w:cs="Times New Roman"/>
          <w:color w:val="000000" w:themeColor="text1"/>
          <w:kern w:val="0"/>
          <w:szCs w:val="21"/>
          <w:highlight w:val="none"/>
          <w:lang w:bidi="en-US"/>
          <w14:textFill>
            <w14:solidFill>
              <w14:schemeClr w14:val="tx1"/>
            </w14:solidFill>
          </w14:textFill>
        </w:rPr>
        <w:t>服务质量</w:t>
      </w:r>
      <w:r>
        <w:rPr>
          <w:rFonts w:hint="eastAsia" w:ascii="宋体" w:hAnsi="宋体" w:eastAsia="宋体" w:cs="Times New Roman"/>
          <w:color w:val="000000" w:themeColor="text1"/>
          <w:kern w:val="0"/>
          <w:szCs w:val="21"/>
          <w:highlight w:val="none"/>
          <w:lang w:eastAsia="zh-CN" w:bidi="en-US"/>
          <w14:textFill>
            <w14:solidFill>
              <w14:schemeClr w14:val="tx1"/>
            </w14:solidFill>
          </w14:textFill>
        </w:rPr>
        <w:t>：</w:t>
      </w:r>
      <w:r>
        <w:rPr>
          <w:rFonts w:hint="eastAsia" w:ascii="Times New Roman" w:hAnsi="Times New Roman" w:eastAsia="宋体" w:cs="Times New Roman"/>
          <w:color w:val="000000"/>
          <w:szCs w:val="21"/>
          <w:highlight w:val="none"/>
          <w:lang w:val="en-US" w:eastAsia="zh-CN"/>
        </w:rPr>
        <w:t>初步设计满足现行的电力工程建设标准、设计规范和本招标文件要求的设计深度；</w:t>
      </w:r>
      <w:r>
        <w:rPr>
          <w:rFonts w:hint="eastAsia" w:ascii="宋体" w:hAnsi="宋体" w:eastAsia="宋体" w:cs="Times New Roman"/>
          <w:color w:val="000000" w:themeColor="text1"/>
          <w:kern w:val="0"/>
          <w:szCs w:val="21"/>
          <w:highlight w:val="none"/>
          <w:lang w:bidi="en-US"/>
          <w14:textFill>
            <w14:solidFill>
              <w14:schemeClr w14:val="tx1"/>
            </w14:solidFill>
          </w14:textFill>
        </w:rPr>
        <w:t>编制的可行性研究报告通过专家评审。</w:t>
      </w:r>
    </w:p>
    <w:p w14:paraId="639EB924">
      <w:pPr>
        <w:spacing w:line="520" w:lineRule="exact"/>
        <w:ind w:right="-433" w:rightChars="-206" w:firstLine="422" w:firstLineChars="200"/>
        <w:jc w:val="left"/>
        <w:rPr>
          <w:rFonts w:hint="eastAsia" w:ascii="宋体" w:hAnsi="宋体" w:cs="宋体"/>
          <w:b/>
          <w:bCs/>
          <w:szCs w:val="21"/>
          <w:highlight w:val="none"/>
        </w:rPr>
      </w:pPr>
      <w:r>
        <w:rPr>
          <w:rFonts w:hint="eastAsia" w:ascii="宋体" w:hAnsi="宋体" w:cs="宋体"/>
          <w:b/>
          <w:bCs/>
          <w:szCs w:val="21"/>
          <w:highlight w:val="none"/>
        </w:rPr>
        <w:t>5、合同价款及支付</w:t>
      </w:r>
    </w:p>
    <w:p w14:paraId="12BE1C02">
      <w:pPr>
        <w:pStyle w:val="24"/>
        <w:spacing w:line="520" w:lineRule="exact"/>
        <w:ind w:firstLine="422" w:firstLineChars="200"/>
        <w:jc w:val="left"/>
        <w:rPr>
          <w:rFonts w:hint="eastAsia" w:ascii="宋体" w:hAnsi="宋体" w:cs="宋体"/>
          <w:b/>
          <w:bCs/>
          <w:szCs w:val="21"/>
          <w:highlight w:val="none"/>
        </w:rPr>
      </w:pPr>
      <w:r>
        <w:rPr>
          <w:rFonts w:hint="eastAsia" w:ascii="宋体" w:hAnsi="宋体" w:cs="宋体"/>
          <w:b/>
          <w:bCs/>
          <w:szCs w:val="21"/>
          <w:highlight w:val="none"/>
        </w:rPr>
        <w:t>5.1本合同价：</w:t>
      </w:r>
      <w:r>
        <w:rPr>
          <w:rFonts w:hint="eastAsia" w:ascii="宋体" w:hAnsi="宋体" w:cs="宋体"/>
          <w:b/>
          <w:bCs/>
          <w:szCs w:val="21"/>
          <w:highlight w:val="none"/>
          <w:lang w:val="en-US" w:eastAsia="zh-CN"/>
        </w:rPr>
        <w:t>下浮率：</w:t>
      </w:r>
      <w:r>
        <w:rPr>
          <w:rFonts w:hint="eastAsia" w:ascii="宋体" w:hAnsi="宋体" w:cs="宋体"/>
          <w:b/>
          <w:bCs/>
          <w:szCs w:val="21"/>
          <w:highlight w:val="none"/>
        </w:rPr>
        <w:t>大写</w:t>
      </w:r>
      <w:r>
        <w:rPr>
          <w:rFonts w:hint="eastAsia" w:ascii="宋体" w:hAnsi="宋体" w:cs="宋体"/>
          <w:b/>
          <w:bCs/>
          <w:szCs w:val="21"/>
          <w:highlight w:val="none"/>
          <w:u w:val="single"/>
        </w:rPr>
        <w:t xml:space="preserve">：                小写：       </w:t>
      </w:r>
      <w:r>
        <w:rPr>
          <w:rFonts w:hint="eastAsia" w:ascii="宋体" w:hAnsi="宋体" w:cs="宋体"/>
          <w:b/>
          <w:bCs/>
          <w:szCs w:val="21"/>
          <w:highlight w:val="none"/>
          <w:u w:val="single"/>
          <w:lang w:val="en-US" w:eastAsia="zh-CN"/>
        </w:rPr>
        <w:t>%</w:t>
      </w:r>
      <w:r>
        <w:rPr>
          <w:rFonts w:hint="eastAsia" w:ascii="宋体" w:hAnsi="宋体" w:cs="宋体"/>
          <w:b/>
          <w:bCs/>
          <w:szCs w:val="21"/>
          <w:highlight w:val="none"/>
          <w:u w:val="single"/>
        </w:rPr>
        <w:t xml:space="preserve"> </w:t>
      </w:r>
      <w:r>
        <w:rPr>
          <w:rFonts w:hint="eastAsia" w:ascii="宋体" w:hAnsi="宋体" w:cs="宋体"/>
          <w:b/>
          <w:bCs/>
          <w:szCs w:val="21"/>
          <w:highlight w:val="none"/>
        </w:rPr>
        <w:t>。</w:t>
      </w:r>
    </w:p>
    <w:p w14:paraId="325B2DB2">
      <w:pPr>
        <w:pStyle w:val="24"/>
        <w:spacing w:line="520" w:lineRule="exact"/>
        <w:ind w:firstLine="422" w:firstLineChars="200"/>
        <w:jc w:val="left"/>
        <w:rPr>
          <w:rFonts w:hint="default" w:ascii="宋体" w:hAnsi="宋体" w:eastAsia="宋体" w:cs="宋体"/>
          <w:b/>
          <w:bCs/>
          <w:szCs w:val="21"/>
          <w:highlight w:val="none"/>
          <w:lang w:val="en-US" w:eastAsia="zh-CN"/>
        </w:rPr>
      </w:pPr>
      <w:r>
        <w:rPr>
          <w:rFonts w:hint="eastAsia" w:ascii="宋体" w:hAnsi="宋体" w:eastAsia="宋体" w:cs="宋体"/>
          <w:b/>
          <w:bCs/>
          <w:szCs w:val="21"/>
          <w:highlight w:val="none"/>
          <w:lang w:val="en-US" w:eastAsia="zh-CN"/>
        </w:rPr>
        <w:t>结算方式=经审批后的可研报告安装容量×0.05元/Wp×（1-下浮率）（含税）。</w:t>
      </w:r>
    </w:p>
    <w:p w14:paraId="47B14CC5">
      <w:pPr>
        <w:pStyle w:val="24"/>
        <w:spacing w:line="520" w:lineRule="exact"/>
        <w:ind w:firstLine="422" w:firstLineChars="200"/>
        <w:jc w:val="left"/>
        <w:rPr>
          <w:rFonts w:hint="eastAsia" w:ascii="宋体" w:hAnsi="宋体" w:cs="宋体"/>
          <w:b/>
          <w:bCs/>
          <w:szCs w:val="21"/>
          <w:highlight w:val="none"/>
        </w:rPr>
      </w:pPr>
      <w:r>
        <w:rPr>
          <w:rFonts w:hint="eastAsia" w:ascii="宋体" w:hAnsi="宋体" w:cs="宋体"/>
          <w:b/>
          <w:bCs/>
          <w:szCs w:val="21"/>
          <w:highlight w:val="none"/>
        </w:rPr>
        <w:t>5.2本项目合同计价方式为</w:t>
      </w:r>
      <w:r>
        <w:rPr>
          <w:rFonts w:hint="eastAsia" w:ascii="宋体" w:hAnsi="宋体" w:cs="宋体"/>
          <w:b/>
          <w:bCs/>
          <w:szCs w:val="21"/>
          <w:highlight w:val="none"/>
          <w:lang w:eastAsia="zh-CN"/>
        </w:rPr>
        <w:t>固定</w:t>
      </w:r>
      <w:r>
        <w:rPr>
          <w:rFonts w:hint="eastAsia" w:ascii="宋体" w:hAnsi="宋体" w:cs="宋体"/>
          <w:b/>
          <w:bCs/>
          <w:szCs w:val="21"/>
          <w:highlight w:val="none"/>
          <w:lang w:val="en-US" w:eastAsia="zh-CN"/>
        </w:rPr>
        <w:t>下浮率</w:t>
      </w:r>
      <w:r>
        <w:rPr>
          <w:rFonts w:hint="eastAsia" w:ascii="宋体" w:hAnsi="宋体" w:cs="宋体"/>
          <w:b/>
          <w:bCs/>
          <w:szCs w:val="21"/>
          <w:highlight w:val="none"/>
        </w:rPr>
        <w:t xml:space="preserve">。                </w:t>
      </w:r>
    </w:p>
    <w:p w14:paraId="3458AACA">
      <w:pPr>
        <w:pStyle w:val="24"/>
        <w:spacing w:line="520" w:lineRule="exact"/>
        <w:ind w:firstLine="422" w:firstLineChars="200"/>
        <w:jc w:val="left"/>
        <w:rPr>
          <w:rFonts w:hint="eastAsia" w:ascii="宋体" w:hAnsi="宋体" w:cs="宋体"/>
          <w:b/>
          <w:bCs/>
          <w:szCs w:val="21"/>
          <w:highlight w:val="none"/>
        </w:rPr>
      </w:pPr>
      <w:r>
        <w:rPr>
          <w:rFonts w:hint="eastAsia" w:ascii="宋体" w:hAnsi="宋体" w:cs="宋体"/>
          <w:b/>
          <w:bCs/>
          <w:szCs w:val="21"/>
          <w:highlight w:val="none"/>
        </w:rPr>
        <w:t>5.3付款方式：招标范围内的初步设计报告（含附图、概算等）编制和可行性研究报告编制完成且通过评审后，移交所有成果文件并经招标人审核同意后支付至合同价的80%，项目竣工验收结束后支付至合同价的100%。</w:t>
      </w:r>
    </w:p>
    <w:p w14:paraId="1C6283CF">
      <w:pPr>
        <w:spacing w:line="520" w:lineRule="exact"/>
        <w:ind w:right="-433" w:rightChars="-206" w:firstLine="422" w:firstLineChars="200"/>
        <w:jc w:val="left"/>
        <w:rPr>
          <w:rFonts w:hint="eastAsia" w:ascii="宋体" w:hAnsi="宋体" w:cs="宋体"/>
          <w:b/>
          <w:bCs/>
          <w:szCs w:val="21"/>
          <w:highlight w:val="none"/>
        </w:rPr>
      </w:pPr>
      <w:r>
        <w:rPr>
          <w:rFonts w:hint="eastAsia" w:ascii="宋体" w:hAnsi="宋体" w:cs="宋体"/>
          <w:b/>
          <w:bCs/>
          <w:szCs w:val="21"/>
          <w:highlight w:val="none"/>
        </w:rPr>
        <w:t>6、双方一般权利和义务</w:t>
      </w:r>
    </w:p>
    <w:p w14:paraId="27C42ED8">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6.1  甲方权利和义务</w:t>
      </w:r>
    </w:p>
    <w:p w14:paraId="184A9571">
      <w:pPr>
        <w:pStyle w:val="24"/>
        <w:spacing w:line="520" w:lineRule="exact"/>
        <w:ind w:firstLine="420" w:firstLineChars="200"/>
        <w:jc w:val="left"/>
        <w:rPr>
          <w:rFonts w:hint="eastAsia" w:ascii="宋体" w:hAnsi="宋体" w:eastAsia="宋体" w:cs="宋体"/>
          <w:szCs w:val="21"/>
          <w:highlight w:val="none"/>
          <w:lang w:eastAsia="zh-CN"/>
        </w:rPr>
      </w:pPr>
      <w:r>
        <w:rPr>
          <w:rFonts w:hint="eastAsia" w:ascii="宋体" w:hAnsi="宋体" w:cs="宋体"/>
          <w:szCs w:val="21"/>
          <w:highlight w:val="none"/>
        </w:rPr>
        <w:t xml:space="preserve">6.1.1 </w:t>
      </w:r>
      <w:r>
        <w:rPr>
          <w:rFonts w:hint="eastAsia" w:ascii="宋体" w:hAnsi="宋体" w:eastAsia="宋体" w:cs="Times New Roman"/>
          <w:kern w:val="0"/>
          <w:szCs w:val="21"/>
          <w:highlight w:val="none"/>
          <w:lang w:bidi="en-US"/>
        </w:rPr>
        <w:t>负责对乙方服务管理的检查指导、监督与考核</w:t>
      </w:r>
      <w:r>
        <w:rPr>
          <w:rFonts w:hint="eastAsia" w:ascii="宋体" w:hAnsi="宋体" w:cs="宋体"/>
          <w:szCs w:val="21"/>
          <w:highlight w:val="none"/>
          <w:lang w:eastAsia="zh-CN"/>
        </w:rPr>
        <w:t>；</w:t>
      </w:r>
    </w:p>
    <w:p w14:paraId="0387785C">
      <w:pPr>
        <w:pStyle w:val="24"/>
        <w:spacing w:line="520" w:lineRule="exact"/>
        <w:ind w:firstLine="420" w:firstLineChars="200"/>
        <w:jc w:val="left"/>
        <w:rPr>
          <w:rFonts w:hint="eastAsia" w:ascii="宋体" w:hAnsi="宋体" w:eastAsia="宋体" w:cs="宋体"/>
          <w:szCs w:val="21"/>
          <w:highlight w:val="none"/>
          <w:lang w:eastAsia="zh-CN"/>
        </w:rPr>
      </w:pPr>
      <w:r>
        <w:rPr>
          <w:rFonts w:hint="eastAsia" w:ascii="宋体" w:hAnsi="宋体" w:cs="宋体"/>
          <w:szCs w:val="21"/>
          <w:highlight w:val="none"/>
        </w:rPr>
        <w:t>6.1.2</w:t>
      </w:r>
      <w:r>
        <w:rPr>
          <w:rFonts w:hint="eastAsia" w:ascii="宋体" w:hAnsi="宋体" w:eastAsia="宋体" w:cs="Times New Roman"/>
          <w:kern w:val="0"/>
          <w:szCs w:val="21"/>
          <w:highlight w:val="none"/>
          <w:lang w:bidi="en-US"/>
        </w:rPr>
        <w:t>负责制定并向乙方提供相关服务标准及其它相关资料</w:t>
      </w:r>
      <w:r>
        <w:rPr>
          <w:rFonts w:hint="eastAsia" w:ascii="宋体" w:hAnsi="宋体" w:eastAsia="宋体" w:cs="Times New Roman"/>
          <w:kern w:val="0"/>
          <w:szCs w:val="21"/>
          <w:highlight w:val="none"/>
          <w:lang w:eastAsia="zh-CN" w:bidi="en-US"/>
        </w:rPr>
        <w:t>；</w:t>
      </w:r>
    </w:p>
    <w:p w14:paraId="7C32AC74">
      <w:pPr>
        <w:pStyle w:val="24"/>
        <w:spacing w:line="520" w:lineRule="exact"/>
        <w:ind w:firstLine="420" w:firstLineChars="200"/>
        <w:jc w:val="left"/>
        <w:rPr>
          <w:rFonts w:hint="eastAsia" w:ascii="宋体" w:hAnsi="宋体" w:eastAsia="宋体" w:cs="宋体"/>
          <w:szCs w:val="21"/>
          <w:highlight w:val="none"/>
          <w:lang w:eastAsia="zh-CN"/>
        </w:rPr>
      </w:pPr>
      <w:r>
        <w:rPr>
          <w:rFonts w:hint="eastAsia" w:ascii="宋体" w:hAnsi="宋体" w:cs="宋体"/>
          <w:szCs w:val="21"/>
          <w:highlight w:val="none"/>
        </w:rPr>
        <w:t>6.1.</w:t>
      </w:r>
      <w:r>
        <w:rPr>
          <w:rFonts w:ascii="宋体" w:hAnsi="宋体" w:cs="宋体"/>
          <w:szCs w:val="21"/>
          <w:highlight w:val="none"/>
        </w:rPr>
        <w:t>3</w:t>
      </w:r>
      <w:r>
        <w:rPr>
          <w:rFonts w:hint="eastAsia" w:ascii="宋体" w:hAnsi="宋体" w:eastAsia="宋体" w:cs="Times New Roman"/>
          <w:kern w:val="0"/>
          <w:szCs w:val="21"/>
          <w:highlight w:val="none"/>
          <w:lang w:bidi="en-US"/>
        </w:rPr>
        <w:t>负责审核乙方提供的服务计划</w:t>
      </w:r>
      <w:r>
        <w:rPr>
          <w:rFonts w:hint="eastAsia" w:ascii="宋体" w:hAnsi="宋体" w:eastAsia="宋体" w:cs="Times New Roman"/>
          <w:kern w:val="0"/>
          <w:szCs w:val="21"/>
          <w:highlight w:val="none"/>
          <w:lang w:eastAsia="zh-CN" w:bidi="en-US"/>
        </w:rPr>
        <w:t>；</w:t>
      </w:r>
    </w:p>
    <w:p w14:paraId="564085FF">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6.1.</w:t>
      </w:r>
      <w:r>
        <w:rPr>
          <w:rFonts w:ascii="宋体" w:hAnsi="宋体" w:cs="宋体"/>
          <w:szCs w:val="21"/>
          <w:highlight w:val="none"/>
        </w:rPr>
        <w:t>4</w:t>
      </w:r>
      <w:r>
        <w:rPr>
          <w:rFonts w:hint="eastAsia" w:cs="Times New Roman" w:asciiTheme="minorEastAsia" w:hAnsiTheme="minorEastAsia"/>
          <w:kern w:val="0"/>
          <w:szCs w:val="21"/>
          <w:highlight w:val="none"/>
          <w:lang w:bidi="en-US"/>
        </w:rPr>
        <w:t>负责乙方与其它相关单位的工作协调</w:t>
      </w:r>
      <w:r>
        <w:rPr>
          <w:rFonts w:hint="eastAsia" w:ascii="宋体" w:hAnsi="宋体" w:cs="宋体"/>
          <w:szCs w:val="21"/>
          <w:highlight w:val="none"/>
        </w:rPr>
        <w:t>。</w:t>
      </w:r>
    </w:p>
    <w:p w14:paraId="34C8CFEE">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6.1.</w:t>
      </w:r>
      <w:r>
        <w:rPr>
          <w:rFonts w:ascii="宋体" w:hAnsi="宋体" w:cs="宋体"/>
          <w:szCs w:val="21"/>
          <w:highlight w:val="none"/>
        </w:rPr>
        <w:t>5</w:t>
      </w:r>
      <w:r>
        <w:rPr>
          <w:rFonts w:hint="eastAsia" w:ascii="宋体" w:hAnsi="宋体" w:cs="宋体"/>
          <w:szCs w:val="21"/>
          <w:highlight w:val="none"/>
        </w:rPr>
        <w:t xml:space="preserve"> 甲方有义务按时支付咨询款。</w:t>
      </w:r>
    </w:p>
    <w:p w14:paraId="79DDAFD3">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6.2   乙方权利和义务</w:t>
      </w:r>
    </w:p>
    <w:p w14:paraId="60E2F2CE">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6.2.1 乙方应保证方案编制</w:t>
      </w:r>
      <w:r>
        <w:rPr>
          <w:rFonts w:hint="eastAsia" w:ascii="宋体" w:hAnsi="宋体" w:eastAsia="宋体" w:cs="Times New Roman"/>
          <w:kern w:val="0"/>
          <w:szCs w:val="21"/>
          <w:highlight w:val="none"/>
          <w:lang w:bidi="en-US"/>
        </w:rPr>
        <w:t>严格执行甲方对可行性研究报告编制的工期、深度、进度等要求</w:t>
      </w:r>
      <w:r>
        <w:rPr>
          <w:rFonts w:hint="eastAsia" w:ascii="宋体" w:hAnsi="宋体" w:cs="宋体"/>
          <w:szCs w:val="21"/>
          <w:highlight w:val="none"/>
        </w:rPr>
        <w:t>，并确保编制质量和</w:t>
      </w:r>
      <w:r>
        <w:rPr>
          <w:rFonts w:hint="eastAsia" w:ascii="宋体" w:hAnsi="宋体" w:cs="宋体"/>
          <w:szCs w:val="21"/>
          <w:highlight w:val="none"/>
          <w:lang w:val="en-US" w:eastAsia="zh-CN"/>
        </w:rPr>
        <w:t>通过专家评审</w:t>
      </w:r>
      <w:r>
        <w:rPr>
          <w:rFonts w:hint="eastAsia" w:ascii="宋体" w:hAnsi="宋体" w:cs="宋体"/>
          <w:szCs w:val="21"/>
          <w:highlight w:val="none"/>
        </w:rPr>
        <w:t>；负责技术咨询过程中组织专家评审、会务等技术咨询相关事项；</w:t>
      </w:r>
    </w:p>
    <w:p w14:paraId="1E95D904">
      <w:pPr>
        <w:pStyle w:val="24"/>
        <w:spacing w:line="520" w:lineRule="exact"/>
        <w:ind w:firstLine="420" w:firstLineChars="200"/>
        <w:jc w:val="left"/>
        <w:rPr>
          <w:rFonts w:hint="eastAsia" w:ascii="宋体" w:hAnsi="宋体" w:eastAsia="宋体" w:cs="宋体"/>
          <w:szCs w:val="21"/>
          <w:highlight w:val="none"/>
          <w:lang w:eastAsia="zh-CN"/>
        </w:rPr>
      </w:pPr>
      <w:r>
        <w:rPr>
          <w:rFonts w:hint="eastAsia" w:ascii="宋体" w:hAnsi="宋体" w:cs="宋体"/>
          <w:szCs w:val="21"/>
          <w:highlight w:val="none"/>
        </w:rPr>
        <w:t xml:space="preserve">6.2.2 </w:t>
      </w:r>
      <w:r>
        <w:rPr>
          <w:rFonts w:ascii="宋体" w:hAnsi="宋体" w:eastAsia="宋体" w:cs="Times New Roman"/>
          <w:kern w:val="0"/>
          <w:szCs w:val="21"/>
          <w:highlight w:val="none"/>
          <w:lang w:bidi="en-US"/>
        </w:rPr>
        <w:t>遵守甲方现场管理要求</w:t>
      </w:r>
      <w:r>
        <w:rPr>
          <w:rFonts w:hint="eastAsia" w:ascii="宋体" w:hAnsi="宋体" w:eastAsia="宋体" w:cs="Times New Roman"/>
          <w:kern w:val="0"/>
          <w:szCs w:val="21"/>
          <w:highlight w:val="none"/>
          <w:lang w:eastAsia="zh-CN" w:bidi="en-US"/>
        </w:rPr>
        <w:t>；</w:t>
      </w:r>
    </w:p>
    <w:p w14:paraId="7D01ED82">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6.2.3</w:t>
      </w:r>
      <w:r>
        <w:rPr>
          <w:rFonts w:hint="eastAsia" w:ascii="宋体" w:hAnsi="宋体" w:cs="宋体"/>
          <w:szCs w:val="21"/>
          <w:highlight w:val="none"/>
        </w:rPr>
        <w:t>承担因方案编制不合格而返工费用，因乙方的责任而造成工期延误，承担违约责任；</w:t>
      </w:r>
    </w:p>
    <w:p w14:paraId="41535CAE">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6.2.</w:t>
      </w:r>
      <w:r>
        <w:rPr>
          <w:rFonts w:hint="eastAsia" w:ascii="宋体" w:hAnsi="宋体" w:cs="宋体"/>
          <w:szCs w:val="21"/>
          <w:highlight w:val="none"/>
          <w:lang w:val="en-US" w:eastAsia="zh-CN"/>
        </w:rPr>
        <w:t>4</w:t>
      </w:r>
      <w:r>
        <w:rPr>
          <w:rFonts w:hint="eastAsia" w:ascii="宋体" w:hAnsi="宋体" w:cs="宋体"/>
          <w:szCs w:val="21"/>
          <w:highlight w:val="none"/>
        </w:rPr>
        <w:t xml:space="preserve"> 乙方对未尽事宜应提前两天向甲方提出；</w:t>
      </w:r>
    </w:p>
    <w:p w14:paraId="2086C821">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6.2.</w:t>
      </w:r>
      <w:r>
        <w:rPr>
          <w:rFonts w:hint="eastAsia" w:ascii="宋体" w:hAnsi="宋体" w:cs="宋体"/>
          <w:szCs w:val="21"/>
          <w:highlight w:val="none"/>
          <w:lang w:val="en-US" w:eastAsia="zh-CN"/>
        </w:rPr>
        <w:t>5</w:t>
      </w:r>
      <w:r>
        <w:rPr>
          <w:rFonts w:hint="eastAsia" w:ascii="宋体" w:hAnsi="宋体" w:cs="宋体"/>
          <w:szCs w:val="21"/>
          <w:highlight w:val="none"/>
        </w:rPr>
        <w:t xml:space="preserve"> 乙方选派项目负责人</w:t>
      </w:r>
      <w:r>
        <w:rPr>
          <w:rFonts w:hint="eastAsia" w:ascii="宋体" w:hAnsi="宋体" w:cs="宋体"/>
          <w:szCs w:val="21"/>
          <w:highlight w:val="none"/>
          <w:u w:val="single"/>
        </w:rPr>
        <w:t xml:space="preserve">      （电话：        ）</w:t>
      </w:r>
      <w:r>
        <w:rPr>
          <w:rFonts w:hint="eastAsia" w:ascii="宋体" w:hAnsi="宋体" w:cs="宋体"/>
          <w:szCs w:val="21"/>
          <w:highlight w:val="none"/>
        </w:rPr>
        <w:t>负责协调相关事宜；</w:t>
      </w:r>
    </w:p>
    <w:p w14:paraId="074998BF">
      <w:pPr>
        <w:spacing w:line="520" w:lineRule="exact"/>
        <w:ind w:right="-433" w:rightChars="-206" w:firstLine="422" w:firstLineChars="200"/>
        <w:jc w:val="left"/>
        <w:rPr>
          <w:rFonts w:hint="eastAsia" w:ascii="宋体" w:hAnsi="宋体" w:cs="宋体"/>
          <w:b/>
          <w:bCs/>
          <w:szCs w:val="21"/>
          <w:highlight w:val="none"/>
        </w:rPr>
      </w:pPr>
      <w:r>
        <w:rPr>
          <w:rFonts w:hint="eastAsia" w:ascii="宋体" w:hAnsi="宋体" w:cs="宋体"/>
          <w:b/>
          <w:bCs/>
          <w:szCs w:val="21"/>
          <w:highlight w:val="none"/>
        </w:rPr>
        <w:t>7、甲方相关验收标准（包括但不限于）</w:t>
      </w:r>
    </w:p>
    <w:p w14:paraId="172AA46F">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7.1《中华人民共和国可再生能源法》(2009年修订)；</w:t>
      </w:r>
    </w:p>
    <w:p w14:paraId="567015FB">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7.2《中华人民共和国土地管理法》(1986年</w:t>
      </w:r>
      <w:r>
        <w:rPr>
          <w:rFonts w:hint="eastAsia" w:ascii="宋体" w:hAnsi="宋体" w:cs="宋体"/>
          <w:szCs w:val="21"/>
          <w:highlight w:val="none"/>
          <w:lang w:eastAsia="zh-CN"/>
        </w:rPr>
        <w:t>8月</w:t>
      </w:r>
      <w:r>
        <w:rPr>
          <w:rFonts w:hint="eastAsia" w:ascii="宋体" w:hAnsi="宋体" w:eastAsia="宋体" w:cs="宋体"/>
          <w:szCs w:val="21"/>
          <w:highlight w:val="none"/>
        </w:rPr>
        <w:t>通过，1998年12月第一次修订，2004年8月第二次修订)；</w:t>
      </w:r>
    </w:p>
    <w:p w14:paraId="0D0EDE95">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7.3《中华人民共和国土地管理法实施条例》(2014年7月修正版)；</w:t>
      </w:r>
    </w:p>
    <w:p w14:paraId="7F582E5D">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7.4《中华人民共和国水土保持法》(1991.06.29颁布，2010.12.25修订，2011年3月1日实施)；</w:t>
      </w:r>
    </w:p>
    <w:p w14:paraId="528A6F2A">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7.5《中华人民共和国文物保护法》(2015年4月24日修正)；</w:t>
      </w:r>
    </w:p>
    <w:p w14:paraId="2EE63659">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7.6《中华人民共和国环境保护法(修订)》，2015年1月1日；</w:t>
      </w:r>
    </w:p>
    <w:p w14:paraId="7F6FE7AE">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7.7《中华人民共和国环境影响评价法》(2002年10月颁布，2016年9月1日修改))；</w:t>
      </w:r>
    </w:p>
    <w:p w14:paraId="76D72D04">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7.8《中华人民共和国自然保护区条例》(1994年10月颁布，2011年1月修订)；</w:t>
      </w:r>
    </w:p>
    <w:p w14:paraId="099A1C17">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7.9《风景名胜区条例》(2006年9月颁布，2016年2月6日修订)；</w:t>
      </w:r>
    </w:p>
    <w:p w14:paraId="50431817">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7.10《光伏发电工程可行性研究报告编制规程 》(NB∕T 32043-2018)；</w:t>
      </w:r>
    </w:p>
    <w:p w14:paraId="07367F86">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7.11《电网调度管理条例》(1993年11月颁布，2011年1月8日修正)；</w:t>
      </w:r>
    </w:p>
    <w:p w14:paraId="55CB3847">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7.12《建设项目选址规划管理办法》(建设部、国家计委1991年8月颁发)；</w:t>
      </w:r>
    </w:p>
    <w:p w14:paraId="4EED5AE2">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7.13《中国地震动参数区划图》GB 18306 </w:t>
      </w:r>
    </w:p>
    <w:p w14:paraId="0A4B9885">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7.14《太阳能资源等级总辐射》GB/T 31155 </w:t>
      </w:r>
    </w:p>
    <w:p w14:paraId="60B06E67">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7.15《光伏发电站设计规范》GB 50797 </w:t>
      </w:r>
    </w:p>
    <w:p w14:paraId="2FD765D5">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7.16《光伏发电工程设计概算编制规定及费用标准》NB/T 32027 </w:t>
      </w:r>
    </w:p>
    <w:p w14:paraId="1BE9A837">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7.17《光伏发电工程勘察设计费计算标准》NB/T 32030 </w:t>
      </w:r>
    </w:p>
    <w:p w14:paraId="232451BD">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7.18《光伏发电工程概算定额》NB/T 32035</w:t>
      </w:r>
    </w:p>
    <w:p w14:paraId="5191445E">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7.19《岩土工程勘察规范》 GB 50021 </w:t>
      </w:r>
    </w:p>
    <w:p w14:paraId="0B14D7E2">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7.20《建筑施工企业职业病危害防治技术规范》AQ/T 4256 </w:t>
      </w:r>
    </w:p>
    <w:p w14:paraId="7121AE07">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7.21《中华人民共和国安全生产法》（2014年12月1日施行） </w:t>
      </w:r>
    </w:p>
    <w:p w14:paraId="3E10459E">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7.22《生产过程安全卫生要求总则》GB/T 12801 </w:t>
      </w:r>
    </w:p>
    <w:p w14:paraId="1D2BBE76">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7.23《生产经营单位安全生产事故应急预案编制导则》 </w:t>
      </w:r>
    </w:p>
    <w:p w14:paraId="2DD5C122">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7.24《生产安全事故应急预案管理办法》 </w:t>
      </w:r>
    </w:p>
    <w:p w14:paraId="4F175CEC">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7.25《企业安全生产应急管理九条规定》（国家安监局第74号令） </w:t>
      </w:r>
    </w:p>
    <w:p w14:paraId="1590776B">
      <w:pPr>
        <w:pStyle w:val="24"/>
        <w:spacing w:line="52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因项目执行需要，甲方向乙方提供气象数据、场址范围、区域敏感因素等资料，乙方应遵守对资料的保密、保管要求。乙方未经甲方同意，不得将资料转给第三方。</w:t>
      </w:r>
    </w:p>
    <w:p w14:paraId="478C2BB1">
      <w:pPr>
        <w:spacing w:line="520" w:lineRule="exact"/>
        <w:ind w:right="-433" w:rightChars="-206" w:firstLine="422" w:firstLineChars="200"/>
        <w:jc w:val="left"/>
        <w:rPr>
          <w:rFonts w:hint="eastAsia" w:ascii="宋体" w:hAnsi="宋体" w:cs="宋体"/>
          <w:b/>
          <w:bCs/>
          <w:szCs w:val="21"/>
          <w:highlight w:val="none"/>
        </w:rPr>
      </w:pPr>
      <w:r>
        <w:rPr>
          <w:rFonts w:hint="eastAsia" w:ascii="宋体" w:hAnsi="宋体" w:cs="宋体"/>
          <w:b/>
          <w:bCs/>
          <w:szCs w:val="21"/>
          <w:highlight w:val="none"/>
          <w:lang w:val="en-US" w:eastAsia="zh-CN"/>
        </w:rPr>
        <w:t>8、</w:t>
      </w:r>
      <w:r>
        <w:rPr>
          <w:rFonts w:hint="eastAsia" w:ascii="宋体" w:hAnsi="宋体" w:cs="宋体"/>
          <w:b/>
          <w:bCs/>
          <w:szCs w:val="21"/>
          <w:highlight w:val="none"/>
        </w:rPr>
        <w:t>安全责任</w:t>
      </w:r>
    </w:p>
    <w:p w14:paraId="1FC5726D">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8</w:t>
      </w:r>
      <w:r>
        <w:rPr>
          <w:rFonts w:hint="eastAsia" w:ascii="宋体" w:hAnsi="宋体" w:cs="宋体"/>
          <w:szCs w:val="21"/>
          <w:highlight w:val="none"/>
        </w:rPr>
        <w:t>.1  甲方不得要求乙方违反安全管理的规定，因甲方原因等导致安全事故由甲方承担相应的责任及发生的费用。</w:t>
      </w:r>
    </w:p>
    <w:p w14:paraId="362D2601">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8</w:t>
      </w:r>
      <w:r>
        <w:rPr>
          <w:rFonts w:hint="eastAsia" w:ascii="宋体" w:hAnsi="宋体" w:cs="宋体"/>
          <w:szCs w:val="21"/>
          <w:highlight w:val="none"/>
        </w:rPr>
        <w:t>.2  乙方应遵守有关管理制度，采取必要的安全措施，消除事故隐患，由于乙方安全措施不力造成事故责任和因此发生的费用由乙方承担。</w:t>
      </w:r>
    </w:p>
    <w:p w14:paraId="0BB60703">
      <w:pPr>
        <w:spacing w:line="520" w:lineRule="exact"/>
        <w:ind w:right="-433" w:rightChars="-206" w:firstLine="422" w:firstLineChars="200"/>
        <w:jc w:val="left"/>
        <w:rPr>
          <w:rFonts w:hint="eastAsia" w:ascii="宋体" w:hAnsi="宋体" w:cs="宋体"/>
          <w:b/>
          <w:bCs/>
          <w:szCs w:val="21"/>
          <w:highlight w:val="none"/>
        </w:rPr>
      </w:pPr>
      <w:r>
        <w:rPr>
          <w:rFonts w:hint="eastAsia" w:ascii="宋体" w:hAnsi="宋体" w:cs="宋体"/>
          <w:b/>
          <w:bCs/>
          <w:szCs w:val="21"/>
          <w:highlight w:val="none"/>
          <w:lang w:val="en-US" w:eastAsia="zh-CN"/>
        </w:rPr>
        <w:t>9</w:t>
      </w:r>
      <w:r>
        <w:rPr>
          <w:rFonts w:hint="eastAsia" w:ascii="宋体" w:hAnsi="宋体" w:cs="宋体"/>
          <w:b/>
          <w:bCs/>
          <w:szCs w:val="21"/>
          <w:highlight w:val="none"/>
        </w:rPr>
        <w:t>、违约责任</w:t>
      </w:r>
    </w:p>
    <w:p w14:paraId="5F2C7700">
      <w:pPr>
        <w:pStyle w:val="24"/>
        <w:spacing w:line="52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9</w:t>
      </w:r>
      <w:r>
        <w:rPr>
          <w:rFonts w:hint="eastAsia" w:ascii="宋体" w:hAnsi="宋体" w:cs="宋体"/>
          <w:szCs w:val="21"/>
          <w:highlight w:val="none"/>
        </w:rPr>
        <w:t>.1   甲方违约：当发生下列情况时：</w:t>
      </w:r>
    </w:p>
    <w:p w14:paraId="776D53E0">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9</w:t>
      </w:r>
      <w:r>
        <w:rPr>
          <w:rFonts w:hint="eastAsia" w:ascii="宋体" w:hAnsi="宋体" w:cs="宋体"/>
          <w:szCs w:val="21"/>
          <w:highlight w:val="none"/>
        </w:rPr>
        <w:t>.1.1  甲方不履行合同义务或不按合同约定履行义务的其他情况；</w:t>
      </w:r>
    </w:p>
    <w:p w14:paraId="5FD37303">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9</w:t>
      </w:r>
      <w:r>
        <w:rPr>
          <w:rFonts w:hint="eastAsia" w:ascii="宋体" w:hAnsi="宋体" w:cs="宋体"/>
          <w:szCs w:val="21"/>
          <w:highlight w:val="none"/>
        </w:rPr>
        <w:t>.2   乙方违约：当发生下列情况时</w:t>
      </w:r>
    </w:p>
    <w:p w14:paraId="7EF78C8A">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9</w:t>
      </w:r>
      <w:r>
        <w:rPr>
          <w:rFonts w:hint="eastAsia" w:ascii="宋体" w:hAnsi="宋体" w:cs="宋体"/>
          <w:szCs w:val="21"/>
          <w:highlight w:val="none"/>
        </w:rPr>
        <w:t>.2.1  由于乙方原因质量达不到协议书约定的质量标准，乙方无条件返工并承担损失和违约责任；</w:t>
      </w:r>
    </w:p>
    <w:p w14:paraId="27162EEC">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9</w:t>
      </w:r>
      <w:r>
        <w:rPr>
          <w:rFonts w:hint="eastAsia" w:ascii="宋体" w:hAnsi="宋体" w:cs="宋体"/>
          <w:szCs w:val="21"/>
          <w:highlight w:val="none"/>
        </w:rPr>
        <w:t>.2.2  由于乙方不履行合同义务或不按合同约定履行义务的其他情况；</w:t>
      </w:r>
    </w:p>
    <w:p w14:paraId="1E0A87A1">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9</w:t>
      </w:r>
      <w:r>
        <w:rPr>
          <w:rFonts w:hint="eastAsia" w:ascii="宋体" w:hAnsi="宋体" w:cs="宋体"/>
          <w:szCs w:val="21"/>
          <w:highlight w:val="none"/>
        </w:rPr>
        <w:t>.2.3  乙方承担违约责任，赔偿其因其违约给甲方造成的直接经济损失。</w:t>
      </w:r>
    </w:p>
    <w:p w14:paraId="283B1AE4">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9</w:t>
      </w:r>
      <w:r>
        <w:rPr>
          <w:rFonts w:hint="eastAsia" w:ascii="宋体" w:hAnsi="宋体" w:cs="宋体"/>
          <w:szCs w:val="21"/>
          <w:highlight w:val="none"/>
        </w:rPr>
        <w:t>.3    一方违约后， 另一方要求违约方继续履行合同时，违约方承担上述违约责任后，仍继续履行合同。</w:t>
      </w:r>
    </w:p>
    <w:p w14:paraId="752AE77D">
      <w:pPr>
        <w:spacing w:line="480" w:lineRule="exact"/>
        <w:ind w:right="-433" w:rightChars="-206" w:firstLine="422" w:firstLineChars="200"/>
        <w:jc w:val="left"/>
        <w:rPr>
          <w:rFonts w:hint="eastAsia" w:ascii="宋体" w:hAnsi="宋体" w:cs="宋体"/>
          <w:b/>
          <w:bCs/>
          <w:szCs w:val="21"/>
          <w:highlight w:val="none"/>
          <w:lang w:val="zh-CN"/>
        </w:rPr>
      </w:pPr>
      <w:bookmarkStart w:id="879" w:name="_Toc16021"/>
      <w:bookmarkStart w:id="880" w:name="_Toc28375"/>
      <w:bookmarkStart w:id="881" w:name="_Toc15583"/>
      <w:r>
        <w:rPr>
          <w:rFonts w:hint="eastAsia" w:ascii="宋体" w:hAnsi="宋体" w:cs="宋体"/>
          <w:b/>
          <w:bCs/>
          <w:szCs w:val="21"/>
          <w:highlight w:val="none"/>
          <w:lang w:val="zh-CN"/>
        </w:rPr>
        <w:t>1</w:t>
      </w:r>
      <w:r>
        <w:rPr>
          <w:rFonts w:hint="eastAsia" w:ascii="宋体" w:hAnsi="宋体" w:cs="宋体"/>
          <w:b/>
          <w:bCs/>
          <w:szCs w:val="21"/>
          <w:highlight w:val="none"/>
          <w:lang w:val="en-US" w:eastAsia="zh-CN"/>
        </w:rPr>
        <w:t>0、</w:t>
      </w:r>
      <w:r>
        <w:rPr>
          <w:rFonts w:hint="eastAsia" w:ascii="宋体" w:hAnsi="宋体" w:cs="宋体"/>
          <w:b/>
          <w:bCs/>
          <w:szCs w:val="21"/>
          <w:highlight w:val="none"/>
          <w:lang w:val="zh-CN"/>
        </w:rPr>
        <w:t>合同争议的解决</w:t>
      </w:r>
      <w:bookmarkEnd w:id="879"/>
      <w:bookmarkEnd w:id="880"/>
      <w:bookmarkEnd w:id="881"/>
    </w:p>
    <w:p w14:paraId="60C5EB80">
      <w:pPr>
        <w:pStyle w:val="24"/>
        <w:spacing w:line="48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本合同履行过程中发生的任何争议，双方当事人均可通过和解或者调解解决；不愿和解、调解或者和解、调解不成的，可以选择下列第</w:t>
      </w:r>
      <w:r>
        <w:rPr>
          <w:rFonts w:hint="eastAsia" w:ascii="宋体" w:hAnsi="宋体" w:eastAsia="宋体" w:cs="宋体"/>
          <w:szCs w:val="21"/>
          <w:highlight w:val="none"/>
          <w:u w:val="single"/>
        </w:rPr>
        <w:t>1</w:t>
      </w:r>
      <w:r>
        <w:rPr>
          <w:rFonts w:hint="eastAsia" w:ascii="宋体" w:hAnsi="宋体" w:eastAsia="宋体" w:cs="宋体"/>
          <w:szCs w:val="21"/>
          <w:highlight w:val="none"/>
        </w:rPr>
        <w:t>种方式解决：</w:t>
      </w:r>
    </w:p>
    <w:p w14:paraId="7DB0644D">
      <w:pPr>
        <w:pStyle w:val="24"/>
        <w:spacing w:line="48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lang w:val="en-US" w:eastAsia="zh-CN"/>
        </w:rPr>
        <w:t>10.1</w:t>
      </w:r>
      <w:r>
        <w:rPr>
          <w:rFonts w:hint="eastAsia" w:ascii="宋体" w:hAnsi="宋体" w:eastAsia="宋体" w:cs="宋体"/>
          <w:szCs w:val="21"/>
          <w:highlight w:val="none"/>
        </w:rPr>
        <w:t>.1将争议提交滁州仲裁委员会依申请仲裁时其现行有效的仲裁规则裁决；</w:t>
      </w:r>
    </w:p>
    <w:p w14:paraId="01D6BECD">
      <w:pPr>
        <w:pStyle w:val="24"/>
        <w:spacing w:line="480" w:lineRule="exact"/>
        <w:ind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10.1</w:t>
      </w:r>
      <w:r>
        <w:rPr>
          <w:rFonts w:hint="eastAsia" w:ascii="宋体" w:hAnsi="宋体" w:eastAsia="宋体" w:cs="宋体"/>
          <w:szCs w:val="21"/>
          <w:highlight w:val="none"/>
        </w:rPr>
        <w:t>.1向甲方（</w:t>
      </w:r>
      <w:r>
        <w:rPr>
          <w:rFonts w:hint="eastAsia" w:ascii="宋体" w:hAnsi="宋体" w:eastAsia="宋体" w:cs="宋体"/>
          <w:szCs w:val="21"/>
          <w:highlight w:val="none"/>
          <w:lang w:val="en-US" w:eastAsia="zh-CN"/>
        </w:rPr>
        <w:t>招标</w:t>
      </w:r>
      <w:r>
        <w:rPr>
          <w:rFonts w:hint="eastAsia" w:ascii="宋体" w:hAnsi="宋体" w:eastAsia="宋体" w:cs="宋体"/>
          <w:szCs w:val="21"/>
          <w:highlight w:val="none"/>
        </w:rPr>
        <w:t>人）所在地人民法院起诉。</w:t>
      </w:r>
    </w:p>
    <w:p w14:paraId="0B5D6E66">
      <w:pPr>
        <w:spacing w:line="480" w:lineRule="exact"/>
        <w:ind w:right="-433" w:rightChars="-206" w:firstLine="422" w:firstLineChars="200"/>
        <w:jc w:val="left"/>
        <w:rPr>
          <w:rFonts w:hint="eastAsia" w:ascii="宋体" w:hAnsi="宋体" w:cs="宋体"/>
          <w:b/>
          <w:bCs/>
          <w:szCs w:val="21"/>
          <w:highlight w:val="none"/>
        </w:rPr>
      </w:pPr>
      <w:r>
        <w:rPr>
          <w:rFonts w:hint="eastAsia" w:ascii="宋体" w:hAnsi="宋体" w:cs="宋体"/>
          <w:b/>
          <w:bCs/>
          <w:szCs w:val="21"/>
          <w:highlight w:val="none"/>
          <w:lang w:val="en-US" w:eastAsia="zh-CN"/>
        </w:rPr>
        <w:t>11</w:t>
      </w:r>
      <w:r>
        <w:rPr>
          <w:rFonts w:hint="eastAsia" w:ascii="宋体" w:hAnsi="宋体" w:cs="宋体"/>
          <w:b/>
          <w:bCs/>
          <w:szCs w:val="21"/>
          <w:highlight w:val="none"/>
        </w:rPr>
        <w:t>、合同生效及其它</w:t>
      </w:r>
    </w:p>
    <w:p w14:paraId="0DF1995E">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11</w:t>
      </w:r>
      <w:r>
        <w:rPr>
          <w:rFonts w:hint="eastAsia" w:ascii="宋体" w:hAnsi="宋体" w:cs="宋体"/>
          <w:szCs w:val="21"/>
          <w:highlight w:val="none"/>
        </w:rPr>
        <w:t>.1  本合同发生的相关图纸、技术资料、传真等纸质材料是本合同的组成部分，与本合同具有同等法律效力。</w:t>
      </w:r>
    </w:p>
    <w:p w14:paraId="03C06E10">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11</w:t>
      </w:r>
      <w:r>
        <w:rPr>
          <w:rFonts w:hint="eastAsia" w:ascii="宋体" w:hAnsi="宋体" w:cs="宋体"/>
          <w:szCs w:val="21"/>
          <w:highlight w:val="none"/>
        </w:rPr>
        <w:t>.2   未尽事宜，双方在合同执行时协商解决。</w:t>
      </w:r>
    </w:p>
    <w:p w14:paraId="4D07EE2E">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11</w:t>
      </w: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 xml:space="preserve">   本合同规定的责任和义务、付款结清后，本合同及告终止。</w:t>
      </w:r>
    </w:p>
    <w:p w14:paraId="63E10902">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lang w:val="en-US" w:eastAsia="zh-CN"/>
        </w:rPr>
        <w:t>11</w:t>
      </w:r>
      <w:r>
        <w:rPr>
          <w:rFonts w:hint="eastAsia" w:ascii="宋体" w:hAnsi="宋体" w:cs="宋体"/>
          <w:szCs w:val="21"/>
          <w:highlight w:val="none"/>
        </w:rPr>
        <w:t>.</w:t>
      </w:r>
      <w:r>
        <w:rPr>
          <w:rFonts w:hint="eastAsia" w:ascii="宋体" w:hAnsi="宋体" w:cs="宋体"/>
          <w:szCs w:val="21"/>
          <w:highlight w:val="none"/>
          <w:lang w:val="en-US" w:eastAsia="zh-CN"/>
        </w:rPr>
        <w:t xml:space="preserve">4 </w:t>
      </w:r>
      <w:r>
        <w:rPr>
          <w:rFonts w:hint="eastAsia" w:ascii="宋体" w:hAnsi="宋体" w:cs="宋体"/>
          <w:szCs w:val="21"/>
          <w:highlight w:val="none"/>
        </w:rPr>
        <w:t xml:space="preserve">  甲乙双方法定代表人或其委托代理人在合同书上签名并盖单位公章后合同生效。</w:t>
      </w:r>
    </w:p>
    <w:p w14:paraId="3ED6D161">
      <w:pPr>
        <w:pStyle w:val="24"/>
        <w:spacing w:line="480" w:lineRule="exact"/>
        <w:ind w:firstLine="420" w:firstLineChars="200"/>
        <w:jc w:val="left"/>
        <w:rPr>
          <w:rFonts w:hint="eastAsia" w:ascii="宋体" w:hAnsi="宋体" w:cs="宋体"/>
          <w:szCs w:val="21"/>
          <w:highlight w:val="none"/>
          <w:lang w:eastAsia="zh-CN"/>
        </w:rPr>
      </w:pPr>
      <w:r>
        <w:rPr>
          <w:rFonts w:hint="eastAsia" w:ascii="宋体" w:hAnsi="宋体" w:cs="宋体"/>
          <w:szCs w:val="21"/>
          <w:highlight w:val="none"/>
          <w:lang w:val="en-US" w:eastAsia="zh-CN"/>
        </w:rPr>
        <w:t>11</w:t>
      </w: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 xml:space="preserve">   本合同正本一式</w:t>
      </w:r>
      <w:r>
        <w:rPr>
          <w:rFonts w:hint="eastAsia" w:ascii="宋体" w:hAnsi="宋体" w:cs="宋体"/>
          <w:szCs w:val="21"/>
          <w:highlight w:val="none"/>
          <w:u w:val="single"/>
          <w:lang w:eastAsia="zh-CN"/>
        </w:rPr>
        <w:t xml:space="preserve"> </w:t>
      </w:r>
      <w:r>
        <w:rPr>
          <w:rFonts w:hint="eastAsia" w:ascii="宋体" w:hAnsi="宋体" w:cs="宋体"/>
          <w:szCs w:val="21"/>
          <w:highlight w:val="none"/>
          <w:u w:val="single"/>
          <w:lang w:val="en-US" w:eastAsia="zh-CN"/>
        </w:rPr>
        <w:t>捌</w:t>
      </w:r>
      <w:r>
        <w:rPr>
          <w:rFonts w:hint="eastAsia" w:ascii="宋体" w:hAnsi="宋体" w:cs="宋体"/>
          <w:szCs w:val="21"/>
          <w:highlight w:val="none"/>
          <w:u w:val="single"/>
          <w:lang w:eastAsia="zh-CN"/>
        </w:rPr>
        <w:t xml:space="preserve">  </w:t>
      </w:r>
      <w:r>
        <w:rPr>
          <w:rFonts w:hint="eastAsia" w:ascii="宋体" w:hAnsi="宋体" w:cs="宋体"/>
          <w:szCs w:val="21"/>
          <w:highlight w:val="none"/>
          <w:lang w:eastAsia="zh-CN"/>
        </w:rPr>
        <w:t>份，甲乙双方各执</w:t>
      </w:r>
      <w:r>
        <w:rPr>
          <w:rFonts w:hint="eastAsia" w:ascii="宋体" w:hAnsi="宋体" w:cs="宋体"/>
          <w:szCs w:val="21"/>
          <w:highlight w:val="none"/>
          <w:u w:val="single"/>
          <w:lang w:eastAsia="zh-CN"/>
        </w:rPr>
        <w:t xml:space="preserve"> 肆 </w:t>
      </w:r>
      <w:r>
        <w:rPr>
          <w:rFonts w:hint="eastAsia" w:ascii="宋体" w:hAnsi="宋体" w:cs="宋体"/>
          <w:szCs w:val="21"/>
          <w:highlight w:val="none"/>
          <w:lang w:eastAsia="zh-CN"/>
        </w:rPr>
        <w:t>份。</w:t>
      </w:r>
    </w:p>
    <w:p w14:paraId="591C5E78">
      <w:pPr>
        <w:pStyle w:val="24"/>
        <w:spacing w:line="480" w:lineRule="exact"/>
        <w:ind w:firstLine="420" w:firstLineChars="200"/>
        <w:jc w:val="left"/>
        <w:rPr>
          <w:rFonts w:hint="eastAsia" w:ascii="宋体" w:hAnsi="宋体" w:cs="宋体"/>
          <w:szCs w:val="21"/>
          <w:highlight w:val="none"/>
        </w:rPr>
      </w:pPr>
    </w:p>
    <w:p w14:paraId="2D042012">
      <w:pPr>
        <w:ind w:firstLine="420" w:firstLineChars="200"/>
        <w:rPr>
          <w:rFonts w:hint="eastAsia" w:ascii="宋体" w:hAnsi="宋体" w:cs="宋体"/>
          <w:szCs w:val="21"/>
          <w:highlight w:val="none"/>
        </w:rPr>
      </w:pPr>
      <w:r>
        <w:rPr>
          <w:rFonts w:hint="eastAsia" w:ascii="宋体" w:hAnsi="宋体" w:cs="宋体"/>
          <w:szCs w:val="21"/>
          <w:highlight w:val="none"/>
        </w:rPr>
        <w:t xml:space="preserve">甲 方：  (公章)                       乙 方：  (公章)                                 </w:t>
      </w:r>
    </w:p>
    <w:p w14:paraId="456C138D">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法定代表人或其委托代理人：            法定代表人或其委托代理人：</w:t>
      </w:r>
    </w:p>
    <w:p w14:paraId="106D2248">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（签字）                             （签字）</w:t>
      </w:r>
    </w:p>
    <w:p w14:paraId="465B6EFA">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组织机构代码：</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      组织机构代码：             </w:t>
      </w:r>
    </w:p>
    <w:p w14:paraId="0AC3C002">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地  址：</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           地  址：                  </w:t>
      </w:r>
    </w:p>
    <w:p w14:paraId="4A992A98">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邮政编码：</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                      邮政编码：                  </w:t>
      </w:r>
    </w:p>
    <w:p w14:paraId="244D32E5">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电  话：</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                  电  话：                     </w:t>
      </w:r>
    </w:p>
    <w:p w14:paraId="6B113043">
      <w:pPr>
        <w:pStyle w:val="24"/>
        <w:spacing w:line="48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 xml:space="preserve">                                      开户银行：                   </w:t>
      </w:r>
    </w:p>
    <w:p w14:paraId="7CA84305">
      <w:pPr>
        <w:spacing w:line="480" w:lineRule="exact"/>
        <w:ind w:firstLine="420" w:firstLineChars="200"/>
        <w:rPr>
          <w:rFonts w:hint="eastAsia" w:ascii="宋体" w:hAnsi="宋体" w:cs="宋体"/>
          <w:highlight w:val="none"/>
        </w:rPr>
      </w:pPr>
      <w:r>
        <w:rPr>
          <w:rFonts w:hint="eastAsia" w:ascii="宋体" w:hAnsi="宋体" w:cs="宋体"/>
          <w:szCs w:val="21"/>
          <w:highlight w:val="none"/>
        </w:rPr>
        <w:t xml:space="preserve">                                    账   号：</w:t>
      </w:r>
    </w:p>
    <w:p w14:paraId="41E33B02">
      <w:pPr>
        <w:pStyle w:val="2"/>
        <w:rPr>
          <w:rFonts w:hint="eastAsia"/>
          <w:highlight w:val="none"/>
        </w:rPr>
      </w:pPr>
    </w:p>
    <w:p w14:paraId="56AC9468">
      <w:pPr>
        <w:rPr>
          <w:rFonts w:hint="eastAsia"/>
          <w:highlight w:val="none"/>
        </w:rPr>
      </w:pPr>
    </w:p>
    <w:p w14:paraId="0A5802DA">
      <w:pPr>
        <w:pStyle w:val="2"/>
        <w:rPr>
          <w:rFonts w:hint="eastAsia"/>
          <w:highlight w:val="none"/>
        </w:rPr>
      </w:pPr>
    </w:p>
    <w:p w14:paraId="1BFB17F1">
      <w:pPr>
        <w:rPr>
          <w:rFonts w:hint="eastAsia"/>
          <w:highlight w:val="none"/>
        </w:rPr>
      </w:pPr>
    </w:p>
    <w:p w14:paraId="13205218">
      <w:pPr>
        <w:pStyle w:val="2"/>
        <w:rPr>
          <w:rFonts w:hint="eastAsia"/>
          <w:highlight w:val="none"/>
        </w:rPr>
      </w:pPr>
    </w:p>
    <w:p w14:paraId="74A8E635">
      <w:pPr>
        <w:rPr>
          <w:rFonts w:hint="eastAsia"/>
          <w:highlight w:val="none"/>
        </w:rPr>
      </w:pPr>
    </w:p>
    <w:p w14:paraId="4C2A5DB5">
      <w:pPr>
        <w:rPr>
          <w:rFonts w:hint="eastAsia"/>
          <w:highlight w:val="none"/>
        </w:rPr>
      </w:pPr>
      <w:r>
        <w:rPr>
          <w:rFonts w:hint="eastAsia"/>
          <w:highlight w:val="none"/>
        </w:rPr>
        <w:br w:type="page"/>
      </w:r>
    </w:p>
    <w:p w14:paraId="26189632">
      <w:pPr>
        <w:rPr>
          <w:rFonts w:hint="eastAsia"/>
          <w:highlight w:val="none"/>
        </w:rPr>
      </w:pPr>
    </w:p>
    <w:p w14:paraId="1D9C05F5">
      <w:pPr>
        <w:keepNext/>
        <w:keepLines/>
        <w:numPr>
          <w:ilvl w:val="0"/>
          <w:numId w:val="1"/>
        </w:numPr>
        <w:spacing w:line="360" w:lineRule="auto"/>
        <w:jc w:val="center"/>
        <w:outlineLvl w:val="0"/>
        <w:rPr>
          <w:rFonts w:hint="default" w:ascii="宋体" w:hAnsi="宋体" w:eastAsia="宋体" w:cs="宋体"/>
          <w:b/>
          <w:bCs/>
          <w:color w:val="auto"/>
          <w:kern w:val="44"/>
          <w:sz w:val="32"/>
          <w:szCs w:val="44"/>
          <w:highlight w:val="none"/>
          <w:lang w:val="en-US" w:eastAsia="zh-CN"/>
        </w:rPr>
      </w:pPr>
      <w:r>
        <w:rPr>
          <w:rFonts w:hint="eastAsia" w:ascii="宋体" w:hAnsi="宋体" w:eastAsia="宋体" w:cs="宋体"/>
          <w:b/>
          <w:bCs/>
          <w:color w:val="auto"/>
          <w:kern w:val="44"/>
          <w:sz w:val="32"/>
          <w:szCs w:val="44"/>
          <w:highlight w:val="none"/>
        </w:rPr>
        <w:t xml:space="preserve"> </w:t>
      </w:r>
      <w:r>
        <w:rPr>
          <w:rFonts w:hint="eastAsia" w:ascii="宋体" w:hAnsi="宋体" w:cs="宋体"/>
          <w:b/>
          <w:bCs/>
          <w:color w:val="auto"/>
          <w:kern w:val="44"/>
          <w:sz w:val="32"/>
          <w:szCs w:val="44"/>
          <w:highlight w:val="none"/>
          <w:lang w:val="en-US" w:eastAsia="zh-CN"/>
        </w:rPr>
        <w:t>发包人要求</w:t>
      </w:r>
    </w:p>
    <w:bookmarkEnd w:id="863"/>
    <w:bookmarkEnd w:id="864"/>
    <w:bookmarkEnd w:id="865"/>
    <w:bookmarkEnd w:id="866"/>
    <w:p w14:paraId="7E9F1735">
      <w:pPr>
        <w:pStyle w:val="24"/>
        <w:spacing w:line="480" w:lineRule="exact"/>
        <w:ind w:right="468" w:rightChars="223" w:firstLine="420" w:firstLineChars="200"/>
        <w:jc w:val="left"/>
        <w:rPr>
          <w:rFonts w:hint="eastAsia" w:ascii="宋体" w:hAnsi="宋体" w:eastAsia="宋体" w:cs="宋体"/>
          <w:szCs w:val="21"/>
          <w:highlight w:val="none"/>
          <w:lang w:val="en-US" w:eastAsia="zh-CN"/>
        </w:rPr>
      </w:pPr>
      <w:bookmarkStart w:id="882" w:name="_Toc152042575"/>
      <w:bookmarkStart w:id="883" w:name="_Toc179632806"/>
      <w:bookmarkStart w:id="884" w:name="_Toc152045786"/>
      <w:bookmarkStart w:id="885" w:name="_Toc15058934"/>
      <w:bookmarkStart w:id="886" w:name="_Toc324404888"/>
      <w:bookmarkStart w:id="887" w:name="_Toc246996354"/>
      <w:bookmarkStart w:id="888" w:name="_Toc506107340"/>
      <w:bookmarkStart w:id="889" w:name="_Toc78803398"/>
      <w:bookmarkStart w:id="890" w:name="_Toc246997097"/>
      <w:bookmarkStart w:id="891" w:name="_Toc247085872"/>
      <w:bookmarkStart w:id="892" w:name="_Toc144974855"/>
      <w:bookmarkStart w:id="893" w:name="_Toc35425136"/>
      <w:bookmarkStart w:id="894" w:name="_Toc35424970"/>
      <w:r>
        <w:rPr>
          <w:rFonts w:hint="eastAsia" w:ascii="宋体" w:hAnsi="宋体" w:eastAsia="宋体" w:cs="宋体"/>
          <w:szCs w:val="21"/>
          <w:highlight w:val="none"/>
          <w:lang w:val="en-US" w:eastAsia="zh-CN"/>
        </w:rPr>
        <w:t>一、项目名称：</w:t>
      </w:r>
      <w:r>
        <w:rPr>
          <w:rFonts w:hint="eastAsia" w:ascii="宋体" w:hAnsi="宋体" w:cs="宋体"/>
          <w:bCs/>
          <w:color w:val="auto"/>
          <w:kern w:val="1"/>
          <w:sz w:val="21"/>
          <w:szCs w:val="21"/>
          <w:highlight w:val="none"/>
          <w:lang w:eastAsia="zh-CN"/>
        </w:rPr>
        <w:t>滁州清流污水处理厂工商业分布式光伏发电初步设计项目</w:t>
      </w:r>
    </w:p>
    <w:p w14:paraId="45F0E599">
      <w:pPr>
        <w:pStyle w:val="24"/>
        <w:spacing w:line="480" w:lineRule="exact"/>
        <w:ind w:right="468" w:rightChars="223" w:firstLine="420" w:firstLineChars="20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 xml:space="preserve">二、招标单位：滁州工投新能源开发有限公司 </w:t>
      </w:r>
    </w:p>
    <w:p w14:paraId="0D0FE73C">
      <w:pPr>
        <w:pStyle w:val="24"/>
        <w:spacing w:line="480" w:lineRule="exact"/>
        <w:ind w:right="468" w:rightChars="223"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lang w:val="en-US" w:eastAsia="zh-CN"/>
        </w:rPr>
        <w:t xml:space="preserve">三、项目概况 </w:t>
      </w:r>
    </w:p>
    <w:p w14:paraId="26FB1B64">
      <w:pPr>
        <w:pStyle w:val="24"/>
        <w:spacing w:line="480" w:lineRule="exact"/>
        <w:ind w:right="468" w:rightChars="223"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lang w:val="en-US" w:eastAsia="zh-CN"/>
        </w:rPr>
        <w:t>1</w:t>
      </w:r>
      <w:r>
        <w:rPr>
          <w:rFonts w:hint="eastAsia" w:ascii="宋体" w:hAnsi="宋体" w:cs="宋体"/>
          <w:szCs w:val="21"/>
          <w:highlight w:val="none"/>
          <w:lang w:val="en-US" w:eastAsia="zh-CN"/>
        </w:rPr>
        <w:t>.</w:t>
      </w:r>
      <w:r>
        <w:rPr>
          <w:rFonts w:hint="eastAsia" w:ascii="宋体" w:hAnsi="宋体" w:eastAsia="宋体" w:cs="宋体"/>
          <w:szCs w:val="21"/>
          <w:highlight w:val="none"/>
          <w:lang w:val="en-US" w:eastAsia="zh-CN"/>
        </w:rPr>
        <w:t>建设地点：</w:t>
      </w:r>
      <w:r>
        <w:rPr>
          <w:rFonts w:hint="eastAsia" w:ascii="宋体" w:hAnsi="宋体" w:cs="宋体"/>
          <w:bCs/>
          <w:color w:val="auto"/>
          <w:kern w:val="1"/>
          <w:sz w:val="21"/>
          <w:szCs w:val="21"/>
          <w:highlight w:val="none"/>
          <w:lang w:eastAsia="zh-CN"/>
        </w:rPr>
        <w:t>滁州清流污水处理厂</w:t>
      </w:r>
      <w:r>
        <w:rPr>
          <w:rFonts w:hint="eastAsia" w:ascii="宋体" w:hAnsi="宋体" w:eastAsia="宋体" w:cs="宋体"/>
          <w:szCs w:val="21"/>
          <w:highlight w:val="none"/>
          <w:lang w:val="en-US" w:eastAsia="zh-CN"/>
        </w:rPr>
        <w:t xml:space="preserve">，招标人指定地点 </w:t>
      </w:r>
    </w:p>
    <w:p w14:paraId="53887FD2">
      <w:pPr>
        <w:pStyle w:val="24"/>
        <w:spacing w:line="480" w:lineRule="exact"/>
        <w:ind w:right="468" w:rightChars="223" w:firstLine="420" w:firstLineChars="200"/>
        <w:jc w:val="left"/>
        <w:rPr>
          <w:rFonts w:hint="eastAsia" w:hAnsi="宋体" w:cs="宋体"/>
          <w:bCs/>
          <w:color w:val="auto"/>
          <w:kern w:val="1"/>
          <w:sz w:val="21"/>
          <w:szCs w:val="21"/>
          <w:highlight w:val="none"/>
          <w:lang w:val="en-US" w:eastAsia="zh-CN"/>
        </w:rPr>
      </w:pPr>
      <w:r>
        <w:rPr>
          <w:rFonts w:hint="eastAsia" w:ascii="宋体" w:hAnsi="宋体" w:eastAsia="宋体" w:cs="宋体"/>
          <w:szCs w:val="21"/>
          <w:highlight w:val="none"/>
          <w:lang w:val="en-US" w:eastAsia="zh-CN"/>
        </w:rPr>
        <w:t>2</w:t>
      </w:r>
      <w:r>
        <w:rPr>
          <w:rFonts w:hint="eastAsia" w:ascii="宋体" w:hAnsi="宋体" w:cs="宋体"/>
          <w:szCs w:val="21"/>
          <w:highlight w:val="none"/>
          <w:lang w:val="en-US" w:eastAsia="zh-CN"/>
        </w:rPr>
        <w:t>.</w:t>
      </w:r>
      <w:r>
        <w:rPr>
          <w:rFonts w:hint="eastAsia" w:ascii="宋体" w:hAnsi="宋体" w:eastAsia="宋体" w:cs="宋体"/>
          <w:szCs w:val="21"/>
          <w:highlight w:val="none"/>
          <w:lang w:val="en-US" w:eastAsia="zh-CN"/>
        </w:rPr>
        <w:t>建设规模：</w:t>
      </w:r>
      <w:r>
        <w:rPr>
          <w:rFonts w:hint="default" w:ascii="宋体" w:hAnsi="宋体" w:cs="宋体"/>
          <w:bCs/>
          <w:color w:val="auto"/>
          <w:kern w:val="1"/>
          <w:sz w:val="21"/>
          <w:szCs w:val="21"/>
          <w:highlight w:val="none"/>
          <w:lang w:val="en-US" w:eastAsia="zh-CN"/>
        </w:rPr>
        <w:t>利用</w:t>
      </w:r>
      <w:r>
        <w:rPr>
          <w:rFonts w:hint="eastAsia" w:ascii="宋体" w:hAnsi="宋体" w:cs="宋体"/>
          <w:bCs/>
          <w:color w:val="auto"/>
          <w:kern w:val="1"/>
          <w:sz w:val="21"/>
          <w:szCs w:val="21"/>
          <w:highlight w:val="none"/>
          <w:lang w:val="en-US" w:eastAsia="zh-CN"/>
        </w:rPr>
        <w:t>滁州清流污水处理厂</w:t>
      </w:r>
      <w:r>
        <w:rPr>
          <w:rFonts w:hint="default" w:ascii="宋体" w:hAnsi="宋体" w:cs="宋体"/>
          <w:bCs/>
          <w:color w:val="auto"/>
          <w:kern w:val="1"/>
          <w:sz w:val="21"/>
          <w:szCs w:val="21"/>
          <w:highlight w:val="none"/>
          <w:lang w:val="en-US" w:eastAsia="zh-CN"/>
        </w:rPr>
        <w:t>生化池、二沉池和相关建</w:t>
      </w:r>
      <w:r>
        <w:rPr>
          <w:rFonts w:hint="eastAsia" w:ascii="宋体" w:hAnsi="宋体" w:cs="宋体"/>
          <w:bCs/>
          <w:color w:val="auto"/>
          <w:kern w:val="1"/>
          <w:sz w:val="21"/>
          <w:szCs w:val="21"/>
          <w:highlight w:val="none"/>
          <w:lang w:val="en-US" w:eastAsia="zh-CN"/>
        </w:rPr>
        <w:t>筑物屋顶</w:t>
      </w:r>
      <w:r>
        <w:rPr>
          <w:rFonts w:hint="eastAsia" w:hAnsi="宋体" w:cs="宋体"/>
          <w:bCs/>
          <w:color w:val="auto"/>
          <w:kern w:val="1"/>
          <w:sz w:val="21"/>
          <w:szCs w:val="21"/>
          <w:highlight w:val="none"/>
          <w:lang w:val="en-US" w:eastAsia="zh-CN"/>
        </w:rPr>
        <w:t>、场地</w:t>
      </w:r>
      <w:r>
        <w:rPr>
          <w:rFonts w:hint="eastAsia" w:ascii="宋体" w:hAnsi="宋体" w:cs="宋体"/>
          <w:bCs/>
          <w:color w:val="auto"/>
          <w:kern w:val="1"/>
          <w:sz w:val="21"/>
          <w:szCs w:val="21"/>
          <w:highlight w:val="none"/>
          <w:lang w:val="en-US" w:eastAsia="zh-CN"/>
        </w:rPr>
        <w:t>，建设分布式光伏</w:t>
      </w:r>
      <w:r>
        <w:rPr>
          <w:rFonts w:hint="eastAsia" w:hAnsi="宋体" w:cs="宋体"/>
          <w:bCs/>
          <w:color w:val="auto"/>
          <w:kern w:val="1"/>
          <w:sz w:val="21"/>
          <w:szCs w:val="21"/>
          <w:highlight w:val="none"/>
          <w:lang w:val="en-US" w:eastAsia="zh-CN"/>
        </w:rPr>
        <w:t>。</w:t>
      </w:r>
      <w:r>
        <w:rPr>
          <w:rFonts w:hint="eastAsia" w:ascii="宋体" w:hAnsi="宋体" w:cs="宋体"/>
          <w:bCs/>
          <w:color w:val="auto"/>
          <w:kern w:val="1"/>
          <w:sz w:val="21"/>
          <w:szCs w:val="21"/>
          <w:highlight w:val="none"/>
          <w:lang w:eastAsia="zh-CN"/>
        </w:rPr>
        <w:t>装机总容量</w:t>
      </w:r>
      <w:r>
        <w:rPr>
          <w:rFonts w:hint="eastAsia" w:hAnsi="宋体" w:cs="宋体"/>
          <w:bCs/>
          <w:color w:val="auto"/>
          <w:kern w:val="1"/>
          <w:sz w:val="21"/>
          <w:szCs w:val="21"/>
          <w:highlight w:val="none"/>
          <w:lang w:val="en-US" w:eastAsia="zh-CN"/>
        </w:rPr>
        <w:t>初步约</w:t>
      </w:r>
      <w:r>
        <w:rPr>
          <w:rFonts w:hint="eastAsia" w:ascii="宋体" w:hAnsi="宋体" w:cs="宋体"/>
          <w:bCs/>
          <w:color w:val="auto"/>
          <w:kern w:val="1"/>
          <w:sz w:val="21"/>
          <w:szCs w:val="21"/>
          <w:highlight w:val="none"/>
          <w:lang w:eastAsia="zh-CN"/>
        </w:rPr>
        <w:t>为</w:t>
      </w:r>
      <w:r>
        <w:rPr>
          <w:rFonts w:hint="eastAsia" w:hAnsi="宋体" w:cs="宋体"/>
          <w:bCs/>
          <w:color w:val="auto"/>
          <w:kern w:val="1"/>
          <w:sz w:val="21"/>
          <w:szCs w:val="21"/>
          <w:highlight w:val="none"/>
          <w:lang w:val="en-US" w:eastAsia="zh-CN"/>
        </w:rPr>
        <w:t>5</w:t>
      </w:r>
      <w:r>
        <w:rPr>
          <w:rFonts w:hint="eastAsia" w:ascii="宋体" w:hAnsi="宋体" w:cs="宋体"/>
          <w:bCs/>
          <w:color w:val="auto"/>
          <w:kern w:val="1"/>
          <w:sz w:val="21"/>
          <w:szCs w:val="21"/>
          <w:highlight w:val="none"/>
          <w:lang w:eastAsia="zh-CN"/>
        </w:rPr>
        <w:t>兆瓦（</w:t>
      </w:r>
      <w:r>
        <w:rPr>
          <w:rFonts w:hint="eastAsia" w:ascii="宋体" w:hAnsi="宋体" w:cs="宋体"/>
          <w:bCs/>
          <w:color w:val="auto"/>
          <w:kern w:val="1"/>
          <w:sz w:val="21"/>
          <w:szCs w:val="21"/>
          <w:highlight w:val="none"/>
          <w:lang w:val="en-US" w:eastAsia="zh-CN"/>
        </w:rPr>
        <w:t>直流侧）</w:t>
      </w:r>
      <w:r>
        <w:rPr>
          <w:rFonts w:hint="eastAsia" w:hAnsi="宋体" w:cs="宋体"/>
          <w:bCs/>
          <w:color w:val="auto"/>
          <w:kern w:val="1"/>
          <w:sz w:val="21"/>
          <w:szCs w:val="21"/>
          <w:highlight w:val="none"/>
          <w:lang w:val="en-US" w:eastAsia="zh-CN"/>
        </w:rPr>
        <w:t>（按实际审批容量为准）</w:t>
      </w:r>
      <w:r>
        <w:rPr>
          <w:rFonts w:hint="eastAsia" w:ascii="宋体" w:hAnsi="宋体" w:cs="宋体"/>
          <w:bCs/>
          <w:color w:val="auto"/>
          <w:kern w:val="1"/>
          <w:sz w:val="21"/>
          <w:szCs w:val="21"/>
          <w:highlight w:val="none"/>
          <w:lang w:val="en-US" w:eastAsia="zh-CN"/>
        </w:rPr>
        <w:t>，采用“自发自用，余电上网”发电模式</w:t>
      </w:r>
      <w:r>
        <w:rPr>
          <w:rFonts w:hint="eastAsia" w:hAnsi="宋体" w:cs="宋体"/>
          <w:bCs/>
          <w:color w:val="auto"/>
          <w:kern w:val="1"/>
          <w:sz w:val="21"/>
          <w:szCs w:val="21"/>
          <w:highlight w:val="none"/>
          <w:lang w:val="en-US" w:eastAsia="zh-CN"/>
        </w:rPr>
        <w:t>。</w:t>
      </w:r>
    </w:p>
    <w:p w14:paraId="241C11E9">
      <w:pPr>
        <w:pStyle w:val="24"/>
        <w:spacing w:line="480" w:lineRule="exact"/>
        <w:ind w:right="468" w:rightChars="223"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lang w:val="en-US" w:eastAsia="zh-CN"/>
        </w:rPr>
        <w:t>3.项目周期：</w:t>
      </w:r>
      <w:r>
        <w:rPr>
          <w:rFonts w:hint="eastAsia" w:ascii="宋体" w:hAnsi="宋体" w:cs="宋体"/>
          <w:color w:val="auto"/>
          <w:sz w:val="21"/>
          <w:szCs w:val="21"/>
          <w:highlight w:val="none"/>
          <w:lang w:val="en-US" w:eastAsia="zh-CN"/>
        </w:rPr>
        <w:t>不高于30个日历</w:t>
      </w:r>
      <w:r>
        <w:rPr>
          <w:rFonts w:hint="eastAsia" w:ascii="宋体" w:hAnsi="宋体" w:eastAsia="宋体" w:cs="宋体"/>
          <w:color w:val="auto"/>
          <w:sz w:val="21"/>
          <w:szCs w:val="21"/>
          <w:highlight w:val="none"/>
          <w:lang w:val="en-US" w:eastAsia="zh-CN"/>
        </w:rPr>
        <w:t>天</w:t>
      </w:r>
      <w:r>
        <w:rPr>
          <w:rFonts w:hint="eastAsia" w:ascii="宋体" w:hAnsi="宋体" w:eastAsia="宋体" w:cs="宋体"/>
          <w:szCs w:val="21"/>
          <w:highlight w:val="none"/>
          <w:lang w:val="en-US" w:eastAsia="zh-CN"/>
        </w:rPr>
        <w:t xml:space="preserve">。 </w:t>
      </w:r>
    </w:p>
    <w:p w14:paraId="61311F2A">
      <w:pPr>
        <w:pStyle w:val="24"/>
        <w:spacing w:line="480" w:lineRule="exact"/>
        <w:ind w:right="468" w:rightChars="223" w:firstLine="420" w:firstLineChars="200"/>
        <w:jc w:val="left"/>
        <w:rPr>
          <w:rFonts w:hint="eastAsia" w:ascii="宋体" w:hAnsi="宋体" w:eastAsia="宋体" w:cs="宋体"/>
          <w:color w:val="auto"/>
          <w:sz w:val="21"/>
          <w:szCs w:val="21"/>
          <w:highlight w:val="none"/>
        </w:rPr>
      </w:pPr>
      <w:r>
        <w:rPr>
          <w:rFonts w:hint="eastAsia" w:ascii="宋体" w:hAnsi="宋体" w:eastAsia="宋体" w:cs="宋体"/>
          <w:szCs w:val="21"/>
          <w:highlight w:val="none"/>
          <w:lang w:val="en-US" w:eastAsia="zh-CN"/>
        </w:rPr>
        <w:t>4.招标范围：</w:t>
      </w:r>
      <w:r>
        <w:rPr>
          <w:rFonts w:hint="eastAsia" w:ascii="宋体" w:hAnsi="宋体" w:eastAsia="宋体" w:cs="宋体"/>
          <w:color w:val="auto"/>
          <w:sz w:val="21"/>
          <w:szCs w:val="21"/>
          <w:highlight w:val="none"/>
        </w:rPr>
        <w:t>本项目包括滁州清流污水处理厂生化池、二沉池和相关建筑物屋顶、场地等区域。要求编写可行性研究报告，再根据可研报告、污水处理厂光伏项目案例研究报告(不少于两例)等基础资料完成初步设计报告（审定稿）编制工作，需通过配合单位内部评审，参与业主组织的初步设计报告第三方评审（如需），并按评审意见修改报告，完成初步设计报告（审定稿）；初步设计需包含报告、设计图纸、概算、初步勘察、社会环境评价（如需）等完整资料，并完成项目备案、电力并网接入申请等手续和提供有关资料；同时将其余配合单位相关成果汇合成本项目最终成果文件。</w:t>
      </w:r>
    </w:p>
    <w:p w14:paraId="28DB5109">
      <w:pPr>
        <w:pStyle w:val="24"/>
        <w:spacing w:line="480" w:lineRule="exact"/>
        <w:ind w:right="468" w:rightChars="223"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lang w:val="en-US" w:eastAsia="zh-CN"/>
        </w:rPr>
        <w:t>5.</w:t>
      </w:r>
      <w:r>
        <w:rPr>
          <w:rFonts w:hint="eastAsia" w:ascii="宋体" w:hAnsi="宋体" w:cs="宋体"/>
          <w:szCs w:val="21"/>
          <w:highlight w:val="none"/>
          <w:lang w:val="en-US" w:eastAsia="zh-CN"/>
        </w:rPr>
        <w:t>服务</w:t>
      </w:r>
      <w:r>
        <w:rPr>
          <w:rFonts w:hint="eastAsia" w:ascii="宋体" w:hAnsi="宋体" w:eastAsia="宋体" w:cs="宋体"/>
          <w:szCs w:val="21"/>
          <w:highlight w:val="none"/>
          <w:lang w:val="en-US" w:eastAsia="zh-CN"/>
        </w:rPr>
        <w:t xml:space="preserve">要求：初步设计及概算编制等相关工作及满足招标人要求的与本项目有关联的后续服务，设计中应尽量减少对生态的破坏。 </w:t>
      </w:r>
    </w:p>
    <w:p w14:paraId="6D27BDEB">
      <w:pPr>
        <w:pStyle w:val="24"/>
        <w:spacing w:line="480" w:lineRule="exact"/>
        <w:ind w:right="468" w:rightChars="223"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lang w:val="en-US" w:eastAsia="zh-CN"/>
        </w:rPr>
        <w:t>6.</w:t>
      </w:r>
      <w:r>
        <w:rPr>
          <w:rFonts w:hint="eastAsia" w:ascii="宋体" w:hAnsi="宋体" w:cs="宋体"/>
          <w:szCs w:val="21"/>
          <w:highlight w:val="none"/>
          <w:lang w:val="en-US" w:eastAsia="zh-CN"/>
        </w:rPr>
        <w:t>服务</w:t>
      </w:r>
      <w:r>
        <w:rPr>
          <w:rFonts w:hint="eastAsia" w:ascii="宋体" w:hAnsi="宋体" w:eastAsia="宋体" w:cs="宋体"/>
          <w:szCs w:val="21"/>
          <w:highlight w:val="none"/>
          <w:lang w:val="en-US" w:eastAsia="zh-CN"/>
        </w:rPr>
        <w:t>质量：</w:t>
      </w:r>
      <w:r>
        <w:rPr>
          <w:rFonts w:hint="eastAsia" w:ascii="Times New Roman" w:hAnsi="Times New Roman" w:eastAsia="宋体" w:cs="Times New Roman"/>
          <w:color w:val="000000"/>
          <w:szCs w:val="21"/>
          <w:highlight w:val="none"/>
          <w:lang w:val="en-US" w:eastAsia="zh-CN"/>
        </w:rPr>
        <w:t>初步设计满足现行的电力工程建设标准、设计规范和本招标文件要求的设计深度；</w:t>
      </w:r>
      <w:r>
        <w:rPr>
          <w:rFonts w:hint="eastAsia" w:ascii="宋体" w:hAnsi="宋体" w:eastAsia="宋体" w:cs="Times New Roman"/>
          <w:color w:val="000000" w:themeColor="text1"/>
          <w:kern w:val="0"/>
          <w:szCs w:val="21"/>
          <w:highlight w:val="none"/>
          <w:lang w:bidi="en-US"/>
          <w14:textFill>
            <w14:solidFill>
              <w14:schemeClr w14:val="tx1"/>
            </w14:solidFill>
          </w14:textFill>
        </w:rPr>
        <w:t>编制的可行性研究报告通过专家评审。</w:t>
      </w:r>
    </w:p>
    <w:p w14:paraId="79019115">
      <w:pPr>
        <w:pStyle w:val="24"/>
        <w:spacing w:line="480" w:lineRule="exact"/>
        <w:ind w:right="468" w:rightChars="223"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lang w:val="en-US" w:eastAsia="zh-CN"/>
        </w:rPr>
        <w:t xml:space="preserve">7.招标人提供给承包人的其他资料附件：无。 </w:t>
      </w:r>
    </w:p>
    <w:p w14:paraId="393AEAF6">
      <w:pPr>
        <w:pStyle w:val="24"/>
        <w:spacing w:line="480" w:lineRule="exact"/>
        <w:ind w:right="468" w:rightChars="223"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lang w:val="en-US" w:eastAsia="zh-CN"/>
        </w:rPr>
        <w:t>8.成果要求：需向招标人提交正式的设计成果份数按招标人要求执行。</w:t>
      </w:r>
    </w:p>
    <w:p w14:paraId="3A3DFD1F">
      <w:pPr>
        <w:pStyle w:val="44"/>
        <w:spacing w:beforeLines="50" w:afterLines="50" w:line="440" w:lineRule="exact"/>
        <w:rPr>
          <w:bCs/>
          <w:szCs w:val="32"/>
          <w:highlight w:val="none"/>
        </w:rPr>
      </w:pPr>
      <w:r>
        <w:rPr>
          <w:rFonts w:hint="eastAsia"/>
          <w:bCs/>
          <w:szCs w:val="32"/>
          <w:highlight w:val="none"/>
        </w:rPr>
        <w:br w:type="page"/>
      </w:r>
      <w:r>
        <w:rPr>
          <w:rFonts w:hint="eastAsia"/>
          <w:bCs/>
          <w:szCs w:val="32"/>
          <w:highlight w:val="none"/>
        </w:rPr>
        <w:t>第</w:t>
      </w:r>
      <w:r>
        <w:rPr>
          <w:rFonts w:hint="eastAsia"/>
          <w:bCs/>
          <w:szCs w:val="32"/>
          <w:highlight w:val="none"/>
          <w:lang w:val="en-US" w:eastAsia="zh-CN"/>
        </w:rPr>
        <w:t>七</w:t>
      </w:r>
      <w:r>
        <w:rPr>
          <w:rFonts w:hint="eastAsia"/>
          <w:bCs/>
          <w:szCs w:val="32"/>
          <w:highlight w:val="none"/>
        </w:rPr>
        <w:t>章  投标文件格式</w:t>
      </w:r>
      <w:bookmarkEnd w:id="882"/>
      <w:bookmarkEnd w:id="883"/>
      <w:bookmarkEnd w:id="884"/>
      <w:bookmarkEnd w:id="885"/>
      <w:bookmarkEnd w:id="886"/>
      <w:bookmarkEnd w:id="887"/>
      <w:bookmarkEnd w:id="888"/>
      <w:bookmarkEnd w:id="889"/>
      <w:bookmarkEnd w:id="890"/>
      <w:bookmarkEnd w:id="891"/>
      <w:bookmarkEnd w:id="892"/>
      <w:bookmarkEnd w:id="893"/>
      <w:bookmarkEnd w:id="894"/>
    </w:p>
    <w:p w14:paraId="7B05D42C">
      <w:pPr>
        <w:rPr>
          <w:highlight w:val="none"/>
        </w:rPr>
      </w:pPr>
    </w:p>
    <w:p w14:paraId="082E4B32">
      <w:pPr>
        <w:rPr>
          <w:highlight w:val="none"/>
        </w:rPr>
      </w:pPr>
    </w:p>
    <w:p w14:paraId="5069B979">
      <w:pPr>
        <w:rPr>
          <w:highlight w:val="none"/>
        </w:rPr>
      </w:pPr>
    </w:p>
    <w:p w14:paraId="56143D65">
      <w:pPr>
        <w:jc w:val="center"/>
        <w:rPr>
          <w:rFonts w:eastAsia="黑体"/>
          <w:sz w:val="20"/>
          <w:szCs w:val="20"/>
          <w:highlight w:val="none"/>
        </w:rPr>
      </w:pPr>
      <w:r>
        <w:rPr>
          <w:rFonts w:eastAsia="黑体"/>
          <w:sz w:val="28"/>
          <w:szCs w:val="28"/>
          <w:highlight w:val="none"/>
        </w:rPr>
        <w:t>（项目名称）</w:t>
      </w:r>
    </w:p>
    <w:p w14:paraId="7576ABA9">
      <w:pPr>
        <w:jc w:val="center"/>
        <w:rPr>
          <w:rFonts w:eastAsia="黑体"/>
          <w:sz w:val="20"/>
          <w:szCs w:val="20"/>
          <w:highlight w:val="none"/>
        </w:rPr>
      </w:pPr>
    </w:p>
    <w:p w14:paraId="7FF06958">
      <w:pPr>
        <w:jc w:val="center"/>
        <w:rPr>
          <w:rFonts w:eastAsia="黑体"/>
          <w:sz w:val="20"/>
          <w:szCs w:val="20"/>
          <w:highlight w:val="none"/>
        </w:rPr>
      </w:pPr>
    </w:p>
    <w:p w14:paraId="3165CB1E">
      <w:pPr>
        <w:jc w:val="center"/>
        <w:rPr>
          <w:rFonts w:eastAsia="黑体"/>
          <w:sz w:val="20"/>
          <w:szCs w:val="20"/>
          <w:highlight w:val="none"/>
        </w:rPr>
      </w:pPr>
    </w:p>
    <w:p w14:paraId="75BA9D51">
      <w:pPr>
        <w:rPr>
          <w:rFonts w:eastAsia="黑体"/>
          <w:sz w:val="20"/>
          <w:szCs w:val="20"/>
          <w:highlight w:val="none"/>
        </w:rPr>
      </w:pPr>
    </w:p>
    <w:p w14:paraId="347DEE05">
      <w:pPr>
        <w:jc w:val="center"/>
        <w:rPr>
          <w:rFonts w:eastAsia="黑体"/>
          <w:sz w:val="44"/>
          <w:szCs w:val="44"/>
          <w:highlight w:val="none"/>
        </w:rPr>
      </w:pPr>
      <w:r>
        <w:rPr>
          <w:rFonts w:eastAsia="黑体"/>
          <w:sz w:val="44"/>
          <w:szCs w:val="44"/>
          <w:highlight w:val="none"/>
        </w:rPr>
        <w:t>投  标  文  件</w:t>
      </w:r>
      <w:r>
        <w:rPr>
          <w:rFonts w:hint="eastAsia" w:eastAsia="黑体"/>
          <w:sz w:val="44"/>
          <w:szCs w:val="44"/>
          <w:highlight w:val="none"/>
        </w:rPr>
        <w:t xml:space="preserve"> 一</w:t>
      </w:r>
    </w:p>
    <w:p w14:paraId="4404D72F">
      <w:pPr>
        <w:jc w:val="center"/>
        <w:rPr>
          <w:rFonts w:eastAsia="黑体"/>
          <w:sz w:val="44"/>
          <w:szCs w:val="44"/>
          <w:highlight w:val="none"/>
        </w:rPr>
      </w:pPr>
      <w:r>
        <w:rPr>
          <w:rFonts w:hint="eastAsia" w:eastAsia="黑体"/>
          <w:sz w:val="44"/>
          <w:szCs w:val="44"/>
          <w:highlight w:val="none"/>
        </w:rPr>
        <w:t>（资信证明文件）</w:t>
      </w:r>
    </w:p>
    <w:p w14:paraId="69FD5586">
      <w:pPr>
        <w:rPr>
          <w:rFonts w:eastAsia="黑体"/>
          <w:sz w:val="28"/>
          <w:szCs w:val="28"/>
          <w:highlight w:val="none"/>
        </w:rPr>
      </w:pPr>
    </w:p>
    <w:p w14:paraId="61671114">
      <w:pPr>
        <w:rPr>
          <w:rFonts w:eastAsia="黑体"/>
          <w:sz w:val="28"/>
          <w:szCs w:val="28"/>
          <w:highlight w:val="none"/>
        </w:rPr>
      </w:pPr>
    </w:p>
    <w:p w14:paraId="7707CE46">
      <w:pPr>
        <w:rPr>
          <w:rFonts w:eastAsia="黑体"/>
          <w:sz w:val="28"/>
          <w:szCs w:val="28"/>
          <w:highlight w:val="none"/>
        </w:rPr>
      </w:pPr>
    </w:p>
    <w:p w14:paraId="3E29662A">
      <w:pPr>
        <w:rPr>
          <w:rFonts w:eastAsia="黑体"/>
          <w:sz w:val="28"/>
          <w:szCs w:val="28"/>
          <w:highlight w:val="none"/>
        </w:rPr>
      </w:pPr>
    </w:p>
    <w:p w14:paraId="69D02104">
      <w:pPr>
        <w:pStyle w:val="2"/>
        <w:ind w:firstLine="420"/>
        <w:rPr>
          <w:rFonts w:ascii="Times New Roman"/>
          <w:szCs w:val="24"/>
          <w:highlight w:val="none"/>
        </w:rPr>
      </w:pPr>
    </w:p>
    <w:p w14:paraId="3062FE47">
      <w:pPr>
        <w:rPr>
          <w:rFonts w:ascii="Times New Roman"/>
          <w:szCs w:val="24"/>
          <w:highlight w:val="none"/>
        </w:rPr>
      </w:pPr>
    </w:p>
    <w:p w14:paraId="78F93F73">
      <w:pPr>
        <w:pStyle w:val="2"/>
        <w:rPr>
          <w:rFonts w:ascii="Times New Roman"/>
          <w:szCs w:val="24"/>
          <w:highlight w:val="none"/>
        </w:rPr>
      </w:pPr>
    </w:p>
    <w:p w14:paraId="1E9D0BD8">
      <w:pPr>
        <w:rPr>
          <w:rFonts w:ascii="Times New Roman"/>
          <w:szCs w:val="24"/>
          <w:highlight w:val="none"/>
        </w:rPr>
      </w:pPr>
    </w:p>
    <w:p w14:paraId="13AFD6AD">
      <w:pPr>
        <w:pStyle w:val="2"/>
        <w:rPr>
          <w:highlight w:val="none"/>
        </w:rPr>
      </w:pPr>
    </w:p>
    <w:p w14:paraId="0799C826">
      <w:pPr>
        <w:pStyle w:val="2"/>
        <w:ind w:firstLine="420"/>
        <w:rPr>
          <w:highlight w:val="none"/>
        </w:rPr>
      </w:pPr>
    </w:p>
    <w:p w14:paraId="63F5BB9B">
      <w:pPr>
        <w:rPr>
          <w:rFonts w:eastAsia="黑体"/>
          <w:sz w:val="28"/>
          <w:szCs w:val="28"/>
          <w:highlight w:val="none"/>
        </w:rPr>
      </w:pPr>
    </w:p>
    <w:p w14:paraId="6ECEBDFF">
      <w:pPr>
        <w:keepNext w:val="0"/>
        <w:keepLines w:val="0"/>
        <w:pageBreakBefore w:val="0"/>
        <w:widowControl w:val="0"/>
        <w:kinsoku/>
        <w:wordWrap/>
        <w:overflowPunct/>
        <w:topLinePunct w:val="0"/>
        <w:autoSpaceDE/>
        <w:autoSpaceDN/>
        <w:bidi w:val="0"/>
        <w:adjustRightInd/>
        <w:snapToGrid/>
        <w:spacing w:line="720" w:lineRule="auto"/>
        <w:textAlignment w:val="auto"/>
        <w:rPr>
          <w:rFonts w:eastAsia="黑体"/>
          <w:sz w:val="28"/>
          <w:szCs w:val="28"/>
          <w:highlight w:val="none"/>
        </w:rPr>
      </w:pPr>
    </w:p>
    <w:p w14:paraId="62522776">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sz w:val="28"/>
          <w:szCs w:val="28"/>
          <w:highlight w:val="none"/>
          <w:u w:val="single"/>
        </w:rPr>
      </w:pPr>
      <w:r>
        <w:rPr>
          <w:rFonts w:hint="eastAsia" w:eastAsia="黑体"/>
          <w:sz w:val="28"/>
          <w:szCs w:val="28"/>
          <w:highlight w:val="none"/>
        </w:rPr>
        <w:t xml:space="preserve"> 投标人</w:t>
      </w:r>
      <w:r>
        <w:rPr>
          <w:rFonts w:eastAsia="黑体"/>
          <w:sz w:val="28"/>
          <w:szCs w:val="28"/>
          <w:highlight w:val="none"/>
        </w:rPr>
        <w:t>：</w:t>
      </w:r>
      <w:r>
        <w:rPr>
          <w:rFonts w:eastAsia="黑体"/>
          <w:sz w:val="28"/>
          <w:szCs w:val="28"/>
          <w:highlight w:val="none"/>
          <w:u w:val="single"/>
        </w:rPr>
        <w:t xml:space="preserve">               </w:t>
      </w:r>
      <w:r>
        <w:rPr>
          <w:rFonts w:hint="eastAsia" w:eastAsia="黑体"/>
          <w:sz w:val="28"/>
          <w:szCs w:val="28"/>
          <w:highlight w:val="none"/>
          <w:u w:val="single"/>
        </w:rPr>
        <w:t xml:space="preserve">    </w:t>
      </w:r>
      <w:r>
        <w:rPr>
          <w:rFonts w:eastAsia="黑体"/>
          <w:sz w:val="28"/>
          <w:szCs w:val="28"/>
          <w:highlight w:val="none"/>
          <w:u w:val="single"/>
        </w:rPr>
        <w:t xml:space="preserve">      </w:t>
      </w:r>
      <w:r>
        <w:rPr>
          <w:rFonts w:hint="eastAsia" w:eastAsia="黑体"/>
          <w:sz w:val="28"/>
          <w:szCs w:val="28"/>
          <w:highlight w:val="none"/>
          <w:u w:val="single"/>
        </w:rPr>
        <w:t xml:space="preserve">  </w:t>
      </w:r>
      <w:r>
        <w:rPr>
          <w:rFonts w:eastAsia="黑体"/>
          <w:sz w:val="28"/>
          <w:szCs w:val="28"/>
          <w:highlight w:val="none"/>
          <w:u w:val="single"/>
        </w:rPr>
        <w:t xml:space="preserve">       </w:t>
      </w:r>
      <w:r>
        <w:rPr>
          <w:rFonts w:eastAsia="黑体"/>
          <w:sz w:val="28"/>
          <w:szCs w:val="28"/>
          <w:highlight w:val="none"/>
        </w:rPr>
        <w:t>（</w:t>
      </w:r>
      <w:r>
        <w:rPr>
          <w:rFonts w:hint="eastAsia" w:eastAsia="黑体"/>
          <w:sz w:val="28"/>
          <w:szCs w:val="28"/>
          <w:highlight w:val="none"/>
        </w:rPr>
        <w:t>盖</w:t>
      </w:r>
      <w:r>
        <w:rPr>
          <w:rFonts w:eastAsia="黑体"/>
          <w:sz w:val="28"/>
          <w:szCs w:val="28"/>
          <w:highlight w:val="none"/>
        </w:rPr>
        <w:t>章）</w:t>
      </w:r>
    </w:p>
    <w:p w14:paraId="097218CB">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sz w:val="28"/>
          <w:szCs w:val="28"/>
          <w:highlight w:val="none"/>
        </w:rPr>
      </w:pPr>
      <w:r>
        <w:rPr>
          <w:rFonts w:hint="eastAsia" w:eastAsia="黑体"/>
          <w:sz w:val="28"/>
          <w:szCs w:val="28"/>
          <w:highlight w:val="none"/>
        </w:rPr>
        <w:t xml:space="preserve">   </w:t>
      </w:r>
      <w:r>
        <w:rPr>
          <w:rFonts w:eastAsia="黑体"/>
          <w:sz w:val="28"/>
          <w:szCs w:val="28"/>
          <w:highlight w:val="none"/>
        </w:rPr>
        <w:t>法定代表人</w:t>
      </w:r>
      <w:r>
        <w:rPr>
          <w:rFonts w:hint="eastAsia" w:eastAsia="黑体"/>
          <w:sz w:val="28"/>
          <w:szCs w:val="28"/>
          <w:highlight w:val="none"/>
          <w:lang w:val="en-US" w:eastAsia="zh-CN"/>
        </w:rPr>
        <w:t>或授权委托人</w:t>
      </w:r>
      <w:r>
        <w:rPr>
          <w:rFonts w:eastAsia="黑体"/>
          <w:sz w:val="28"/>
          <w:szCs w:val="28"/>
          <w:highlight w:val="none"/>
        </w:rPr>
        <w:t>：</w:t>
      </w:r>
      <w:r>
        <w:rPr>
          <w:rFonts w:eastAsia="黑体"/>
          <w:sz w:val="28"/>
          <w:szCs w:val="28"/>
          <w:highlight w:val="none"/>
          <w:u w:val="single"/>
        </w:rPr>
        <w:t xml:space="preserve">         </w:t>
      </w:r>
      <w:r>
        <w:rPr>
          <w:rFonts w:hint="eastAsia" w:eastAsia="黑体"/>
          <w:sz w:val="28"/>
          <w:szCs w:val="28"/>
          <w:highlight w:val="none"/>
          <w:u w:val="single"/>
        </w:rPr>
        <w:t xml:space="preserve">         </w:t>
      </w:r>
      <w:r>
        <w:rPr>
          <w:rFonts w:eastAsia="黑体"/>
          <w:sz w:val="28"/>
          <w:szCs w:val="28"/>
          <w:highlight w:val="none"/>
          <w:u w:val="single"/>
        </w:rPr>
        <w:t xml:space="preserve">       </w:t>
      </w:r>
      <w:r>
        <w:rPr>
          <w:rFonts w:eastAsia="黑体"/>
          <w:sz w:val="28"/>
          <w:szCs w:val="28"/>
          <w:highlight w:val="none"/>
        </w:rPr>
        <w:t>（</w:t>
      </w:r>
      <w:r>
        <w:rPr>
          <w:rFonts w:hint="eastAsia" w:eastAsia="黑体"/>
          <w:sz w:val="28"/>
          <w:szCs w:val="28"/>
          <w:highlight w:val="none"/>
        </w:rPr>
        <w:t>签字或盖章</w:t>
      </w:r>
      <w:r>
        <w:rPr>
          <w:rFonts w:eastAsia="黑体"/>
          <w:sz w:val="28"/>
          <w:szCs w:val="28"/>
          <w:highlight w:val="none"/>
        </w:rPr>
        <w:t>）</w:t>
      </w:r>
    </w:p>
    <w:p w14:paraId="211A5DCF">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sz w:val="28"/>
          <w:szCs w:val="28"/>
          <w:highlight w:val="none"/>
        </w:rPr>
      </w:pPr>
      <w:r>
        <w:rPr>
          <w:rFonts w:hint="eastAsia" w:eastAsia="黑体"/>
          <w:sz w:val="28"/>
          <w:szCs w:val="28"/>
          <w:highlight w:val="none"/>
          <w:u w:val="single"/>
        </w:rPr>
        <w:t xml:space="preserve">      </w:t>
      </w:r>
      <w:r>
        <w:rPr>
          <w:rFonts w:eastAsia="黑体"/>
          <w:sz w:val="28"/>
          <w:szCs w:val="28"/>
          <w:highlight w:val="none"/>
        </w:rPr>
        <w:t>年</w:t>
      </w:r>
      <w:r>
        <w:rPr>
          <w:rFonts w:hint="eastAsia" w:eastAsia="黑体"/>
          <w:sz w:val="28"/>
          <w:szCs w:val="28"/>
          <w:highlight w:val="none"/>
          <w:u w:val="single"/>
        </w:rPr>
        <w:t xml:space="preserve">     </w:t>
      </w:r>
      <w:r>
        <w:rPr>
          <w:rFonts w:eastAsia="黑体"/>
          <w:sz w:val="28"/>
          <w:szCs w:val="28"/>
          <w:highlight w:val="none"/>
        </w:rPr>
        <w:t>月</w:t>
      </w:r>
      <w:r>
        <w:rPr>
          <w:rFonts w:hint="eastAsia" w:eastAsia="黑体"/>
          <w:sz w:val="28"/>
          <w:szCs w:val="28"/>
          <w:highlight w:val="none"/>
          <w:u w:val="single"/>
        </w:rPr>
        <w:t xml:space="preserve">     </w:t>
      </w:r>
      <w:r>
        <w:rPr>
          <w:rFonts w:eastAsia="黑体"/>
          <w:sz w:val="28"/>
          <w:szCs w:val="28"/>
          <w:highlight w:val="none"/>
        </w:rPr>
        <w:t>日</w:t>
      </w:r>
    </w:p>
    <w:p w14:paraId="0EBCA57C">
      <w:pPr>
        <w:spacing w:beforeLines="50" w:afterLines="50" w:line="440" w:lineRule="exact"/>
        <w:ind w:firstLine="643" w:firstLineChars="200"/>
        <w:jc w:val="left"/>
        <w:rPr>
          <w:rFonts w:ascii="宋体" w:hAnsi="宋体" w:cs="宋体"/>
          <w:b/>
          <w:sz w:val="28"/>
          <w:szCs w:val="28"/>
          <w:highlight w:val="none"/>
        </w:rPr>
      </w:pPr>
      <w:bookmarkStart w:id="895" w:name="_Toc35424971"/>
      <w:bookmarkStart w:id="896" w:name="_Toc78803399"/>
      <w:bookmarkStart w:id="897" w:name="_Toc35425137"/>
      <w:bookmarkStart w:id="898" w:name="_Toc12683"/>
      <w:r>
        <w:rPr>
          <w:rStyle w:val="120"/>
          <w:rFonts w:hint="eastAsia" w:ascii="宋体" w:hAnsi="宋体" w:cs="宋体"/>
          <w:sz w:val="32"/>
          <w:highlight w:val="none"/>
        </w:rPr>
        <w:br w:type="page"/>
      </w:r>
      <w:r>
        <w:rPr>
          <w:rStyle w:val="120"/>
          <w:rFonts w:hint="eastAsia" w:ascii="宋体" w:hAnsi="宋体" w:cs="宋体"/>
          <w:sz w:val="32"/>
          <w:highlight w:val="none"/>
        </w:rPr>
        <w:t>投标文件一</w:t>
      </w:r>
      <w:bookmarkEnd w:id="895"/>
      <w:bookmarkEnd w:id="896"/>
      <w:bookmarkEnd w:id="897"/>
      <w:bookmarkEnd w:id="898"/>
      <w:r>
        <w:rPr>
          <w:rFonts w:hint="eastAsia" w:ascii="宋体" w:hAnsi="宋体" w:cs="宋体"/>
          <w:b/>
          <w:sz w:val="28"/>
          <w:szCs w:val="28"/>
          <w:highlight w:val="none"/>
        </w:rPr>
        <w:t>：资信证明文件目录</w:t>
      </w:r>
    </w:p>
    <w:p w14:paraId="649C76E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（1）法定代表人身份证明文件和本人有效身份证(或法定代表人授权委托书和委托代理人有效身份证)；</w:t>
      </w:r>
    </w:p>
    <w:p w14:paraId="50C7D52B">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（2）诚信投标承诺书（联合体投标的，各方均提供）；</w:t>
      </w:r>
    </w:p>
    <w:p w14:paraId="4E5CBE15">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（3）企业法人营业执照（联合体投标的，各方均提供）；</w:t>
      </w:r>
    </w:p>
    <w:p w14:paraId="04DBAEE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（4）企业资质证书（联合体投标的，各方均提供）；</w:t>
      </w:r>
    </w:p>
    <w:p w14:paraId="548842A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（5）</w:t>
      </w:r>
      <w:r>
        <w:rPr>
          <w:rFonts w:hint="eastAsia" w:ascii="宋体" w:hAnsi="宋体" w:cs="宋体"/>
          <w:color w:val="000000"/>
          <w:szCs w:val="21"/>
          <w:highlight w:val="none"/>
        </w:rPr>
        <w:t>项目</w:t>
      </w:r>
      <w:r>
        <w:rPr>
          <w:rFonts w:hint="eastAsia" w:ascii="宋体" w:hAnsi="宋体" w:cs="宋体"/>
          <w:color w:val="000000"/>
          <w:szCs w:val="21"/>
          <w:highlight w:val="none"/>
          <w:lang w:val="en-US" w:eastAsia="zh-CN"/>
        </w:rPr>
        <w:t>团队人员名单（格式自拟）、所有人员的</w:t>
      </w:r>
      <w:r>
        <w:rPr>
          <w:rFonts w:hint="eastAsia" w:ascii="宋体" w:hAnsi="宋体" w:cs="宋体"/>
          <w:color w:val="000000"/>
          <w:szCs w:val="21"/>
          <w:highlight w:val="none"/>
        </w:rPr>
        <w:t>有效身份证</w:t>
      </w:r>
      <w:r>
        <w:rPr>
          <w:rFonts w:hint="eastAsia" w:ascii="宋体" w:hAnsi="宋体" w:cs="宋体"/>
          <w:color w:val="000000"/>
          <w:szCs w:val="21"/>
          <w:highlight w:val="none"/>
          <w:lang w:val="en-US" w:eastAsia="zh-CN"/>
        </w:rPr>
        <w:t>和</w:t>
      </w:r>
      <w:r>
        <w:rPr>
          <w:rFonts w:hint="eastAsia" w:ascii="宋体" w:hAnsi="宋体" w:cs="宋体"/>
          <w:color w:val="000000"/>
          <w:szCs w:val="21"/>
          <w:highlight w:val="none"/>
        </w:rPr>
        <w:t>注册证书</w:t>
      </w:r>
      <w:r>
        <w:rPr>
          <w:rFonts w:hint="eastAsia" w:ascii="宋体" w:hAnsi="宋体" w:cs="宋体"/>
          <w:szCs w:val="21"/>
          <w:highlight w:val="none"/>
        </w:rPr>
        <w:t>；</w:t>
      </w:r>
    </w:p>
    <w:p w14:paraId="01EE2524">
      <w:pPr>
        <w:spacing w:line="440" w:lineRule="exact"/>
        <w:ind w:firstLine="420" w:firstLineChars="200"/>
        <w:jc w:val="left"/>
        <w:rPr>
          <w:rFonts w:hint="eastAsia" w:ascii="宋体" w:hAnsi="宋体" w:eastAsia="宋体" w:cs="宋体"/>
          <w:szCs w:val="21"/>
          <w:highlight w:val="none"/>
          <w:lang w:eastAsia="zh-CN"/>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w:t>
      </w:r>
      <w:r>
        <w:rPr>
          <w:rFonts w:hint="eastAsia" w:ascii="宋体" w:hAnsi="宋体" w:cs="宋体"/>
          <w:color w:val="000000"/>
          <w:szCs w:val="21"/>
          <w:highlight w:val="none"/>
        </w:rPr>
        <w:t>投标人的法定代表人(或委托代理人)和拟任项目</w:t>
      </w:r>
      <w:r>
        <w:rPr>
          <w:rFonts w:hint="eastAsia" w:ascii="宋体" w:hAnsi="宋体" w:cs="宋体"/>
          <w:color w:val="000000"/>
          <w:szCs w:val="21"/>
          <w:highlight w:val="none"/>
          <w:lang w:val="en-US" w:eastAsia="zh-CN"/>
        </w:rPr>
        <w:t>负责人</w:t>
      </w:r>
      <w:r>
        <w:rPr>
          <w:rFonts w:hint="eastAsia" w:ascii="宋体" w:hAnsi="宋体" w:cs="宋体"/>
          <w:color w:val="000000"/>
          <w:szCs w:val="21"/>
          <w:highlight w:val="none"/>
        </w:rPr>
        <w:t>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r>
        <w:rPr>
          <w:rFonts w:hint="eastAsia" w:ascii="宋体" w:hAnsi="宋体" w:cs="宋体"/>
          <w:color w:val="000000"/>
          <w:szCs w:val="21"/>
          <w:highlight w:val="none"/>
          <w:lang w:eastAsia="zh-CN"/>
        </w:rPr>
        <w:t>；</w:t>
      </w:r>
    </w:p>
    <w:p w14:paraId="6F0EA179">
      <w:pPr>
        <w:spacing w:line="440" w:lineRule="exact"/>
        <w:ind w:firstLine="420" w:firstLineChars="200"/>
        <w:jc w:val="left"/>
        <w:rPr>
          <w:rFonts w:hint="default" w:ascii="宋体" w:hAnsi="宋体" w:cs="宋体"/>
          <w:szCs w:val="21"/>
          <w:highlight w:val="none"/>
          <w:lang w:val="en-US" w:eastAsia="zh-CN"/>
        </w:rPr>
      </w:pPr>
      <w:r>
        <w:rPr>
          <w:rFonts w:hint="eastAsia" w:ascii="宋体" w:hAnsi="宋体" w:cs="宋体"/>
          <w:szCs w:val="21"/>
          <w:highlight w:val="none"/>
          <w:lang w:eastAsia="zh-CN"/>
        </w:rPr>
        <w:t>（</w:t>
      </w:r>
      <w:r>
        <w:rPr>
          <w:rFonts w:hint="eastAsia" w:ascii="宋体" w:hAnsi="宋体" w:cs="宋体"/>
          <w:szCs w:val="21"/>
          <w:highlight w:val="none"/>
          <w:lang w:val="en-US" w:eastAsia="zh-CN"/>
        </w:rPr>
        <w:t>7</w:t>
      </w:r>
      <w:r>
        <w:rPr>
          <w:rFonts w:hint="eastAsia" w:ascii="宋体" w:hAnsi="宋体" w:cs="宋体"/>
          <w:szCs w:val="21"/>
          <w:highlight w:val="none"/>
          <w:lang w:eastAsia="zh-CN"/>
        </w:rPr>
        <w:t>）</w:t>
      </w:r>
      <w:r>
        <w:rPr>
          <w:rFonts w:hint="eastAsia" w:ascii="宋体" w:hAnsi="宋体" w:cs="宋体"/>
          <w:szCs w:val="21"/>
          <w:highlight w:val="none"/>
          <w:lang w:val="en-US" w:eastAsia="zh-CN"/>
        </w:rPr>
        <w:t>联合体协议（如有）；</w:t>
      </w:r>
    </w:p>
    <w:p w14:paraId="2737E4A6">
      <w:pPr>
        <w:spacing w:line="440" w:lineRule="exact"/>
        <w:ind w:firstLine="420" w:firstLineChars="200"/>
        <w:jc w:val="left"/>
        <w:rPr>
          <w:rFonts w:hint="eastAsia" w:ascii="宋体" w:hAnsi="宋体" w:eastAsia="宋体" w:cs="宋体"/>
          <w:szCs w:val="21"/>
          <w:highlight w:val="none"/>
          <w:lang w:eastAsia="zh-CN"/>
        </w:rPr>
      </w:pPr>
      <w:r>
        <w:rPr>
          <w:rFonts w:hint="eastAsia" w:ascii="宋体" w:hAnsi="宋体" w:cs="宋体"/>
          <w:szCs w:val="21"/>
          <w:highlight w:val="none"/>
          <w:lang w:eastAsia="zh-CN"/>
        </w:rPr>
        <w:t>（</w:t>
      </w:r>
      <w:r>
        <w:rPr>
          <w:rFonts w:hint="eastAsia" w:ascii="宋体" w:hAnsi="宋体" w:cs="宋体"/>
          <w:szCs w:val="21"/>
          <w:highlight w:val="none"/>
          <w:lang w:val="en-US" w:eastAsia="zh-CN"/>
        </w:rPr>
        <w:t>8）</w:t>
      </w:r>
      <w:r>
        <w:rPr>
          <w:rFonts w:hint="eastAsia" w:ascii="宋体" w:hAnsi="宋体" w:cs="宋体"/>
          <w:szCs w:val="21"/>
          <w:highlight w:val="none"/>
        </w:rPr>
        <w:t>需要提供的所有证明材料</w:t>
      </w:r>
      <w:r>
        <w:rPr>
          <w:rFonts w:hint="eastAsia" w:ascii="宋体" w:hAnsi="宋体" w:cs="宋体"/>
          <w:szCs w:val="21"/>
          <w:highlight w:val="none"/>
          <w:lang w:eastAsia="zh-CN"/>
        </w:rPr>
        <w:t>。</w:t>
      </w:r>
    </w:p>
    <w:p w14:paraId="59163E6F">
      <w:pPr>
        <w:spacing w:line="360" w:lineRule="auto"/>
        <w:jc w:val="center"/>
        <w:rPr>
          <w:rFonts w:ascii="宋体"/>
          <w:b/>
          <w:sz w:val="28"/>
          <w:szCs w:val="28"/>
          <w:highlight w:val="none"/>
        </w:rPr>
      </w:pPr>
      <w:r>
        <w:rPr>
          <w:rFonts w:hint="eastAsia"/>
          <w:b/>
          <w:sz w:val="28"/>
          <w:szCs w:val="28"/>
          <w:highlight w:val="none"/>
        </w:rPr>
        <w:br w:type="page"/>
      </w:r>
      <w:r>
        <w:rPr>
          <w:rFonts w:hint="eastAsia"/>
          <w:b/>
          <w:sz w:val="28"/>
          <w:szCs w:val="28"/>
          <w:highlight w:val="none"/>
        </w:rPr>
        <w:t>（1）法定代表人身份证明或授权委托书</w:t>
      </w:r>
    </w:p>
    <w:p w14:paraId="1618991E">
      <w:pPr>
        <w:pStyle w:val="74"/>
        <w:keepNext w:val="0"/>
        <w:keepLines w:val="0"/>
        <w:pageBreakBefore w:val="0"/>
        <w:kinsoku/>
        <w:wordWrap/>
        <w:overflowPunct/>
        <w:topLinePunct w:val="0"/>
        <w:autoSpaceDE/>
        <w:autoSpaceDN/>
        <w:bidi w:val="0"/>
        <w:adjustRightInd/>
        <w:snapToGrid/>
        <w:spacing w:beforeLines="100" w:afterLines="100" w:line="440" w:lineRule="exact"/>
        <w:rPr>
          <w:rFonts w:ascii="宋体"/>
          <w:b/>
          <w:color w:val="auto"/>
          <w:sz w:val="24"/>
          <w:szCs w:val="24"/>
          <w:highlight w:val="none"/>
        </w:rPr>
      </w:pPr>
      <w:bookmarkStart w:id="899" w:name="_Toc506107356"/>
      <w:bookmarkStart w:id="900" w:name="_Toc26598"/>
      <w:bookmarkStart w:id="901" w:name="_Toc503196197"/>
      <w:r>
        <w:rPr>
          <w:rFonts w:hint="eastAsia" w:ascii="宋体"/>
          <w:color w:val="auto"/>
          <w:sz w:val="24"/>
          <w:szCs w:val="24"/>
          <w:highlight w:val="none"/>
        </w:rPr>
        <w:t>1、法定代表人身份证明</w:t>
      </w:r>
    </w:p>
    <w:p w14:paraId="5CD0926A">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投标人名称：</w:t>
      </w:r>
      <w:r>
        <w:rPr>
          <w:rFonts w:hint="eastAsia" w:ascii="宋体"/>
          <w:sz w:val="24"/>
          <w:highlight w:val="none"/>
          <w:u w:val="single"/>
        </w:rPr>
        <w:t xml:space="preserve">                            </w:t>
      </w:r>
    </w:p>
    <w:p w14:paraId="30E6B7AC">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单位性质：</w:t>
      </w:r>
      <w:r>
        <w:rPr>
          <w:rFonts w:hint="eastAsia" w:ascii="宋体"/>
          <w:sz w:val="24"/>
          <w:highlight w:val="none"/>
          <w:u w:val="single"/>
        </w:rPr>
        <w:t xml:space="preserve">                              </w:t>
      </w:r>
    </w:p>
    <w:p w14:paraId="2B53194B">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地    址：</w:t>
      </w:r>
      <w:r>
        <w:rPr>
          <w:rFonts w:hint="eastAsia" w:ascii="宋体"/>
          <w:sz w:val="24"/>
          <w:highlight w:val="none"/>
          <w:u w:val="single"/>
        </w:rPr>
        <w:t xml:space="preserve">                              </w:t>
      </w:r>
    </w:p>
    <w:p w14:paraId="2672DE77">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成立时间：</w:t>
      </w:r>
      <w:r>
        <w:rPr>
          <w:rFonts w:hint="eastAsia" w:ascii="宋体"/>
          <w:sz w:val="24"/>
          <w:highlight w:val="none"/>
          <w:u w:val="single"/>
        </w:rPr>
        <w:t xml:space="preserve">     </w:t>
      </w:r>
      <w:r>
        <w:rPr>
          <w:rFonts w:hint="eastAsia" w:ascii="宋体"/>
          <w:sz w:val="24"/>
          <w:highlight w:val="none"/>
        </w:rPr>
        <w:t>年</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日</w:t>
      </w:r>
    </w:p>
    <w:p w14:paraId="56E18266">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经营期限：</w:t>
      </w:r>
      <w:r>
        <w:rPr>
          <w:rFonts w:hint="eastAsia" w:ascii="宋体"/>
          <w:sz w:val="24"/>
          <w:highlight w:val="none"/>
          <w:u w:val="single"/>
        </w:rPr>
        <w:t xml:space="preserve">                              </w:t>
      </w:r>
    </w:p>
    <w:p w14:paraId="7220154A">
      <w:pPr>
        <w:keepNext w:val="0"/>
        <w:keepLines w:val="0"/>
        <w:pageBreakBefore w:val="0"/>
        <w:kinsoku/>
        <w:wordWrap/>
        <w:overflowPunct/>
        <w:topLinePunct w:val="0"/>
        <w:autoSpaceDE/>
        <w:autoSpaceDN/>
        <w:bidi w:val="0"/>
        <w:adjustRightInd/>
        <w:snapToGrid/>
        <w:spacing w:line="440" w:lineRule="exact"/>
        <w:jc w:val="left"/>
        <w:rPr>
          <w:rFonts w:ascii="宋体"/>
          <w:sz w:val="24"/>
          <w:highlight w:val="none"/>
          <w:u w:val="single"/>
        </w:rPr>
      </w:pPr>
      <w:r>
        <w:rPr>
          <w:rFonts w:hint="eastAsia" w:ascii="宋体"/>
          <w:spacing w:val="240"/>
          <w:sz w:val="24"/>
          <w:highlight w:val="none"/>
        </w:rPr>
        <w:t>姓</w:t>
      </w:r>
      <w:r>
        <w:rPr>
          <w:rFonts w:hint="eastAsia" w:ascii="宋体"/>
          <w:sz w:val="24"/>
          <w:highlight w:val="none"/>
        </w:rPr>
        <w:t>名：</w:t>
      </w:r>
      <w:r>
        <w:rPr>
          <w:rFonts w:hint="eastAsia" w:ascii="宋体"/>
          <w:sz w:val="24"/>
          <w:highlight w:val="none"/>
          <w:u w:val="single"/>
        </w:rPr>
        <w:t xml:space="preserve">     </w:t>
      </w:r>
      <w:r>
        <w:rPr>
          <w:rFonts w:hint="eastAsia" w:ascii="宋体"/>
          <w:sz w:val="24"/>
          <w:highlight w:val="none"/>
        </w:rPr>
        <w:t>身份证号码：</w:t>
      </w:r>
      <w:r>
        <w:rPr>
          <w:rFonts w:hint="eastAsia" w:ascii="宋体"/>
          <w:sz w:val="24"/>
          <w:highlight w:val="none"/>
          <w:u w:val="single"/>
        </w:rPr>
        <w:t xml:space="preserve">     </w:t>
      </w:r>
      <w:r>
        <w:rPr>
          <w:rFonts w:hint="eastAsia" w:ascii="宋体"/>
          <w:sz w:val="24"/>
          <w:highlight w:val="none"/>
        </w:rPr>
        <w:t>性别</w:t>
      </w:r>
      <w:r>
        <w:rPr>
          <w:rFonts w:hint="eastAsia" w:ascii="宋体"/>
          <w:sz w:val="24"/>
          <w:highlight w:val="none"/>
          <w:u w:val="single"/>
        </w:rPr>
        <w:t xml:space="preserve">：    </w:t>
      </w:r>
      <w:r>
        <w:rPr>
          <w:rFonts w:hint="eastAsia" w:ascii="宋体"/>
          <w:sz w:val="24"/>
          <w:highlight w:val="none"/>
        </w:rPr>
        <w:t>年龄：</w:t>
      </w:r>
      <w:r>
        <w:rPr>
          <w:rFonts w:hint="eastAsia" w:ascii="宋体"/>
          <w:sz w:val="24"/>
          <w:highlight w:val="none"/>
          <w:u w:val="single"/>
        </w:rPr>
        <w:t xml:space="preserve">＿  </w:t>
      </w:r>
      <w:r>
        <w:rPr>
          <w:rFonts w:hint="eastAsia" w:ascii="宋体"/>
          <w:sz w:val="24"/>
          <w:highlight w:val="none"/>
        </w:rPr>
        <w:t>职务：</w:t>
      </w:r>
      <w:r>
        <w:rPr>
          <w:rFonts w:hint="eastAsia" w:ascii="宋体"/>
          <w:sz w:val="24"/>
          <w:highlight w:val="none"/>
          <w:u w:val="single"/>
        </w:rPr>
        <w:t xml:space="preserve">     </w:t>
      </w:r>
      <w:r>
        <w:rPr>
          <w:rFonts w:hint="eastAsia" w:ascii="宋体"/>
          <w:sz w:val="24"/>
          <w:highlight w:val="none"/>
        </w:rPr>
        <w:t>，系</w:t>
      </w:r>
      <w:r>
        <w:rPr>
          <w:rFonts w:hint="eastAsia" w:ascii="宋体"/>
          <w:sz w:val="24"/>
          <w:highlight w:val="none"/>
          <w:u w:val="single"/>
        </w:rPr>
        <w:t xml:space="preserve">     （投标人名称）</w:t>
      </w:r>
      <w:r>
        <w:rPr>
          <w:rFonts w:hint="eastAsia" w:ascii="宋体"/>
          <w:sz w:val="24"/>
          <w:highlight w:val="none"/>
        </w:rPr>
        <w:t>的法定代表人。</w:t>
      </w:r>
    </w:p>
    <w:p w14:paraId="13BA0D93">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特此证明。</w:t>
      </w:r>
    </w:p>
    <w:p w14:paraId="5AB38E67">
      <w:pPr>
        <w:keepNext w:val="0"/>
        <w:keepLines w:val="0"/>
        <w:pageBreakBefore w:val="0"/>
        <w:kinsoku/>
        <w:wordWrap/>
        <w:overflowPunct/>
        <w:topLinePunct w:val="0"/>
        <w:autoSpaceDE/>
        <w:autoSpaceDN/>
        <w:bidi w:val="0"/>
        <w:adjustRightInd/>
        <w:snapToGrid/>
        <w:spacing w:line="440" w:lineRule="exact"/>
        <w:ind w:firstLine="480" w:firstLineChars="200"/>
        <w:rPr>
          <w:highlight w:val="none"/>
        </w:rPr>
      </w:pPr>
      <w:r>
        <w:rPr>
          <w:rFonts w:hint="eastAsia" w:ascii="宋体"/>
          <w:sz w:val="24"/>
          <w:highlight w:val="none"/>
        </w:rPr>
        <w:t>附：</w:t>
      </w:r>
      <w:r>
        <w:rPr>
          <w:rFonts w:hint="eastAsia" w:ascii="宋体"/>
          <w:b/>
          <w:sz w:val="24"/>
          <w:highlight w:val="none"/>
        </w:rPr>
        <w:t>法定代表人有效身份证扫描件</w:t>
      </w:r>
    </w:p>
    <w:p w14:paraId="3089C1AB">
      <w:pPr>
        <w:keepNext w:val="0"/>
        <w:keepLines w:val="0"/>
        <w:pageBreakBefore w:val="0"/>
        <w:kinsoku/>
        <w:wordWrap/>
        <w:overflowPunct/>
        <w:topLinePunct w:val="0"/>
        <w:autoSpaceDE/>
        <w:autoSpaceDN/>
        <w:bidi w:val="0"/>
        <w:adjustRightInd/>
        <w:snapToGrid/>
        <w:spacing w:line="440" w:lineRule="exact"/>
        <w:ind w:firstLine="3720" w:firstLineChars="1550"/>
        <w:rPr>
          <w:rFonts w:ascii="宋体"/>
          <w:sz w:val="24"/>
          <w:highlight w:val="none"/>
        </w:rPr>
      </w:pPr>
      <w:r>
        <w:rPr>
          <w:rFonts w:hint="eastAsia" w:ascii="宋体"/>
          <w:sz w:val="24"/>
          <w:highlight w:val="none"/>
        </w:rPr>
        <w:t>投标人：</w:t>
      </w:r>
      <w:r>
        <w:rPr>
          <w:rFonts w:hint="eastAsia" w:ascii="宋体"/>
          <w:sz w:val="24"/>
          <w:highlight w:val="none"/>
          <w:u w:val="single"/>
        </w:rPr>
        <w:t xml:space="preserve">            （</w:t>
      </w:r>
      <w:r>
        <w:rPr>
          <w:rFonts w:hint="eastAsia" w:ascii="宋体"/>
          <w:sz w:val="24"/>
          <w:highlight w:val="none"/>
          <w:u w:val="single"/>
          <w:lang w:val="en-US" w:eastAsia="zh-CN"/>
        </w:rPr>
        <w:t>盖</w:t>
      </w:r>
      <w:r>
        <w:rPr>
          <w:rFonts w:hint="eastAsia" w:ascii="宋体"/>
          <w:sz w:val="24"/>
          <w:highlight w:val="none"/>
          <w:u w:val="single"/>
        </w:rPr>
        <w:t>章）</w:t>
      </w:r>
    </w:p>
    <w:p w14:paraId="34409C45">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 xml:space="preserve">                                        年    月     日</w:t>
      </w:r>
    </w:p>
    <w:p w14:paraId="2F0B7B0C">
      <w:pPr>
        <w:keepNext w:val="0"/>
        <w:keepLines w:val="0"/>
        <w:pageBreakBefore w:val="0"/>
        <w:kinsoku/>
        <w:wordWrap/>
        <w:overflowPunct/>
        <w:topLinePunct w:val="0"/>
        <w:autoSpaceDE/>
        <w:autoSpaceDN/>
        <w:bidi w:val="0"/>
        <w:adjustRightInd/>
        <w:snapToGrid/>
        <w:spacing w:line="440" w:lineRule="exact"/>
        <w:rPr>
          <w:highlight w:val="none"/>
        </w:rPr>
      </w:pPr>
    </w:p>
    <w:p w14:paraId="1550066F">
      <w:pPr>
        <w:pStyle w:val="74"/>
        <w:keepNext w:val="0"/>
        <w:keepLines w:val="0"/>
        <w:pageBreakBefore w:val="0"/>
        <w:kinsoku/>
        <w:wordWrap/>
        <w:overflowPunct/>
        <w:topLinePunct w:val="0"/>
        <w:autoSpaceDE/>
        <w:autoSpaceDN/>
        <w:bidi w:val="0"/>
        <w:adjustRightInd/>
        <w:snapToGrid/>
        <w:spacing w:beforeLines="100" w:afterLines="100" w:line="440" w:lineRule="exact"/>
        <w:rPr>
          <w:rFonts w:ascii="宋体"/>
          <w:color w:val="auto"/>
          <w:sz w:val="24"/>
          <w:szCs w:val="24"/>
          <w:highlight w:val="none"/>
        </w:rPr>
      </w:pPr>
      <w:r>
        <w:rPr>
          <w:rFonts w:hint="eastAsia" w:ascii="宋体"/>
          <w:color w:val="auto"/>
          <w:sz w:val="24"/>
          <w:szCs w:val="24"/>
          <w:highlight w:val="none"/>
        </w:rPr>
        <w:t>或1、授权委托书</w:t>
      </w:r>
    </w:p>
    <w:p w14:paraId="00E2E773">
      <w:pPr>
        <w:keepNext w:val="0"/>
        <w:keepLines w:val="0"/>
        <w:pageBreakBefore w:val="0"/>
        <w:kinsoku/>
        <w:wordWrap/>
        <w:overflowPunct/>
        <w:topLinePunct w:val="0"/>
        <w:autoSpaceDE/>
        <w:autoSpaceDN/>
        <w:bidi w:val="0"/>
        <w:adjustRightInd/>
        <w:snapToGrid/>
        <w:spacing w:line="440" w:lineRule="exact"/>
        <w:ind w:firstLine="480" w:firstLineChars="200"/>
        <w:jc w:val="left"/>
        <w:rPr>
          <w:rFonts w:ascii="宋体"/>
          <w:sz w:val="24"/>
          <w:highlight w:val="none"/>
        </w:rPr>
      </w:pPr>
      <w:r>
        <w:rPr>
          <w:rFonts w:hint="eastAsia" w:ascii="宋体"/>
          <w:sz w:val="24"/>
          <w:highlight w:val="none"/>
        </w:rPr>
        <w:t>本人</w:t>
      </w:r>
      <w:r>
        <w:rPr>
          <w:rFonts w:hint="eastAsia" w:ascii="宋体"/>
          <w:sz w:val="24"/>
          <w:highlight w:val="none"/>
          <w:u w:val="single"/>
        </w:rPr>
        <w:t xml:space="preserve"> （姓名）</w:t>
      </w:r>
      <w:r>
        <w:rPr>
          <w:rFonts w:hint="eastAsia" w:ascii="宋体"/>
          <w:sz w:val="24"/>
          <w:highlight w:val="none"/>
        </w:rPr>
        <w:t>系</w:t>
      </w:r>
      <w:r>
        <w:rPr>
          <w:rFonts w:hint="eastAsia" w:ascii="宋体"/>
          <w:sz w:val="24"/>
          <w:highlight w:val="none"/>
          <w:u w:val="single"/>
        </w:rPr>
        <w:t>（投标人）</w:t>
      </w:r>
      <w:r>
        <w:rPr>
          <w:rFonts w:hint="eastAsia" w:ascii="宋体"/>
          <w:sz w:val="24"/>
          <w:highlight w:val="none"/>
        </w:rPr>
        <w:t>的法定代表人，现委托</w:t>
      </w:r>
      <w:r>
        <w:rPr>
          <w:rFonts w:hint="eastAsia" w:ascii="宋体"/>
          <w:sz w:val="24"/>
          <w:highlight w:val="none"/>
          <w:u w:val="single"/>
        </w:rPr>
        <w:t>（姓名）</w:t>
      </w:r>
      <w:r>
        <w:rPr>
          <w:rFonts w:hint="eastAsia" w:ascii="宋体"/>
          <w:sz w:val="24"/>
          <w:highlight w:val="none"/>
        </w:rPr>
        <w:t>为我方代理人。代理人根据授权，以我方名义签署、澄清、说明、补正、递交、撤回、修改</w:t>
      </w:r>
      <w:r>
        <w:rPr>
          <w:rFonts w:hint="eastAsia" w:ascii="宋体"/>
          <w:sz w:val="24"/>
          <w:highlight w:val="none"/>
          <w:u w:val="single"/>
        </w:rPr>
        <w:t xml:space="preserve"> “   ”(项目名称）</w:t>
      </w:r>
      <w:r>
        <w:rPr>
          <w:rFonts w:hint="eastAsia" w:ascii="宋体"/>
          <w:sz w:val="24"/>
          <w:highlight w:val="none"/>
        </w:rPr>
        <w:t>投标文件，全权处理与该项目投标、评审答疑、签订合同以及与合同执行有关的一切事务，其法律后果由我方承担。</w:t>
      </w:r>
    </w:p>
    <w:p w14:paraId="104BA12E">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sz w:val="24"/>
          <w:highlight w:val="none"/>
        </w:rPr>
      </w:pPr>
      <w:r>
        <w:rPr>
          <w:rFonts w:hint="eastAsia" w:ascii="宋体"/>
          <w:sz w:val="24"/>
          <w:highlight w:val="none"/>
        </w:rPr>
        <w:t>委托期限：</w:t>
      </w:r>
      <w:r>
        <w:rPr>
          <w:rFonts w:hint="eastAsia" w:ascii="宋体"/>
          <w:sz w:val="24"/>
          <w:highlight w:val="none"/>
          <w:u w:val="single"/>
          <w:lang w:val="en-US" w:eastAsia="zh-CN"/>
        </w:rPr>
        <w:t xml:space="preserve">              </w:t>
      </w:r>
      <w:r>
        <w:rPr>
          <w:rFonts w:hint="eastAsia" w:ascii="宋体" w:cs="宋体"/>
          <w:sz w:val="24"/>
          <w:highlight w:val="none"/>
        </w:rPr>
        <w:t>。</w:t>
      </w:r>
    </w:p>
    <w:p w14:paraId="5334BA4B">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sz w:val="24"/>
          <w:highlight w:val="none"/>
        </w:rPr>
      </w:pPr>
      <w:r>
        <w:rPr>
          <w:rFonts w:hint="eastAsia" w:ascii="宋体"/>
          <w:sz w:val="24"/>
          <w:highlight w:val="none"/>
        </w:rPr>
        <w:t>代理人无转委托权。</w:t>
      </w:r>
    </w:p>
    <w:p w14:paraId="0A2C1F2B">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b/>
          <w:sz w:val="24"/>
          <w:highlight w:val="none"/>
        </w:rPr>
      </w:pPr>
      <w:r>
        <w:rPr>
          <w:rFonts w:hint="eastAsia" w:ascii="宋体"/>
          <w:sz w:val="24"/>
          <w:highlight w:val="none"/>
        </w:rPr>
        <w:t>附：</w:t>
      </w:r>
      <w:r>
        <w:rPr>
          <w:rFonts w:hint="eastAsia" w:ascii="宋体"/>
          <w:b/>
          <w:sz w:val="24"/>
          <w:highlight w:val="none"/>
        </w:rPr>
        <w:t>委托代理人有效身份证扫描件</w:t>
      </w:r>
    </w:p>
    <w:p w14:paraId="3E1AE668">
      <w:pPr>
        <w:keepNext w:val="0"/>
        <w:keepLines w:val="0"/>
        <w:pageBreakBefore w:val="0"/>
        <w:kinsoku/>
        <w:wordWrap/>
        <w:overflowPunct/>
        <w:topLinePunct w:val="0"/>
        <w:autoSpaceDE/>
        <w:autoSpaceDN/>
        <w:bidi w:val="0"/>
        <w:adjustRightInd/>
        <w:snapToGrid/>
        <w:spacing w:line="440" w:lineRule="exact"/>
        <w:ind w:firstLine="964" w:firstLineChars="400"/>
        <w:rPr>
          <w:rFonts w:ascii="宋体"/>
          <w:b/>
          <w:sz w:val="24"/>
          <w:highlight w:val="none"/>
        </w:rPr>
      </w:pPr>
      <w:r>
        <w:rPr>
          <w:rFonts w:hint="eastAsia" w:ascii="宋体"/>
          <w:b/>
          <w:sz w:val="24"/>
          <w:highlight w:val="none"/>
        </w:rPr>
        <w:t>法定代表人有效身份证扫描件</w:t>
      </w:r>
    </w:p>
    <w:p w14:paraId="3DC4B743">
      <w:pPr>
        <w:keepNext w:val="0"/>
        <w:keepLines w:val="0"/>
        <w:pageBreakBefore w:val="0"/>
        <w:kinsoku/>
        <w:wordWrap/>
        <w:overflowPunct/>
        <w:topLinePunct w:val="0"/>
        <w:autoSpaceDE/>
        <w:autoSpaceDN/>
        <w:bidi w:val="0"/>
        <w:adjustRightInd/>
        <w:snapToGrid/>
        <w:spacing w:line="440" w:lineRule="exact"/>
        <w:ind w:firstLine="833" w:firstLineChars="397"/>
        <w:rPr>
          <w:highlight w:val="none"/>
        </w:rPr>
      </w:pPr>
    </w:p>
    <w:p w14:paraId="4D108BBB">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sz w:val="24"/>
          <w:highlight w:val="none"/>
        </w:rPr>
      </w:pPr>
      <w:r>
        <w:rPr>
          <w:rFonts w:hint="eastAsia" w:ascii="宋体" w:hAnsi="Times New Roman" w:eastAsia="宋体" w:cs="Times New Roman"/>
          <w:sz w:val="24"/>
          <w:highlight w:val="none"/>
        </w:rPr>
        <w:t xml:space="preserve"> 投标人（盖章）：</w:t>
      </w:r>
    </w:p>
    <w:p w14:paraId="63FE0C48">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sz w:val="24"/>
          <w:highlight w:val="none"/>
        </w:rPr>
      </w:pPr>
      <w:r>
        <w:rPr>
          <w:rFonts w:hint="eastAsia" w:ascii="宋体" w:hAnsi="Times New Roman" w:eastAsia="宋体" w:cs="Times New Roman"/>
          <w:sz w:val="24"/>
          <w:highlight w:val="none"/>
        </w:rPr>
        <w:t>法定代表人（身份证号码）：    （签字或盖章）</w:t>
      </w:r>
    </w:p>
    <w:p w14:paraId="3BE5CF08">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sz w:val="24"/>
          <w:highlight w:val="none"/>
        </w:rPr>
      </w:pPr>
      <w:r>
        <w:rPr>
          <w:rFonts w:hint="eastAsia" w:ascii="宋体" w:hAnsi="Times New Roman" w:eastAsia="宋体" w:cs="Times New Roman"/>
          <w:sz w:val="24"/>
          <w:highlight w:val="none"/>
        </w:rPr>
        <w:t>委托代理人（身份证号码）：    （签字或盖章）</w:t>
      </w:r>
    </w:p>
    <w:p w14:paraId="0FCD3FA1">
      <w:pPr>
        <w:keepNext w:val="0"/>
        <w:keepLines w:val="0"/>
        <w:pageBreakBefore w:val="0"/>
        <w:kinsoku/>
        <w:wordWrap/>
        <w:overflowPunct/>
        <w:topLinePunct w:val="0"/>
        <w:autoSpaceDE/>
        <w:autoSpaceDN/>
        <w:bidi w:val="0"/>
        <w:adjustRightInd/>
        <w:snapToGrid/>
        <w:spacing w:line="440" w:lineRule="exact"/>
        <w:ind w:firstLine="5040" w:firstLineChars="2100"/>
        <w:rPr>
          <w:rFonts w:ascii="宋体"/>
          <w:sz w:val="24"/>
          <w:highlight w:val="none"/>
        </w:rPr>
      </w:pPr>
      <w:r>
        <w:rPr>
          <w:rFonts w:hint="eastAsia" w:ascii="宋体"/>
          <w:sz w:val="24"/>
          <w:highlight w:val="none"/>
        </w:rPr>
        <w:t xml:space="preserve">   </w:t>
      </w:r>
    </w:p>
    <w:p w14:paraId="0F4784B3">
      <w:pPr>
        <w:keepNext w:val="0"/>
        <w:keepLines w:val="0"/>
        <w:pageBreakBefore w:val="0"/>
        <w:kinsoku/>
        <w:wordWrap/>
        <w:overflowPunct/>
        <w:topLinePunct w:val="0"/>
        <w:autoSpaceDE/>
        <w:autoSpaceDN/>
        <w:bidi w:val="0"/>
        <w:adjustRightInd/>
        <w:snapToGrid/>
        <w:spacing w:line="440" w:lineRule="exact"/>
        <w:ind w:firstLine="5700" w:firstLineChars="2375"/>
        <w:rPr>
          <w:rFonts w:ascii="宋体"/>
          <w:sz w:val="24"/>
          <w:highlight w:val="none"/>
        </w:rPr>
      </w:pPr>
      <w:r>
        <w:rPr>
          <w:rFonts w:hint="eastAsia" w:ascii="宋体"/>
          <w:sz w:val="24"/>
          <w:highlight w:val="none"/>
        </w:rPr>
        <w:t>年    月    日</w:t>
      </w:r>
    </w:p>
    <w:p w14:paraId="1B9326C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b/>
          <w:sz w:val="28"/>
          <w:szCs w:val="28"/>
          <w:highlight w:val="none"/>
        </w:rPr>
      </w:pPr>
    </w:p>
    <w:p w14:paraId="52876103">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b/>
          <w:sz w:val="28"/>
          <w:szCs w:val="28"/>
          <w:highlight w:val="none"/>
        </w:rPr>
      </w:pPr>
      <w:r>
        <w:rPr>
          <w:rFonts w:hint="eastAsia"/>
          <w:b/>
          <w:sz w:val="28"/>
          <w:szCs w:val="28"/>
          <w:highlight w:val="none"/>
        </w:rPr>
        <w:t>（2）诚信投标承诺书</w:t>
      </w:r>
      <w:bookmarkEnd w:id="899"/>
      <w:bookmarkEnd w:id="900"/>
      <w:bookmarkEnd w:id="901"/>
    </w:p>
    <w:p w14:paraId="4F449F94">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szCs w:val="21"/>
          <w:highlight w:val="none"/>
        </w:rPr>
      </w:pPr>
      <w:r>
        <w:rPr>
          <w:rFonts w:hint="eastAsia" w:ascii="宋体" w:hAnsi="宋体"/>
          <w:szCs w:val="21"/>
          <w:highlight w:val="none"/>
        </w:rPr>
        <w:t>本人以企业法定代表人的身份郑重承诺：</w:t>
      </w:r>
    </w:p>
    <w:p w14:paraId="65F75769">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r>
        <w:rPr>
          <w:rFonts w:hint="eastAsia" w:ascii="宋体" w:hAnsi="宋体"/>
          <w:szCs w:val="21"/>
          <w:highlight w:val="none"/>
        </w:rPr>
        <w:t>一、将遵循公开、公正和诚实信用的原则自愿参加</w:t>
      </w:r>
      <w:r>
        <w:rPr>
          <w:rFonts w:hint="eastAsia" w:ascii="宋体" w:hAnsi="宋体"/>
          <w:szCs w:val="21"/>
          <w:highlight w:val="none"/>
          <w:u w:val="single"/>
        </w:rPr>
        <w:t xml:space="preserve">       （项目名称）        </w:t>
      </w:r>
      <w:r>
        <w:rPr>
          <w:rFonts w:hint="eastAsia" w:ascii="宋体" w:hAnsi="宋体"/>
          <w:szCs w:val="21"/>
          <w:highlight w:val="none"/>
        </w:rPr>
        <w:t>项目的投标；</w:t>
      </w:r>
    </w:p>
    <w:p w14:paraId="01C34AA5">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r>
        <w:rPr>
          <w:rFonts w:hint="eastAsia" w:ascii="宋体" w:hAnsi="宋体"/>
          <w:szCs w:val="21"/>
          <w:highlight w:val="none"/>
        </w:rPr>
        <w:t>二、所提供的一切材料都是真实、有效、合法的；</w:t>
      </w:r>
    </w:p>
    <w:p w14:paraId="72E84187">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r>
        <w:rPr>
          <w:rFonts w:hint="eastAsia" w:ascii="宋体" w:hAnsi="宋体"/>
          <w:szCs w:val="21"/>
          <w:highlight w:val="none"/>
        </w:rPr>
        <w:t>三、不出借、转让资质证书，不让他人挂靠投标，不以他人名义投标或者以其他方式弄虚作假，骗取中标；</w:t>
      </w:r>
    </w:p>
    <w:p w14:paraId="12874A6B">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r>
        <w:rPr>
          <w:rFonts w:hint="eastAsia" w:ascii="宋体" w:hAnsi="宋体"/>
          <w:szCs w:val="21"/>
          <w:highlight w:val="none"/>
        </w:rPr>
        <w:t>四、不与其他投标人相互串通投标报价，不排挤其他投标人的公平竞争、损害招标人的合法权益；</w:t>
      </w:r>
    </w:p>
    <w:p w14:paraId="5E82D773">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r>
        <w:rPr>
          <w:rFonts w:hint="eastAsia" w:ascii="宋体" w:hAnsi="宋体"/>
          <w:szCs w:val="21"/>
          <w:highlight w:val="none"/>
        </w:rPr>
        <w:t>五、不与招标人、招标代理机构或其他投标人串通投标，损害国家利益、社会公共利益或者他人的合法权益；</w:t>
      </w:r>
    </w:p>
    <w:p w14:paraId="42A349F7">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六、</w:t>
      </w:r>
      <w:r>
        <w:rPr>
          <w:rFonts w:hint="eastAsia" w:ascii="宋体" w:hAnsi="宋体" w:eastAsia="宋体" w:cs="Times New Roman"/>
          <w:szCs w:val="21"/>
          <w:highlight w:val="none"/>
          <w:u w:val="single"/>
        </w:rPr>
        <w:t xml:space="preserve">      </w:t>
      </w:r>
      <w:r>
        <w:rPr>
          <w:rFonts w:hint="eastAsia" w:ascii="宋体" w:hAnsi="宋体" w:eastAsia="宋体" w:cs="Times New Roman"/>
          <w:szCs w:val="21"/>
          <w:highlight w:val="none"/>
        </w:rPr>
        <w:t>（企业名称）或</w:t>
      </w:r>
      <w:r>
        <w:rPr>
          <w:rFonts w:hint="eastAsia" w:ascii="宋体" w:hAnsi="宋体" w:eastAsia="宋体" w:cs="Times New Roman"/>
          <w:szCs w:val="21"/>
          <w:highlight w:val="none"/>
          <w:u w:val="single"/>
        </w:rPr>
        <w:t xml:space="preserve">       </w:t>
      </w:r>
      <w:r>
        <w:rPr>
          <w:rFonts w:hint="eastAsia" w:ascii="宋体" w:hAnsi="宋体" w:eastAsia="宋体" w:cs="Times New Roman"/>
          <w:szCs w:val="21"/>
          <w:highlight w:val="none"/>
        </w:rPr>
        <w:t>（企业名称）法定代表人</w:t>
      </w:r>
      <w:r>
        <w:rPr>
          <w:rFonts w:hint="eastAsia" w:ascii="宋体" w:hAnsi="宋体" w:eastAsia="宋体" w:cs="Times New Roman"/>
          <w:szCs w:val="21"/>
          <w:highlight w:val="none"/>
          <w:u w:val="single"/>
        </w:rPr>
        <w:t xml:space="preserve">       </w:t>
      </w:r>
      <w:r>
        <w:rPr>
          <w:rFonts w:hint="eastAsia" w:ascii="宋体" w:hAnsi="宋体" w:eastAsia="宋体" w:cs="Times New Roman"/>
          <w:szCs w:val="21"/>
          <w:highlight w:val="none"/>
        </w:rPr>
        <w:t>或拟派项目经理（负责人）      没有下列情形：</w:t>
      </w:r>
      <w:bookmarkStart w:id="902" w:name="OLE_LINK134"/>
      <w:bookmarkStart w:id="903" w:name="OLE_LINK133"/>
      <w:r>
        <w:rPr>
          <w:rFonts w:hint="eastAsia" w:ascii="宋体" w:hAnsi="宋体" w:eastAsia="宋体" w:cs="Times New Roman"/>
          <w:szCs w:val="21"/>
          <w:highlight w:val="none"/>
        </w:rPr>
        <w:t>①被列入“信用中国”网站“失信被执行人”的;②被列入“信用中国”网站“重大税收违法失信主体”的；③被列入“信用中国”网站“拖欠农民工工资失信联合惩戒对象名单”的；④被列入“信用中国”网站“严重失信主体名单”的；⑤在“信用中国”网站上披露的仍在公示期的严重失信行为(具体行为类别及判定依据见附件2)的。⑥被列入国家企业信用信息公示系统网站“经营异常名录”或者“严重违法失信名单”的。⑦前三年有行贿犯罪行为的单位和个人；⑧被滁州市县两级公管部门及各行业主管部门取消在一定期限内的投标资格且在取消期限内的；⑨因拖欠农民工工资被县级及以上有关行政主管部门限制投标资格且在限制期限内的；⑩被列入省级、市级农民工工资支付异常名录的施工企业，在限制其参加全市范围内房建和市政工程建设项目投标的期限内的；列入县级异常名录的施工企业，在限制其参加本行政区域内房建和市政建设项目投标的期限内的。（</w:t>
      </w:r>
      <w:bookmarkEnd w:id="902"/>
      <w:bookmarkEnd w:id="903"/>
      <w:r>
        <w:rPr>
          <w:rFonts w:hint="eastAsia" w:ascii="宋体" w:hAnsi="宋体" w:eastAsia="宋体" w:cs="Times New Roman"/>
          <w:szCs w:val="21"/>
          <w:highlight w:val="none"/>
        </w:rPr>
        <w:t>若招标文件对投标人所属分公司、办事处等分支机构有上述1-10项信誉要求，在此一并承诺我公司所属分公司、办事处等分支机构没有上述1-10项情形）</w:t>
      </w:r>
    </w:p>
    <w:p w14:paraId="007134E2">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r>
        <w:rPr>
          <w:rFonts w:hint="eastAsia" w:ascii="宋体" w:hAnsi="宋体"/>
          <w:szCs w:val="21"/>
          <w:highlight w:val="none"/>
          <w:lang w:val="en-US" w:eastAsia="zh-CN"/>
        </w:rPr>
        <w:t>七</w:t>
      </w:r>
      <w:r>
        <w:rPr>
          <w:rFonts w:hint="eastAsia" w:ascii="宋体" w:hAnsi="宋体"/>
          <w:szCs w:val="21"/>
          <w:highlight w:val="none"/>
        </w:rPr>
        <w:t>、保证中标后不转包及使用挂靠施工队伍，若有分包征得建设单位同意；</w:t>
      </w:r>
    </w:p>
    <w:p w14:paraId="63C6B496">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r>
        <w:rPr>
          <w:rFonts w:hint="eastAsia" w:ascii="宋体" w:hAnsi="宋体"/>
          <w:szCs w:val="21"/>
          <w:highlight w:val="none"/>
        </w:rPr>
        <w:t>八、保证中标之后，按照投标文件承诺派驻管理人员及投入机械设备，如有违反，同意接受建设单位违约处罚；</w:t>
      </w:r>
    </w:p>
    <w:p w14:paraId="775E1894">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r>
        <w:rPr>
          <w:rFonts w:hint="eastAsia" w:ascii="宋体" w:hAnsi="宋体"/>
          <w:szCs w:val="21"/>
          <w:highlight w:val="none"/>
          <w:lang w:val="en-US" w:eastAsia="zh-CN"/>
        </w:rPr>
        <w:t>九</w:t>
      </w:r>
      <w:r>
        <w:rPr>
          <w:rFonts w:hint="eastAsia" w:ascii="宋体" w:hAnsi="宋体"/>
          <w:szCs w:val="21"/>
          <w:highlight w:val="none"/>
        </w:rPr>
        <w:t>、保证企业及所属相关人员在本次投标中无行贿等犯罪行为；</w:t>
      </w:r>
    </w:p>
    <w:p w14:paraId="3DF19E94">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r>
        <w:rPr>
          <w:rFonts w:hint="eastAsia" w:ascii="宋体" w:hAnsi="宋体"/>
          <w:szCs w:val="21"/>
          <w:highlight w:val="none"/>
        </w:rPr>
        <w:t>十、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23E21757">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r>
        <w:rPr>
          <w:rFonts w:hint="eastAsia" w:ascii="宋体" w:hAnsi="宋体"/>
          <w:szCs w:val="21"/>
          <w:highlight w:val="none"/>
        </w:rPr>
        <w:t>十</w:t>
      </w:r>
      <w:r>
        <w:rPr>
          <w:rFonts w:hint="eastAsia" w:ascii="宋体" w:hAnsi="宋体"/>
          <w:szCs w:val="21"/>
          <w:highlight w:val="none"/>
          <w:lang w:val="en-US" w:eastAsia="zh-CN"/>
        </w:rPr>
        <w:t>一</w:t>
      </w:r>
      <w:r>
        <w:rPr>
          <w:rFonts w:hint="eastAsia" w:ascii="宋体" w:hAnsi="宋体"/>
          <w:szCs w:val="21"/>
          <w:highlight w:val="none"/>
        </w:rPr>
        <w:t>、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14:paraId="437149D4">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ascii="宋体" w:hAnsi="宋体"/>
          <w:szCs w:val="21"/>
          <w:highlight w:val="none"/>
        </w:rPr>
      </w:pPr>
      <w:r>
        <w:rPr>
          <w:rFonts w:hint="eastAsia" w:ascii="宋体" w:hAnsi="宋体"/>
          <w:szCs w:val="21"/>
          <w:highlight w:val="none"/>
        </w:rPr>
        <w:t>以上内容我已仔细阅读，本公司若有违反承诺内容的行为，自愿接受取消投标或者中标资格、记入不良行为记录、投标保证金不予退还等有关处理，愿意承担法律责任，给招标人造成损失的，依法承担赔偿责任。</w:t>
      </w:r>
    </w:p>
    <w:p w14:paraId="5F54C7E5">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szCs w:val="21"/>
          <w:highlight w:val="none"/>
        </w:rPr>
      </w:pPr>
    </w:p>
    <w:p w14:paraId="635156B9">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ascii="宋体" w:hAnsi="宋体"/>
          <w:szCs w:val="21"/>
          <w:highlight w:val="none"/>
        </w:rPr>
      </w:pPr>
      <w:r>
        <w:rPr>
          <w:rFonts w:hint="eastAsia" w:ascii="宋体" w:hAnsi="宋体"/>
          <w:szCs w:val="21"/>
          <w:highlight w:val="none"/>
        </w:rPr>
        <w:t>开户银行：                          基本账户：</w:t>
      </w:r>
    </w:p>
    <w:p w14:paraId="5608ECAE">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ascii="宋体" w:hAnsi="宋体"/>
          <w:szCs w:val="21"/>
          <w:highlight w:val="none"/>
        </w:rPr>
      </w:pPr>
      <w:r>
        <w:rPr>
          <w:rFonts w:hint="eastAsia" w:ascii="宋体" w:hAnsi="宋体"/>
          <w:szCs w:val="21"/>
          <w:highlight w:val="none"/>
        </w:rPr>
        <w:t>投标人（盖章）：              法定代表人（签字或</w:t>
      </w:r>
      <w:r>
        <w:rPr>
          <w:rFonts w:hint="eastAsia" w:ascii="宋体" w:hAnsi="宋体"/>
          <w:szCs w:val="21"/>
          <w:highlight w:val="none"/>
          <w:lang w:val="en-US" w:eastAsia="zh-CN"/>
        </w:rPr>
        <w:t>盖</w:t>
      </w:r>
      <w:r>
        <w:rPr>
          <w:rFonts w:hint="eastAsia" w:ascii="宋体" w:hAnsi="宋体"/>
          <w:szCs w:val="21"/>
          <w:highlight w:val="none"/>
        </w:rPr>
        <w:t>章）：</w:t>
      </w:r>
    </w:p>
    <w:p w14:paraId="3617905E">
      <w:pPr>
        <w:keepNext w:val="0"/>
        <w:keepLines w:val="0"/>
        <w:pageBreakBefore w:val="0"/>
        <w:widowControl w:val="0"/>
        <w:kinsoku/>
        <w:wordWrap/>
        <w:overflowPunct/>
        <w:topLinePunct w:val="0"/>
        <w:autoSpaceDE/>
        <w:autoSpaceDN/>
        <w:bidi w:val="0"/>
        <w:adjustRightInd/>
        <w:snapToGrid/>
        <w:spacing w:line="380" w:lineRule="exact"/>
        <w:ind w:firstLine="5250" w:firstLineChars="2500"/>
        <w:textAlignment w:val="auto"/>
        <w:rPr>
          <w:highlight w:val="none"/>
        </w:rPr>
      </w:pPr>
      <w:r>
        <w:rPr>
          <w:rFonts w:hint="eastAsia" w:ascii="宋体" w:hAnsi="宋体"/>
          <w:szCs w:val="21"/>
          <w:highlight w:val="none"/>
        </w:rPr>
        <w:t>日期：    年   月   日</w:t>
      </w:r>
    </w:p>
    <w:p w14:paraId="364DDAFB">
      <w:pPr>
        <w:rPr>
          <w:rFonts w:eastAsia="黑体"/>
          <w:sz w:val="28"/>
          <w:szCs w:val="28"/>
          <w:highlight w:val="none"/>
          <w:u w:val="single"/>
        </w:rPr>
      </w:pPr>
      <w:r>
        <w:rPr>
          <w:rFonts w:hint="eastAsia" w:ascii="宋体" w:hAnsi="宋体"/>
          <w:b/>
          <w:sz w:val="32"/>
          <w:szCs w:val="32"/>
          <w:highlight w:val="none"/>
        </w:rPr>
        <w:br w:type="page"/>
      </w:r>
    </w:p>
    <w:p w14:paraId="7642BCB7">
      <w:pPr>
        <w:pStyle w:val="8"/>
        <w:adjustRightInd w:val="0"/>
        <w:snapToGrid w:val="0"/>
        <w:spacing w:before="0" w:after="0" w:line="560" w:lineRule="exact"/>
        <w:jc w:val="center"/>
        <w:rPr>
          <w:color w:val="000000"/>
          <w:highlight w:val="none"/>
        </w:rPr>
      </w:pPr>
      <w:bookmarkStart w:id="904" w:name="_Toc95223537"/>
      <w:r>
        <w:rPr>
          <w:rFonts w:hint="eastAsia"/>
          <w:color w:val="000000"/>
          <w:highlight w:val="none"/>
        </w:rPr>
        <w:t>（</w:t>
      </w:r>
      <w:r>
        <w:rPr>
          <w:rFonts w:hint="eastAsia"/>
          <w:color w:val="000000"/>
          <w:highlight w:val="none"/>
          <w:lang w:val="en-US" w:eastAsia="zh-CN"/>
        </w:rPr>
        <w:t>3</w:t>
      </w:r>
      <w:r>
        <w:rPr>
          <w:rFonts w:hint="eastAsia"/>
          <w:color w:val="000000"/>
          <w:highlight w:val="none"/>
        </w:rPr>
        <w:t>）联合体协议书（如有）</w:t>
      </w:r>
      <w:bookmarkEnd w:id="904"/>
    </w:p>
    <w:p w14:paraId="45CF5702">
      <w:pPr>
        <w:adjustRightInd w:val="0"/>
        <w:snapToGrid w:val="0"/>
        <w:spacing w:line="520" w:lineRule="exact"/>
        <w:ind w:firstLine="422" w:firstLineChars="200"/>
        <w:jc w:val="left"/>
        <w:rPr>
          <w:rFonts w:ascii="宋体" w:hAnsi="宋体"/>
          <w:color w:val="000000"/>
          <w:szCs w:val="21"/>
          <w:highlight w:val="none"/>
        </w:rPr>
      </w:pPr>
      <w:r>
        <w:rPr>
          <w:rFonts w:hint="eastAsia" w:ascii="宋体" w:hAnsi="宋体"/>
          <w:b/>
          <w:color w:val="000000"/>
          <w:szCs w:val="21"/>
          <w:highlight w:val="none"/>
          <w:u w:val="single"/>
        </w:rPr>
        <w:t xml:space="preserve">                </w:t>
      </w:r>
      <w:r>
        <w:rPr>
          <w:rFonts w:hint="eastAsia" w:ascii="宋体" w:hAnsi="宋体"/>
          <w:color w:val="000000"/>
          <w:szCs w:val="21"/>
          <w:highlight w:val="none"/>
        </w:rPr>
        <w:t>（所有成员单位名</w:t>
      </w:r>
      <w:bookmarkStart w:id="905" w:name="_Toc506107345"/>
      <w:bookmarkStart w:id="906" w:name="_Toc58229120"/>
      <w:bookmarkStart w:id="907" w:name="_Toc60061579"/>
      <w:bookmarkStart w:id="908" w:name="_Toc15058939"/>
      <w:r>
        <w:rPr>
          <w:rFonts w:hint="eastAsia" w:ascii="宋体" w:hAnsi="宋体"/>
          <w:color w:val="000000"/>
          <w:szCs w:val="21"/>
          <w:highlight w:val="none"/>
        </w:rPr>
        <w:t xml:space="preserve">称）自愿组成 </w:t>
      </w:r>
      <w:r>
        <w:rPr>
          <w:rFonts w:hint="eastAsia" w:ascii="宋体" w:hAnsi="宋体"/>
          <w:color w:val="000000"/>
          <w:szCs w:val="21"/>
          <w:highlight w:val="none"/>
          <w:u w:val="single"/>
        </w:rPr>
        <w:t xml:space="preserve">  </w:t>
      </w:r>
      <w:bookmarkEnd w:id="905"/>
      <w:r>
        <w:rPr>
          <w:rFonts w:hint="eastAsia" w:ascii="宋体" w:hAnsi="宋体"/>
          <w:color w:val="000000"/>
          <w:szCs w:val="21"/>
          <w:highlight w:val="none"/>
          <w:u w:val="single"/>
        </w:rPr>
        <w:t xml:space="preserve">    </w:t>
      </w:r>
      <w:bookmarkEnd w:id="906"/>
      <w:bookmarkEnd w:id="907"/>
      <w:bookmarkEnd w:id="908"/>
      <w:r>
        <w:rPr>
          <w:rFonts w:hint="eastAsia" w:ascii="宋体" w:hAnsi="宋体"/>
          <w:color w:val="000000"/>
          <w:szCs w:val="21"/>
          <w:highlight w:val="none"/>
          <w:u w:val="single"/>
        </w:rPr>
        <w:t xml:space="preserve">   </w:t>
      </w:r>
      <w:r>
        <w:rPr>
          <w:rFonts w:hint="eastAsia" w:ascii="宋体" w:hAnsi="宋体"/>
          <w:color w:val="000000"/>
          <w:szCs w:val="21"/>
          <w:highlight w:val="none"/>
        </w:rPr>
        <w:t>（联合体名称）联合体，共同参加</w:t>
      </w:r>
      <w:r>
        <w:rPr>
          <w:rFonts w:hint="eastAsia" w:ascii="宋体" w:hAnsi="宋体"/>
          <w:b/>
          <w:color w:val="000000"/>
          <w:szCs w:val="21"/>
          <w:highlight w:val="none"/>
          <w:u w:val="single"/>
        </w:rPr>
        <w:t xml:space="preserve">             </w:t>
      </w:r>
      <w:r>
        <w:rPr>
          <w:rFonts w:hint="eastAsia" w:ascii="宋体" w:hAnsi="宋体"/>
          <w:color w:val="000000"/>
          <w:szCs w:val="21"/>
          <w:highlight w:val="none"/>
        </w:rPr>
        <w:t>（项目名称）</w:t>
      </w:r>
      <w:r>
        <w:rPr>
          <w:rFonts w:hint="eastAsia" w:ascii="宋体" w:hAnsi="宋体"/>
          <w:color w:val="000000"/>
          <w:szCs w:val="21"/>
          <w:highlight w:val="none"/>
          <w:u w:val="single"/>
        </w:rPr>
        <w:t xml:space="preserve">       </w:t>
      </w:r>
      <w:r>
        <w:rPr>
          <w:rFonts w:hint="eastAsia" w:ascii="宋体" w:hAnsi="宋体"/>
          <w:color w:val="000000"/>
          <w:szCs w:val="21"/>
          <w:highlight w:val="none"/>
        </w:rPr>
        <w:t>标段施工投标。现就联合体投标事宜订立如下协议：</w:t>
      </w:r>
    </w:p>
    <w:p w14:paraId="48A3ED52">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1.</w:t>
      </w:r>
      <w:r>
        <w:rPr>
          <w:rFonts w:hint="eastAsia" w:ascii="宋体" w:hAnsi="宋体"/>
          <w:color w:val="000000"/>
          <w:szCs w:val="21"/>
          <w:highlight w:val="none"/>
          <w:u w:val="single"/>
        </w:rPr>
        <w:t xml:space="preserve">             </w:t>
      </w:r>
      <w:r>
        <w:rPr>
          <w:rFonts w:hint="eastAsia" w:ascii="宋体" w:hAnsi="宋体"/>
          <w:color w:val="000000"/>
          <w:szCs w:val="21"/>
          <w:highlight w:val="none"/>
        </w:rPr>
        <w:t>（某成员单位名称）为</w:t>
      </w:r>
      <w:r>
        <w:rPr>
          <w:rFonts w:hint="eastAsia" w:ascii="宋体" w:hAnsi="宋体"/>
          <w:color w:val="000000"/>
          <w:szCs w:val="21"/>
          <w:highlight w:val="none"/>
          <w:u w:val="single"/>
        </w:rPr>
        <w:t xml:space="preserve">             </w:t>
      </w:r>
      <w:r>
        <w:rPr>
          <w:rFonts w:hint="eastAsia" w:ascii="宋体" w:hAnsi="宋体"/>
          <w:color w:val="000000"/>
          <w:szCs w:val="21"/>
          <w:highlight w:val="none"/>
        </w:rPr>
        <w:t>（联合体名称）牵头人。</w:t>
      </w:r>
    </w:p>
    <w:p w14:paraId="6D0AED61">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2.联合体牵头人合法代表联合体各成员负责本招标项目投标文件编制和合同谈判活动，并代表联合体提交和接收相关的资料、信息及指示，并处理与之有关的一切事务，负责合同实施阶段的主办、组织和协议工作。</w:t>
      </w:r>
    </w:p>
    <w:p w14:paraId="4BA332E1">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3.联合体将严格按照招标文件的各项要求，递交投标文件，履行合同，并对外承担连带责任。</w:t>
      </w:r>
    </w:p>
    <w:p w14:paraId="19F8EAD3">
      <w:pPr>
        <w:adjustRightInd w:val="0"/>
        <w:snapToGrid w:val="0"/>
        <w:spacing w:line="520" w:lineRule="exact"/>
        <w:ind w:firstLine="420" w:firstLineChars="200"/>
        <w:rPr>
          <w:rFonts w:ascii="宋体" w:hAnsi="宋体"/>
          <w:color w:val="000000"/>
          <w:szCs w:val="21"/>
          <w:highlight w:val="none"/>
          <w:u w:val="single"/>
        </w:rPr>
      </w:pPr>
      <w:r>
        <w:rPr>
          <w:rFonts w:hint="eastAsia" w:ascii="宋体" w:hAnsi="宋体"/>
          <w:color w:val="000000"/>
          <w:szCs w:val="21"/>
          <w:highlight w:val="none"/>
        </w:rPr>
        <w:t>4.联合体各成员单位内部的职责分工如下：</w:t>
      </w:r>
      <w:r>
        <w:rPr>
          <w:rFonts w:hint="eastAsia" w:ascii="宋体" w:hAnsi="宋体"/>
          <w:color w:val="000000"/>
          <w:szCs w:val="21"/>
          <w:highlight w:val="none"/>
          <w:u w:val="single"/>
        </w:rPr>
        <w:t xml:space="preserve">  </w:t>
      </w:r>
    </w:p>
    <w:p w14:paraId="34A8C685">
      <w:pPr>
        <w:pStyle w:val="214"/>
        <w:snapToGrid w:val="0"/>
        <w:spacing w:line="520" w:lineRule="exact"/>
        <w:ind w:firstLine="525" w:firstLineChars="250"/>
        <w:rPr>
          <w:rFonts w:cs="Times New Roman"/>
          <w:sz w:val="21"/>
          <w:szCs w:val="21"/>
          <w:highlight w:val="none"/>
        </w:rPr>
      </w:pPr>
      <w:r>
        <w:rPr>
          <w:rFonts w:cs="Times New Roman"/>
          <w:sz w:val="21"/>
          <w:szCs w:val="21"/>
          <w:highlight w:val="none"/>
        </w:rPr>
        <w:t>牵头人</w:t>
      </w:r>
      <w:r>
        <w:rPr>
          <w:rFonts w:hint="eastAsia" w:cs="Times New Roman"/>
          <w:sz w:val="21"/>
          <w:szCs w:val="21"/>
          <w:highlight w:val="none"/>
        </w:rPr>
        <w:t>（成员一）</w:t>
      </w:r>
      <w:r>
        <w:rPr>
          <w:rFonts w:cs="Times New Roman"/>
          <w:sz w:val="21"/>
          <w:szCs w:val="21"/>
          <w:highlight w:val="none"/>
        </w:rPr>
        <w:t>名称</w:t>
      </w:r>
      <w:r>
        <w:rPr>
          <w:rFonts w:cs="Times New Roman"/>
          <w:sz w:val="21"/>
          <w:szCs w:val="21"/>
          <w:highlight w:val="none"/>
          <w:u w:val="single"/>
        </w:rPr>
        <w:t>：</w:t>
      </w:r>
      <w:r>
        <w:rPr>
          <w:rFonts w:hint="eastAsia" w:cs="Times New Roman"/>
          <w:sz w:val="21"/>
          <w:szCs w:val="21"/>
          <w:highlight w:val="none"/>
          <w:u w:val="single"/>
        </w:rPr>
        <w:t xml:space="preserve">           </w:t>
      </w:r>
      <w:r>
        <w:rPr>
          <w:rFonts w:cs="Times New Roman"/>
          <w:sz w:val="21"/>
          <w:szCs w:val="21"/>
          <w:highlight w:val="none"/>
          <w:u w:val="single"/>
        </w:rPr>
        <w:t xml:space="preserve"> </w:t>
      </w:r>
      <w:r>
        <w:rPr>
          <w:rFonts w:cs="Times New Roman"/>
          <w:sz w:val="21"/>
          <w:szCs w:val="21"/>
          <w:highlight w:val="none"/>
        </w:rPr>
        <w:t>，具有</w:t>
      </w:r>
      <w:r>
        <w:rPr>
          <w:rFonts w:cs="Times New Roman"/>
          <w:sz w:val="21"/>
          <w:szCs w:val="21"/>
          <w:highlight w:val="none"/>
          <w:u w:val="single"/>
        </w:rPr>
        <w:t xml:space="preserve"> </w:t>
      </w:r>
      <w:r>
        <w:rPr>
          <w:rFonts w:hint="eastAsia" w:cs="Times New Roman"/>
          <w:sz w:val="21"/>
          <w:szCs w:val="21"/>
          <w:highlight w:val="none"/>
          <w:u w:val="single"/>
        </w:rPr>
        <w:t xml:space="preserve">           </w:t>
      </w:r>
      <w:r>
        <w:rPr>
          <w:rFonts w:cs="Times New Roman"/>
          <w:sz w:val="21"/>
          <w:szCs w:val="21"/>
          <w:highlight w:val="none"/>
          <w:u w:val="single"/>
        </w:rPr>
        <w:t>资</w:t>
      </w:r>
      <w:r>
        <w:rPr>
          <w:rFonts w:cs="Times New Roman"/>
          <w:sz w:val="21"/>
          <w:szCs w:val="21"/>
          <w:highlight w:val="none"/>
        </w:rPr>
        <w:t>格，</w:t>
      </w:r>
      <w:r>
        <w:rPr>
          <w:rFonts w:hint="eastAsia" w:cs="Times New Roman"/>
          <w:sz w:val="21"/>
          <w:szCs w:val="21"/>
          <w:highlight w:val="none"/>
        </w:rPr>
        <w:t>负责</w:t>
      </w:r>
      <w:r>
        <w:rPr>
          <w:rFonts w:cs="Times New Roman"/>
          <w:sz w:val="21"/>
          <w:szCs w:val="21"/>
          <w:highlight w:val="none"/>
        </w:rPr>
        <w:t>承担</w:t>
      </w:r>
      <w:r>
        <w:rPr>
          <w:rFonts w:cs="Times New Roman"/>
          <w:sz w:val="21"/>
          <w:szCs w:val="21"/>
          <w:highlight w:val="none"/>
          <w:u w:val="single"/>
        </w:rPr>
        <w:t xml:space="preserve"> </w:t>
      </w:r>
      <w:r>
        <w:rPr>
          <w:rFonts w:hint="eastAsia" w:cs="Times New Roman"/>
          <w:sz w:val="21"/>
          <w:szCs w:val="21"/>
          <w:highlight w:val="none"/>
          <w:u w:val="single"/>
        </w:rPr>
        <w:t xml:space="preserve">       部分</w:t>
      </w:r>
      <w:r>
        <w:rPr>
          <w:rFonts w:cs="Times New Roman"/>
          <w:sz w:val="21"/>
          <w:szCs w:val="21"/>
          <w:highlight w:val="none"/>
        </w:rPr>
        <w:t>专业工程</w:t>
      </w:r>
      <w:r>
        <w:rPr>
          <w:rFonts w:hint="eastAsia" w:cs="Times New Roman"/>
          <w:sz w:val="21"/>
          <w:szCs w:val="21"/>
          <w:highlight w:val="none"/>
        </w:rPr>
        <w:t>施工</w:t>
      </w:r>
      <w:r>
        <w:rPr>
          <w:rFonts w:hint="eastAsia" w:cs="Times New Roman"/>
          <w:sz w:val="21"/>
          <w:szCs w:val="21"/>
          <w:highlight w:val="none"/>
          <w:u w:val="single"/>
        </w:rPr>
        <w:t>，</w:t>
      </w:r>
      <w:r>
        <w:rPr>
          <w:rFonts w:hint="eastAsia" w:cs="Times New Roman"/>
          <w:sz w:val="21"/>
          <w:szCs w:val="21"/>
          <w:highlight w:val="none"/>
        </w:rPr>
        <w:t>负责内容的合同金额占总合同金额的百分比</w:t>
      </w:r>
      <w:r>
        <w:rPr>
          <w:rFonts w:hint="eastAsia" w:cs="Times New Roman"/>
          <w:sz w:val="21"/>
          <w:szCs w:val="21"/>
          <w:highlight w:val="none"/>
          <w:u w:val="single"/>
        </w:rPr>
        <w:t xml:space="preserve">      </w:t>
      </w:r>
      <w:r>
        <w:rPr>
          <w:rFonts w:hint="eastAsia"/>
          <w:szCs w:val="21"/>
          <w:highlight w:val="none"/>
        </w:rPr>
        <w:t>%</w:t>
      </w:r>
      <w:r>
        <w:rPr>
          <w:szCs w:val="21"/>
          <w:highlight w:val="none"/>
        </w:rPr>
        <w:t>；</w:t>
      </w:r>
      <w:r>
        <w:rPr>
          <w:rFonts w:cs="Times New Roman"/>
          <w:sz w:val="21"/>
          <w:szCs w:val="21"/>
          <w:highlight w:val="none"/>
        </w:rPr>
        <w:t xml:space="preserve"> </w:t>
      </w:r>
    </w:p>
    <w:p w14:paraId="56FE5C71">
      <w:pPr>
        <w:adjustRightInd w:val="0"/>
        <w:snapToGrid w:val="0"/>
        <w:spacing w:line="520" w:lineRule="exact"/>
        <w:ind w:firstLine="630" w:firstLineChars="300"/>
        <w:rPr>
          <w:rFonts w:ascii="宋体" w:hAnsi="宋体"/>
          <w:color w:val="000000"/>
          <w:szCs w:val="21"/>
          <w:highlight w:val="none"/>
        </w:rPr>
      </w:pPr>
      <w:r>
        <w:rPr>
          <w:color w:val="000000"/>
          <w:szCs w:val="21"/>
          <w:highlight w:val="none"/>
        </w:rPr>
        <w:t>成员</w:t>
      </w:r>
      <w:r>
        <w:rPr>
          <w:rFonts w:hint="eastAsia"/>
          <w:color w:val="000000"/>
          <w:szCs w:val="21"/>
          <w:highlight w:val="none"/>
        </w:rPr>
        <w:t>二</w:t>
      </w:r>
      <w:r>
        <w:rPr>
          <w:color w:val="000000"/>
          <w:szCs w:val="21"/>
          <w:highlight w:val="none"/>
        </w:rPr>
        <w:t>名称</w:t>
      </w:r>
      <w:r>
        <w:rPr>
          <w:color w:val="000000"/>
          <w:szCs w:val="21"/>
          <w:highlight w:val="none"/>
          <w:u w:val="single"/>
        </w:rPr>
        <w:t>：</w:t>
      </w:r>
      <w:r>
        <w:rPr>
          <w:rFonts w:hint="eastAsia"/>
          <w:color w:val="000000"/>
          <w:szCs w:val="21"/>
          <w:highlight w:val="none"/>
          <w:u w:val="single"/>
        </w:rPr>
        <w:t xml:space="preserve">          </w:t>
      </w:r>
      <w:r>
        <w:rPr>
          <w:color w:val="000000"/>
          <w:szCs w:val="21"/>
          <w:highlight w:val="none"/>
          <w:u w:val="single"/>
        </w:rPr>
        <w:t xml:space="preserve"> </w:t>
      </w:r>
      <w:r>
        <w:rPr>
          <w:color w:val="000000"/>
          <w:szCs w:val="21"/>
          <w:highlight w:val="none"/>
        </w:rPr>
        <w:t>，具有</w:t>
      </w:r>
      <w:r>
        <w:rPr>
          <w:color w:val="000000"/>
          <w:szCs w:val="21"/>
          <w:highlight w:val="none"/>
          <w:u w:val="single"/>
        </w:rPr>
        <w:t xml:space="preserve"> </w:t>
      </w:r>
      <w:r>
        <w:rPr>
          <w:rFonts w:hint="eastAsia"/>
          <w:color w:val="000000"/>
          <w:szCs w:val="21"/>
          <w:highlight w:val="none"/>
          <w:u w:val="single"/>
        </w:rPr>
        <w:t xml:space="preserve">           </w:t>
      </w:r>
      <w:r>
        <w:rPr>
          <w:color w:val="000000"/>
          <w:szCs w:val="21"/>
          <w:highlight w:val="none"/>
          <w:u w:val="single"/>
        </w:rPr>
        <w:t>资</w:t>
      </w:r>
      <w:r>
        <w:rPr>
          <w:color w:val="000000"/>
          <w:szCs w:val="21"/>
          <w:highlight w:val="none"/>
        </w:rPr>
        <w:t>格，</w:t>
      </w:r>
      <w:r>
        <w:rPr>
          <w:rFonts w:hint="eastAsia"/>
          <w:color w:val="000000"/>
          <w:szCs w:val="21"/>
          <w:highlight w:val="none"/>
        </w:rPr>
        <w:t>负责</w:t>
      </w:r>
      <w:r>
        <w:rPr>
          <w:color w:val="000000"/>
          <w:szCs w:val="21"/>
          <w:highlight w:val="none"/>
        </w:rPr>
        <w:t>承</w:t>
      </w:r>
      <w:r>
        <w:rPr>
          <w:color w:val="000000"/>
          <w:szCs w:val="21"/>
          <w:highlight w:val="none"/>
          <w:u w:val="single"/>
        </w:rPr>
        <w:t xml:space="preserve">担 </w:t>
      </w:r>
      <w:r>
        <w:rPr>
          <w:rFonts w:hint="eastAsia"/>
          <w:color w:val="000000"/>
          <w:szCs w:val="21"/>
          <w:highlight w:val="none"/>
          <w:u w:val="single"/>
        </w:rPr>
        <w:t xml:space="preserve">          部分</w:t>
      </w:r>
      <w:r>
        <w:rPr>
          <w:color w:val="000000"/>
          <w:szCs w:val="21"/>
          <w:highlight w:val="none"/>
          <w:u w:val="single"/>
        </w:rPr>
        <w:t>专业</w:t>
      </w:r>
      <w:r>
        <w:rPr>
          <w:color w:val="000000"/>
          <w:szCs w:val="21"/>
          <w:highlight w:val="none"/>
        </w:rPr>
        <w:t>工程</w:t>
      </w:r>
      <w:r>
        <w:rPr>
          <w:rFonts w:hint="eastAsia"/>
          <w:color w:val="000000"/>
          <w:szCs w:val="21"/>
          <w:highlight w:val="none"/>
        </w:rPr>
        <w:t>施工，负责内容的合同金额占总合同金额的百分比</w:t>
      </w:r>
      <w:r>
        <w:rPr>
          <w:color w:val="000000"/>
          <w:szCs w:val="21"/>
          <w:highlight w:val="none"/>
          <w:u w:val="single"/>
        </w:rPr>
        <w:t xml:space="preserve">    </w:t>
      </w:r>
      <w:r>
        <w:rPr>
          <w:rFonts w:hint="eastAsia"/>
          <w:color w:val="000000"/>
          <w:szCs w:val="21"/>
          <w:highlight w:val="none"/>
        </w:rPr>
        <w:t>%</w:t>
      </w:r>
      <w:r>
        <w:rPr>
          <w:color w:val="000000"/>
          <w:szCs w:val="21"/>
          <w:highlight w:val="none"/>
        </w:rPr>
        <w:t>；</w:t>
      </w:r>
      <w:r>
        <w:rPr>
          <w:rFonts w:hint="eastAsia" w:ascii="宋体" w:hAnsi="宋体"/>
          <w:color w:val="000000"/>
          <w:szCs w:val="21"/>
          <w:highlight w:val="none"/>
        </w:rPr>
        <w:t xml:space="preserve">               </w:t>
      </w:r>
    </w:p>
    <w:p w14:paraId="61593B00">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5.本协议书自签署之日起生效，合同履行完毕后自动失效。</w:t>
      </w:r>
    </w:p>
    <w:p w14:paraId="5FB9BCBE">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6.联合体中标后，本联合体协议是合同的附件，对联合体各成员单位有合同约束力。</w:t>
      </w:r>
    </w:p>
    <w:p w14:paraId="0F78414B">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7.本协议书一式</w:t>
      </w:r>
      <w:r>
        <w:rPr>
          <w:rFonts w:hint="eastAsia" w:ascii="宋体" w:hAnsi="宋体"/>
          <w:color w:val="000000"/>
          <w:szCs w:val="21"/>
          <w:highlight w:val="none"/>
          <w:u w:val="single"/>
        </w:rPr>
        <w:t xml:space="preserve">          </w:t>
      </w:r>
      <w:r>
        <w:rPr>
          <w:rFonts w:hint="eastAsia" w:ascii="宋体" w:hAnsi="宋体"/>
          <w:color w:val="000000"/>
          <w:szCs w:val="21"/>
          <w:highlight w:val="none"/>
        </w:rPr>
        <w:t>份，联合体成员和招标人各执一份。</w:t>
      </w:r>
    </w:p>
    <w:p w14:paraId="67D1F849">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注：本协议由委托代理人签字的，应附法定代表人签字的授权委托书。</w:t>
      </w:r>
    </w:p>
    <w:p w14:paraId="0F047CF7">
      <w:pPr>
        <w:adjustRightInd w:val="0"/>
        <w:snapToGrid w:val="0"/>
        <w:spacing w:line="52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xml:space="preserve">                          </w:t>
      </w:r>
    </w:p>
    <w:p w14:paraId="7809C467">
      <w:pPr>
        <w:adjustRightInd w:val="0"/>
        <w:snapToGrid w:val="0"/>
        <w:spacing w:line="520" w:lineRule="exact"/>
        <w:ind w:firstLine="2100" w:firstLineChars="1000"/>
        <w:rPr>
          <w:rFonts w:ascii="宋体" w:hAnsi="宋体"/>
          <w:color w:val="000000"/>
          <w:szCs w:val="21"/>
          <w:highlight w:val="none"/>
        </w:rPr>
      </w:pPr>
      <w:r>
        <w:rPr>
          <w:rFonts w:hint="eastAsia" w:ascii="宋体" w:hAnsi="宋体"/>
          <w:color w:val="000000"/>
          <w:szCs w:val="21"/>
          <w:highlight w:val="none"/>
        </w:rPr>
        <w:t xml:space="preserve">   牵头人（成员一）名称：</w:t>
      </w:r>
      <w:r>
        <w:rPr>
          <w:rFonts w:hint="eastAsia" w:ascii="宋体" w:hAnsi="宋体"/>
          <w:color w:val="000000"/>
          <w:szCs w:val="21"/>
          <w:highlight w:val="none"/>
          <w:u w:val="single"/>
        </w:rPr>
        <w:t xml:space="preserve">                         </w:t>
      </w:r>
      <w:r>
        <w:rPr>
          <w:rFonts w:hint="eastAsia" w:ascii="宋体" w:hAnsi="宋体"/>
          <w:color w:val="000000"/>
          <w:szCs w:val="21"/>
          <w:highlight w:val="none"/>
        </w:rPr>
        <w:t>（签章）</w:t>
      </w:r>
    </w:p>
    <w:p w14:paraId="1AD6BE28">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 xml:space="preserve">                             法定代表人：</w:t>
      </w:r>
      <w:r>
        <w:rPr>
          <w:rFonts w:hint="eastAsia" w:ascii="宋体" w:hAnsi="宋体"/>
          <w:color w:val="000000"/>
          <w:szCs w:val="21"/>
          <w:highlight w:val="none"/>
          <w:u w:val="single"/>
        </w:rPr>
        <w:t xml:space="preserve">               </w:t>
      </w:r>
      <w:r>
        <w:rPr>
          <w:rFonts w:hint="eastAsia" w:ascii="宋体" w:hAnsi="宋体"/>
          <w:color w:val="000000"/>
          <w:szCs w:val="21"/>
          <w:highlight w:val="none"/>
        </w:rPr>
        <w:t>（签章）</w:t>
      </w:r>
    </w:p>
    <w:p w14:paraId="79F389AA">
      <w:pPr>
        <w:adjustRightInd w:val="0"/>
        <w:snapToGrid w:val="0"/>
        <w:spacing w:line="520" w:lineRule="exact"/>
        <w:ind w:firstLine="420" w:firstLineChars="200"/>
        <w:rPr>
          <w:rFonts w:ascii="宋体" w:hAnsi="宋体"/>
          <w:color w:val="000000"/>
          <w:szCs w:val="21"/>
          <w:highlight w:val="none"/>
        </w:rPr>
      </w:pPr>
    </w:p>
    <w:p w14:paraId="054438E7">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 xml:space="preserve">                             成员二名称：</w:t>
      </w:r>
      <w:r>
        <w:rPr>
          <w:rFonts w:hint="eastAsia" w:ascii="宋体" w:hAnsi="宋体"/>
          <w:color w:val="000000"/>
          <w:szCs w:val="21"/>
          <w:highlight w:val="none"/>
          <w:u w:val="single"/>
        </w:rPr>
        <w:t xml:space="preserve">                         </w:t>
      </w:r>
      <w:r>
        <w:rPr>
          <w:rFonts w:hint="eastAsia" w:ascii="宋体" w:hAnsi="宋体"/>
          <w:color w:val="000000"/>
          <w:szCs w:val="21"/>
          <w:highlight w:val="none"/>
        </w:rPr>
        <w:t>（签章）</w:t>
      </w:r>
    </w:p>
    <w:p w14:paraId="27E2F6E2">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 xml:space="preserve">                             法定代表人：</w:t>
      </w:r>
      <w:r>
        <w:rPr>
          <w:rFonts w:hint="eastAsia" w:ascii="宋体" w:hAnsi="宋体"/>
          <w:color w:val="000000"/>
          <w:szCs w:val="21"/>
          <w:highlight w:val="none"/>
          <w:u w:val="single"/>
        </w:rPr>
        <w:t xml:space="preserve">               </w:t>
      </w:r>
      <w:r>
        <w:rPr>
          <w:rFonts w:hint="eastAsia" w:ascii="宋体" w:hAnsi="宋体"/>
          <w:color w:val="000000"/>
          <w:szCs w:val="21"/>
          <w:highlight w:val="none"/>
        </w:rPr>
        <w:t>（签章）</w:t>
      </w:r>
    </w:p>
    <w:p w14:paraId="110BD0E3">
      <w:pPr>
        <w:adjustRightInd w:val="0"/>
        <w:snapToGrid w:val="0"/>
        <w:spacing w:line="520" w:lineRule="exact"/>
        <w:ind w:firstLine="420" w:firstLineChars="200"/>
        <w:rPr>
          <w:rFonts w:ascii="宋体" w:hAnsi="宋体"/>
          <w:color w:val="000000"/>
          <w:szCs w:val="21"/>
          <w:highlight w:val="none"/>
        </w:rPr>
      </w:pPr>
    </w:p>
    <w:p w14:paraId="776F4A6C">
      <w:pPr>
        <w:adjustRightInd w:val="0"/>
        <w:snapToGrid w:val="0"/>
        <w:spacing w:line="520" w:lineRule="exact"/>
        <w:ind w:firstLine="420" w:firstLineChars="200"/>
        <w:rPr>
          <w:rFonts w:ascii="宋体" w:hAnsi="宋体"/>
          <w:color w:val="000000"/>
          <w:szCs w:val="21"/>
          <w:highlight w:val="none"/>
        </w:rPr>
      </w:pPr>
      <w:r>
        <w:rPr>
          <w:rFonts w:hint="eastAsia" w:ascii="宋体" w:hAnsi="宋体"/>
          <w:color w:val="000000"/>
          <w:szCs w:val="21"/>
          <w:highlight w:val="none"/>
        </w:rPr>
        <w:t xml:space="preserve">                         </w:t>
      </w:r>
    </w:p>
    <w:p w14:paraId="6C223A1B">
      <w:pPr>
        <w:adjustRightInd w:val="0"/>
        <w:snapToGrid w:val="0"/>
        <w:spacing w:line="560" w:lineRule="exact"/>
        <w:ind w:firstLine="420" w:firstLineChars="200"/>
        <w:rPr>
          <w:rFonts w:ascii="宋体" w:hAnsi="宋体"/>
          <w:color w:val="000000"/>
          <w:szCs w:val="21"/>
          <w:highlight w:val="none"/>
        </w:rPr>
      </w:pPr>
      <w:r>
        <w:rPr>
          <w:rFonts w:hint="eastAsia" w:ascii="宋体" w:hAnsi="宋体"/>
          <w:color w:val="000000"/>
          <w:szCs w:val="21"/>
          <w:highlight w:val="none"/>
        </w:rPr>
        <w:t xml:space="preserve">                                </w:t>
      </w:r>
    </w:p>
    <w:p w14:paraId="431544FB">
      <w:pPr>
        <w:adjustRightInd w:val="0"/>
        <w:snapToGrid w:val="0"/>
        <w:spacing w:line="560" w:lineRule="exact"/>
        <w:ind w:firstLine="5775" w:firstLineChars="2750"/>
        <w:rPr>
          <w:rFonts w:ascii="宋体" w:hAnsi="宋体"/>
          <w:color w:val="000000"/>
          <w:szCs w:val="21"/>
          <w:highlight w:val="none"/>
        </w:rPr>
      </w:pPr>
      <w:r>
        <w:rPr>
          <w:rFonts w:hint="eastAsia" w:ascii="宋体" w:hAnsi="宋体"/>
          <w:color w:val="000000"/>
          <w:szCs w:val="21"/>
          <w:highlight w:val="none"/>
        </w:rPr>
        <w:t xml:space="preserve"> </w:t>
      </w:r>
      <w:r>
        <w:rPr>
          <w:rFonts w:hint="eastAsia" w:ascii="宋体" w:hAnsi="宋体"/>
          <w:color w:val="000000"/>
          <w:szCs w:val="21"/>
          <w:highlight w:val="none"/>
          <w:u w:val="single"/>
        </w:rPr>
        <w:t xml:space="preserve">          </w:t>
      </w:r>
      <w:r>
        <w:rPr>
          <w:rFonts w:hint="eastAsia" w:ascii="宋体" w:hAnsi="宋体"/>
          <w:color w:val="000000"/>
          <w:szCs w:val="21"/>
          <w:highlight w:val="none"/>
        </w:rPr>
        <w:t>年</w:t>
      </w:r>
      <w:r>
        <w:rPr>
          <w:rFonts w:hint="eastAsia" w:ascii="宋体" w:hAnsi="宋体"/>
          <w:color w:val="000000"/>
          <w:szCs w:val="21"/>
          <w:highlight w:val="none"/>
          <w:u w:val="single"/>
        </w:rPr>
        <w:t xml:space="preserve">      </w:t>
      </w:r>
      <w:r>
        <w:rPr>
          <w:rFonts w:hint="eastAsia" w:ascii="宋体" w:hAnsi="宋体"/>
          <w:color w:val="000000"/>
          <w:szCs w:val="21"/>
          <w:highlight w:val="none"/>
        </w:rPr>
        <w:t>月</w:t>
      </w:r>
      <w:r>
        <w:rPr>
          <w:rFonts w:hint="eastAsia" w:ascii="宋体" w:hAnsi="宋体"/>
          <w:color w:val="000000"/>
          <w:szCs w:val="21"/>
          <w:highlight w:val="none"/>
          <w:u w:val="single"/>
        </w:rPr>
        <w:t xml:space="preserve">       </w:t>
      </w:r>
      <w:r>
        <w:rPr>
          <w:rFonts w:hint="eastAsia" w:ascii="宋体" w:hAnsi="宋体"/>
          <w:color w:val="000000"/>
          <w:szCs w:val="21"/>
          <w:highlight w:val="none"/>
        </w:rPr>
        <w:t>日</w:t>
      </w:r>
    </w:p>
    <w:p w14:paraId="212B3D5A">
      <w:pPr>
        <w:rPr>
          <w:highlight w:val="none"/>
        </w:rPr>
      </w:pPr>
    </w:p>
    <w:p w14:paraId="1ADCBC81">
      <w:pPr>
        <w:rPr>
          <w:highlight w:val="none"/>
        </w:rPr>
      </w:pPr>
    </w:p>
    <w:p w14:paraId="3D595183">
      <w:pPr>
        <w:jc w:val="center"/>
        <w:rPr>
          <w:rFonts w:eastAsia="黑体"/>
          <w:sz w:val="28"/>
          <w:szCs w:val="28"/>
          <w:highlight w:val="none"/>
        </w:rPr>
      </w:pPr>
    </w:p>
    <w:p w14:paraId="28A20B4F">
      <w:pPr>
        <w:jc w:val="center"/>
        <w:rPr>
          <w:rFonts w:eastAsia="黑体"/>
          <w:sz w:val="28"/>
          <w:szCs w:val="28"/>
          <w:highlight w:val="none"/>
        </w:rPr>
      </w:pPr>
    </w:p>
    <w:p w14:paraId="52F921F7">
      <w:pPr>
        <w:jc w:val="center"/>
        <w:rPr>
          <w:rFonts w:eastAsia="黑体"/>
          <w:sz w:val="20"/>
          <w:szCs w:val="20"/>
          <w:highlight w:val="none"/>
        </w:rPr>
      </w:pPr>
      <w:r>
        <w:rPr>
          <w:rFonts w:eastAsia="黑体"/>
          <w:sz w:val="28"/>
          <w:szCs w:val="28"/>
          <w:highlight w:val="none"/>
        </w:rPr>
        <w:t>（项目名称）</w:t>
      </w:r>
    </w:p>
    <w:p w14:paraId="1CB3AF7F">
      <w:pPr>
        <w:jc w:val="center"/>
        <w:rPr>
          <w:rFonts w:eastAsia="黑体"/>
          <w:sz w:val="20"/>
          <w:szCs w:val="20"/>
          <w:highlight w:val="none"/>
        </w:rPr>
      </w:pPr>
    </w:p>
    <w:p w14:paraId="7F67D925">
      <w:pPr>
        <w:rPr>
          <w:rFonts w:eastAsia="黑体"/>
          <w:sz w:val="20"/>
          <w:szCs w:val="20"/>
          <w:highlight w:val="none"/>
        </w:rPr>
      </w:pPr>
    </w:p>
    <w:p w14:paraId="5AE9D7EA">
      <w:pPr>
        <w:jc w:val="center"/>
        <w:rPr>
          <w:rFonts w:hint="eastAsia" w:eastAsia="黑体"/>
          <w:sz w:val="44"/>
          <w:szCs w:val="44"/>
          <w:highlight w:val="none"/>
          <w:lang w:eastAsia="zh-CN"/>
        </w:rPr>
      </w:pPr>
      <w:r>
        <w:rPr>
          <w:rFonts w:eastAsia="黑体"/>
          <w:sz w:val="44"/>
          <w:szCs w:val="44"/>
          <w:highlight w:val="none"/>
        </w:rPr>
        <w:t>投  标  文  件</w:t>
      </w:r>
      <w:r>
        <w:rPr>
          <w:rFonts w:hint="eastAsia" w:eastAsia="黑体"/>
          <w:sz w:val="44"/>
          <w:szCs w:val="44"/>
          <w:highlight w:val="none"/>
        </w:rPr>
        <w:t xml:space="preserve">  </w:t>
      </w:r>
      <w:r>
        <w:rPr>
          <w:rFonts w:hint="eastAsia" w:eastAsia="黑体"/>
          <w:sz w:val="44"/>
          <w:szCs w:val="44"/>
          <w:highlight w:val="none"/>
          <w:lang w:val="en-US" w:eastAsia="zh-CN"/>
        </w:rPr>
        <w:t>二</w:t>
      </w:r>
    </w:p>
    <w:p w14:paraId="4D9A83AD">
      <w:pPr>
        <w:jc w:val="center"/>
        <w:rPr>
          <w:rFonts w:eastAsia="黑体"/>
          <w:sz w:val="44"/>
          <w:szCs w:val="44"/>
          <w:highlight w:val="none"/>
        </w:rPr>
      </w:pPr>
      <w:r>
        <w:rPr>
          <w:rFonts w:hint="eastAsia" w:eastAsia="黑体"/>
          <w:sz w:val="44"/>
          <w:szCs w:val="44"/>
          <w:highlight w:val="none"/>
        </w:rPr>
        <w:t>（商务标文件）</w:t>
      </w:r>
    </w:p>
    <w:p w14:paraId="00AD4571">
      <w:pPr>
        <w:rPr>
          <w:rFonts w:eastAsia="黑体"/>
          <w:sz w:val="28"/>
          <w:szCs w:val="28"/>
          <w:highlight w:val="none"/>
        </w:rPr>
      </w:pPr>
    </w:p>
    <w:p w14:paraId="03FF9373">
      <w:pPr>
        <w:rPr>
          <w:rFonts w:eastAsia="黑体"/>
          <w:sz w:val="28"/>
          <w:szCs w:val="28"/>
          <w:highlight w:val="none"/>
        </w:rPr>
      </w:pPr>
    </w:p>
    <w:p w14:paraId="3118FFCA">
      <w:pPr>
        <w:pStyle w:val="2"/>
        <w:rPr>
          <w:rFonts w:eastAsia="黑体"/>
          <w:sz w:val="28"/>
          <w:szCs w:val="28"/>
          <w:highlight w:val="none"/>
        </w:rPr>
      </w:pPr>
    </w:p>
    <w:p w14:paraId="01BE5E84">
      <w:pPr>
        <w:rPr>
          <w:rFonts w:eastAsia="黑体"/>
          <w:sz w:val="28"/>
          <w:szCs w:val="28"/>
          <w:highlight w:val="none"/>
        </w:rPr>
      </w:pPr>
    </w:p>
    <w:p w14:paraId="2FE9E756">
      <w:pPr>
        <w:pStyle w:val="2"/>
        <w:rPr>
          <w:rFonts w:eastAsia="黑体"/>
          <w:sz w:val="28"/>
          <w:szCs w:val="28"/>
          <w:highlight w:val="none"/>
        </w:rPr>
      </w:pPr>
    </w:p>
    <w:p w14:paraId="67B6F8F9">
      <w:pPr>
        <w:rPr>
          <w:rFonts w:eastAsia="黑体"/>
          <w:sz w:val="28"/>
          <w:szCs w:val="28"/>
          <w:highlight w:val="none"/>
        </w:rPr>
      </w:pPr>
    </w:p>
    <w:p w14:paraId="3C7498B7">
      <w:pPr>
        <w:pStyle w:val="2"/>
        <w:rPr>
          <w:rFonts w:eastAsia="黑体"/>
          <w:sz w:val="28"/>
          <w:szCs w:val="28"/>
          <w:highlight w:val="none"/>
        </w:rPr>
      </w:pPr>
    </w:p>
    <w:p w14:paraId="34079401">
      <w:pPr>
        <w:rPr>
          <w:rFonts w:eastAsia="黑体"/>
          <w:sz w:val="28"/>
          <w:szCs w:val="28"/>
          <w:highlight w:val="none"/>
        </w:rPr>
      </w:pPr>
    </w:p>
    <w:p w14:paraId="794B988D">
      <w:pPr>
        <w:pStyle w:val="2"/>
        <w:rPr>
          <w:highlight w:val="none"/>
        </w:rPr>
      </w:pPr>
    </w:p>
    <w:p w14:paraId="0682BFC9">
      <w:pPr>
        <w:rPr>
          <w:rFonts w:eastAsia="黑体"/>
          <w:sz w:val="28"/>
          <w:szCs w:val="28"/>
          <w:highlight w:val="none"/>
        </w:rPr>
      </w:pPr>
    </w:p>
    <w:p w14:paraId="68117E32">
      <w:pPr>
        <w:rPr>
          <w:rFonts w:eastAsia="黑体"/>
          <w:sz w:val="28"/>
          <w:szCs w:val="28"/>
          <w:highlight w:val="none"/>
        </w:rPr>
      </w:pPr>
    </w:p>
    <w:p w14:paraId="038F9E36">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sz w:val="28"/>
          <w:szCs w:val="28"/>
          <w:highlight w:val="none"/>
          <w:u w:val="single"/>
        </w:rPr>
      </w:pPr>
      <w:r>
        <w:rPr>
          <w:rFonts w:hint="eastAsia" w:eastAsia="黑体"/>
          <w:sz w:val="28"/>
          <w:szCs w:val="28"/>
          <w:highlight w:val="none"/>
        </w:rPr>
        <w:t xml:space="preserve"> 投标人</w:t>
      </w:r>
      <w:r>
        <w:rPr>
          <w:rFonts w:eastAsia="黑体"/>
          <w:sz w:val="28"/>
          <w:szCs w:val="28"/>
          <w:highlight w:val="none"/>
        </w:rPr>
        <w:t>：</w:t>
      </w:r>
      <w:r>
        <w:rPr>
          <w:rFonts w:eastAsia="黑体"/>
          <w:sz w:val="28"/>
          <w:szCs w:val="28"/>
          <w:highlight w:val="none"/>
          <w:u w:val="single"/>
        </w:rPr>
        <w:t xml:space="preserve">               </w:t>
      </w:r>
      <w:r>
        <w:rPr>
          <w:rFonts w:hint="eastAsia" w:eastAsia="黑体"/>
          <w:sz w:val="28"/>
          <w:szCs w:val="28"/>
          <w:highlight w:val="none"/>
          <w:u w:val="single"/>
        </w:rPr>
        <w:t xml:space="preserve">    </w:t>
      </w:r>
      <w:r>
        <w:rPr>
          <w:rFonts w:eastAsia="黑体"/>
          <w:sz w:val="28"/>
          <w:szCs w:val="28"/>
          <w:highlight w:val="none"/>
          <w:u w:val="single"/>
        </w:rPr>
        <w:t xml:space="preserve">      </w:t>
      </w:r>
      <w:r>
        <w:rPr>
          <w:rFonts w:hint="eastAsia" w:eastAsia="黑体"/>
          <w:sz w:val="28"/>
          <w:szCs w:val="28"/>
          <w:highlight w:val="none"/>
          <w:u w:val="single"/>
        </w:rPr>
        <w:t xml:space="preserve">  </w:t>
      </w:r>
      <w:r>
        <w:rPr>
          <w:rFonts w:eastAsia="黑体"/>
          <w:sz w:val="28"/>
          <w:szCs w:val="28"/>
          <w:highlight w:val="none"/>
          <w:u w:val="single"/>
        </w:rPr>
        <w:t xml:space="preserve">       </w:t>
      </w:r>
      <w:r>
        <w:rPr>
          <w:rFonts w:eastAsia="黑体"/>
          <w:sz w:val="28"/>
          <w:szCs w:val="28"/>
          <w:highlight w:val="none"/>
        </w:rPr>
        <w:t>（</w:t>
      </w:r>
      <w:r>
        <w:rPr>
          <w:rFonts w:hint="eastAsia" w:eastAsia="黑体"/>
          <w:sz w:val="28"/>
          <w:szCs w:val="28"/>
          <w:highlight w:val="none"/>
        </w:rPr>
        <w:t>盖</w:t>
      </w:r>
      <w:r>
        <w:rPr>
          <w:rFonts w:eastAsia="黑体"/>
          <w:sz w:val="28"/>
          <w:szCs w:val="28"/>
          <w:highlight w:val="none"/>
        </w:rPr>
        <w:t>章）</w:t>
      </w:r>
    </w:p>
    <w:p w14:paraId="4CAB06D8">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sz w:val="28"/>
          <w:szCs w:val="28"/>
          <w:highlight w:val="none"/>
        </w:rPr>
      </w:pPr>
      <w:r>
        <w:rPr>
          <w:rFonts w:hint="eastAsia" w:eastAsia="黑体"/>
          <w:sz w:val="28"/>
          <w:szCs w:val="28"/>
          <w:highlight w:val="none"/>
        </w:rPr>
        <w:t xml:space="preserve">   </w:t>
      </w:r>
      <w:r>
        <w:rPr>
          <w:rFonts w:eastAsia="黑体"/>
          <w:sz w:val="28"/>
          <w:szCs w:val="28"/>
          <w:highlight w:val="none"/>
        </w:rPr>
        <w:t>法定代表人</w:t>
      </w:r>
      <w:r>
        <w:rPr>
          <w:rFonts w:hint="eastAsia" w:eastAsia="黑体"/>
          <w:sz w:val="28"/>
          <w:szCs w:val="28"/>
          <w:highlight w:val="none"/>
          <w:lang w:val="en-US" w:eastAsia="zh-CN"/>
        </w:rPr>
        <w:t>或授权委托人</w:t>
      </w:r>
      <w:r>
        <w:rPr>
          <w:rFonts w:eastAsia="黑体"/>
          <w:sz w:val="28"/>
          <w:szCs w:val="28"/>
          <w:highlight w:val="none"/>
        </w:rPr>
        <w:t>：</w:t>
      </w:r>
      <w:r>
        <w:rPr>
          <w:rFonts w:eastAsia="黑体"/>
          <w:sz w:val="28"/>
          <w:szCs w:val="28"/>
          <w:highlight w:val="none"/>
          <w:u w:val="single"/>
        </w:rPr>
        <w:t xml:space="preserve">         </w:t>
      </w:r>
      <w:r>
        <w:rPr>
          <w:rFonts w:hint="eastAsia" w:eastAsia="黑体"/>
          <w:sz w:val="28"/>
          <w:szCs w:val="28"/>
          <w:highlight w:val="none"/>
          <w:u w:val="single"/>
        </w:rPr>
        <w:t xml:space="preserve">         </w:t>
      </w:r>
      <w:r>
        <w:rPr>
          <w:rFonts w:eastAsia="黑体"/>
          <w:sz w:val="28"/>
          <w:szCs w:val="28"/>
          <w:highlight w:val="none"/>
          <w:u w:val="single"/>
        </w:rPr>
        <w:t xml:space="preserve">       </w:t>
      </w:r>
      <w:r>
        <w:rPr>
          <w:rFonts w:eastAsia="黑体"/>
          <w:sz w:val="28"/>
          <w:szCs w:val="28"/>
          <w:highlight w:val="none"/>
        </w:rPr>
        <w:t>（</w:t>
      </w:r>
      <w:r>
        <w:rPr>
          <w:rFonts w:hint="eastAsia" w:eastAsia="黑体"/>
          <w:sz w:val="28"/>
          <w:szCs w:val="28"/>
          <w:highlight w:val="none"/>
        </w:rPr>
        <w:t>签字或盖章</w:t>
      </w:r>
      <w:r>
        <w:rPr>
          <w:rFonts w:eastAsia="黑体"/>
          <w:sz w:val="28"/>
          <w:szCs w:val="28"/>
          <w:highlight w:val="none"/>
        </w:rPr>
        <w:t>）</w:t>
      </w:r>
    </w:p>
    <w:p w14:paraId="350C1BB2">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sz w:val="28"/>
          <w:szCs w:val="28"/>
          <w:highlight w:val="none"/>
        </w:rPr>
      </w:pPr>
      <w:r>
        <w:rPr>
          <w:rFonts w:hint="eastAsia" w:eastAsia="黑体"/>
          <w:sz w:val="28"/>
          <w:szCs w:val="28"/>
          <w:highlight w:val="none"/>
          <w:u w:val="single"/>
        </w:rPr>
        <w:t xml:space="preserve">      </w:t>
      </w:r>
      <w:r>
        <w:rPr>
          <w:rFonts w:eastAsia="黑体"/>
          <w:sz w:val="28"/>
          <w:szCs w:val="28"/>
          <w:highlight w:val="none"/>
        </w:rPr>
        <w:t>年</w:t>
      </w:r>
      <w:r>
        <w:rPr>
          <w:rFonts w:hint="eastAsia" w:eastAsia="黑体"/>
          <w:sz w:val="28"/>
          <w:szCs w:val="28"/>
          <w:highlight w:val="none"/>
          <w:u w:val="single"/>
        </w:rPr>
        <w:t xml:space="preserve">     </w:t>
      </w:r>
      <w:r>
        <w:rPr>
          <w:rFonts w:eastAsia="黑体"/>
          <w:sz w:val="28"/>
          <w:szCs w:val="28"/>
          <w:highlight w:val="none"/>
        </w:rPr>
        <w:t>月</w:t>
      </w:r>
      <w:r>
        <w:rPr>
          <w:rFonts w:hint="eastAsia" w:eastAsia="黑体"/>
          <w:sz w:val="28"/>
          <w:szCs w:val="28"/>
          <w:highlight w:val="none"/>
          <w:u w:val="single"/>
        </w:rPr>
        <w:t xml:space="preserve">     </w:t>
      </w:r>
      <w:r>
        <w:rPr>
          <w:rFonts w:eastAsia="黑体"/>
          <w:sz w:val="28"/>
          <w:szCs w:val="28"/>
          <w:highlight w:val="none"/>
        </w:rPr>
        <w:t>日</w:t>
      </w:r>
    </w:p>
    <w:p w14:paraId="2EE77B13">
      <w:pPr>
        <w:rPr>
          <w:highlight w:val="none"/>
        </w:rPr>
      </w:pPr>
    </w:p>
    <w:p w14:paraId="2F4494A4">
      <w:pPr>
        <w:pStyle w:val="2"/>
        <w:ind w:firstLine="420"/>
        <w:rPr>
          <w:highlight w:val="none"/>
        </w:rPr>
      </w:pPr>
    </w:p>
    <w:p w14:paraId="3AB72A24">
      <w:pPr>
        <w:rPr>
          <w:highlight w:val="none"/>
        </w:rPr>
      </w:pPr>
    </w:p>
    <w:p w14:paraId="60A767E1">
      <w:pPr>
        <w:spacing w:beforeLines="50" w:afterLines="50" w:line="440" w:lineRule="exact"/>
        <w:ind w:firstLine="643" w:firstLineChars="200"/>
        <w:jc w:val="left"/>
        <w:rPr>
          <w:rStyle w:val="120"/>
          <w:rFonts w:ascii="宋体" w:hAnsi="宋体" w:cs="宋体"/>
          <w:sz w:val="32"/>
          <w:highlight w:val="none"/>
        </w:rPr>
      </w:pPr>
      <w:bookmarkStart w:id="909" w:name="_Toc35424973"/>
      <w:bookmarkStart w:id="910" w:name="_Toc19174"/>
      <w:bookmarkStart w:id="911" w:name="_Toc35425139"/>
      <w:bookmarkStart w:id="912" w:name="_Toc78803401"/>
      <w:r>
        <w:rPr>
          <w:rStyle w:val="120"/>
          <w:rFonts w:hint="eastAsia" w:ascii="宋体" w:hAnsi="宋体" w:cs="宋体"/>
          <w:sz w:val="32"/>
          <w:highlight w:val="none"/>
        </w:rPr>
        <w:t>投标文件</w:t>
      </w:r>
      <w:bookmarkEnd w:id="909"/>
      <w:bookmarkEnd w:id="910"/>
      <w:bookmarkEnd w:id="911"/>
      <w:r>
        <w:rPr>
          <w:rStyle w:val="120"/>
          <w:rFonts w:hint="eastAsia" w:ascii="宋体" w:hAnsi="宋体" w:cs="宋体"/>
          <w:sz w:val="32"/>
          <w:highlight w:val="none"/>
          <w:lang w:val="en-US"/>
        </w:rPr>
        <w:t>二</w:t>
      </w:r>
      <w:r>
        <w:rPr>
          <w:rStyle w:val="120"/>
          <w:rFonts w:hint="eastAsia" w:ascii="宋体" w:hAnsi="宋体" w:cs="宋体"/>
          <w:sz w:val="32"/>
          <w:highlight w:val="none"/>
        </w:rPr>
        <w:t>：商务标目录</w:t>
      </w:r>
      <w:bookmarkEnd w:id="912"/>
    </w:p>
    <w:p w14:paraId="4402BDA9">
      <w:pPr>
        <w:adjustRightInd w:val="0"/>
        <w:snapToGrid w:val="0"/>
        <w:spacing w:line="56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（1）投标函；</w:t>
      </w:r>
    </w:p>
    <w:p w14:paraId="11B63892">
      <w:pPr>
        <w:adjustRightInd w:val="0"/>
        <w:snapToGrid w:val="0"/>
        <w:spacing w:line="560" w:lineRule="exact"/>
        <w:ind w:firstLine="420" w:firstLineChars="200"/>
        <w:rPr>
          <w:rFonts w:hint="eastAsia"/>
          <w:color w:val="000000"/>
          <w:highlight w:val="none"/>
        </w:rPr>
      </w:pPr>
      <w:r>
        <w:rPr>
          <w:rFonts w:hint="eastAsia" w:ascii="宋体" w:hAnsi="宋体"/>
          <w:color w:val="000000"/>
          <w:szCs w:val="21"/>
          <w:highlight w:val="none"/>
        </w:rPr>
        <w:t>（</w:t>
      </w:r>
      <w:r>
        <w:rPr>
          <w:rFonts w:hint="eastAsia" w:ascii="宋体" w:hAnsi="宋体"/>
          <w:color w:val="000000"/>
          <w:szCs w:val="21"/>
          <w:highlight w:val="none"/>
          <w:lang w:val="en-US" w:eastAsia="zh-CN"/>
        </w:rPr>
        <w:t>2</w:t>
      </w:r>
      <w:r>
        <w:rPr>
          <w:rFonts w:hint="eastAsia" w:ascii="宋体" w:hAnsi="宋体"/>
          <w:color w:val="000000"/>
          <w:szCs w:val="21"/>
          <w:highlight w:val="none"/>
        </w:rPr>
        <w:t>）详细评审所需其他材料。</w:t>
      </w:r>
    </w:p>
    <w:p w14:paraId="1B8DADD4">
      <w:pPr>
        <w:spacing w:line="540" w:lineRule="exact"/>
        <w:rPr>
          <w:highlight w:val="none"/>
        </w:rPr>
      </w:pPr>
    </w:p>
    <w:p w14:paraId="03122088">
      <w:pPr>
        <w:spacing w:line="540" w:lineRule="exact"/>
        <w:rPr>
          <w:rFonts w:eastAsia="黑体"/>
          <w:sz w:val="20"/>
          <w:szCs w:val="20"/>
          <w:highlight w:val="none"/>
        </w:rPr>
      </w:pPr>
    </w:p>
    <w:p w14:paraId="3338FC9F">
      <w:pPr>
        <w:spacing w:line="540" w:lineRule="exact"/>
        <w:rPr>
          <w:rFonts w:eastAsia="黑体"/>
          <w:sz w:val="20"/>
          <w:szCs w:val="20"/>
          <w:highlight w:val="none"/>
        </w:rPr>
      </w:pPr>
    </w:p>
    <w:p w14:paraId="3D5F9903">
      <w:pPr>
        <w:spacing w:line="540" w:lineRule="exact"/>
        <w:rPr>
          <w:rFonts w:eastAsia="黑体"/>
          <w:sz w:val="20"/>
          <w:szCs w:val="20"/>
          <w:highlight w:val="none"/>
        </w:rPr>
      </w:pPr>
    </w:p>
    <w:p w14:paraId="6FEF5B0D">
      <w:pPr>
        <w:spacing w:line="360" w:lineRule="auto"/>
        <w:ind w:firstLine="420" w:firstLineChars="200"/>
        <w:jc w:val="right"/>
        <w:rPr>
          <w:szCs w:val="21"/>
          <w:highlight w:val="none"/>
          <w:u w:val="single"/>
        </w:rPr>
      </w:pPr>
    </w:p>
    <w:p w14:paraId="70F20168">
      <w:pPr>
        <w:spacing w:line="360" w:lineRule="auto"/>
        <w:ind w:firstLine="420" w:firstLineChars="200"/>
        <w:jc w:val="right"/>
        <w:rPr>
          <w:szCs w:val="21"/>
          <w:highlight w:val="none"/>
          <w:u w:val="single"/>
        </w:rPr>
      </w:pPr>
    </w:p>
    <w:p w14:paraId="5BDCA848">
      <w:pPr>
        <w:spacing w:line="360" w:lineRule="auto"/>
        <w:ind w:firstLine="420" w:firstLineChars="200"/>
        <w:jc w:val="right"/>
        <w:rPr>
          <w:szCs w:val="21"/>
          <w:highlight w:val="none"/>
          <w:u w:val="single"/>
        </w:rPr>
      </w:pPr>
    </w:p>
    <w:p w14:paraId="5B4A47D5">
      <w:pPr>
        <w:spacing w:line="360" w:lineRule="auto"/>
        <w:ind w:firstLine="420" w:firstLineChars="200"/>
        <w:jc w:val="right"/>
        <w:rPr>
          <w:szCs w:val="21"/>
          <w:highlight w:val="none"/>
          <w:u w:val="single"/>
        </w:rPr>
      </w:pPr>
    </w:p>
    <w:p w14:paraId="6AF87BBA">
      <w:pPr>
        <w:spacing w:line="360" w:lineRule="auto"/>
        <w:ind w:firstLine="420" w:firstLineChars="200"/>
        <w:jc w:val="right"/>
        <w:rPr>
          <w:szCs w:val="21"/>
          <w:highlight w:val="none"/>
          <w:u w:val="single"/>
        </w:rPr>
      </w:pPr>
    </w:p>
    <w:p w14:paraId="49A7FE35">
      <w:pPr>
        <w:spacing w:line="360" w:lineRule="auto"/>
        <w:ind w:firstLine="420" w:firstLineChars="200"/>
        <w:jc w:val="right"/>
        <w:rPr>
          <w:szCs w:val="21"/>
          <w:highlight w:val="none"/>
          <w:u w:val="single"/>
        </w:rPr>
      </w:pPr>
    </w:p>
    <w:p w14:paraId="7EAE036F">
      <w:pPr>
        <w:spacing w:line="360" w:lineRule="auto"/>
        <w:ind w:firstLine="420" w:firstLineChars="200"/>
        <w:jc w:val="right"/>
        <w:rPr>
          <w:szCs w:val="21"/>
          <w:highlight w:val="none"/>
          <w:u w:val="single"/>
        </w:rPr>
      </w:pPr>
    </w:p>
    <w:p w14:paraId="39D3A8B9">
      <w:pPr>
        <w:spacing w:line="360" w:lineRule="auto"/>
        <w:ind w:firstLine="420" w:firstLineChars="200"/>
        <w:jc w:val="right"/>
        <w:rPr>
          <w:szCs w:val="21"/>
          <w:highlight w:val="none"/>
          <w:u w:val="single"/>
        </w:rPr>
      </w:pPr>
    </w:p>
    <w:p w14:paraId="042B576F">
      <w:pPr>
        <w:jc w:val="center"/>
        <w:rPr>
          <w:b/>
          <w:sz w:val="32"/>
          <w:szCs w:val="32"/>
          <w:highlight w:val="none"/>
        </w:rPr>
      </w:pPr>
    </w:p>
    <w:p w14:paraId="29EE3D81">
      <w:pPr>
        <w:jc w:val="center"/>
        <w:rPr>
          <w:b/>
          <w:sz w:val="32"/>
          <w:szCs w:val="32"/>
          <w:highlight w:val="none"/>
        </w:rPr>
      </w:pPr>
    </w:p>
    <w:p w14:paraId="569DA32B">
      <w:pPr>
        <w:jc w:val="center"/>
        <w:rPr>
          <w:b/>
          <w:sz w:val="32"/>
          <w:szCs w:val="32"/>
          <w:highlight w:val="none"/>
        </w:rPr>
      </w:pPr>
    </w:p>
    <w:p w14:paraId="30415CF4">
      <w:pPr>
        <w:jc w:val="center"/>
        <w:rPr>
          <w:b/>
          <w:sz w:val="32"/>
          <w:szCs w:val="32"/>
          <w:highlight w:val="none"/>
        </w:rPr>
      </w:pPr>
    </w:p>
    <w:p w14:paraId="1AAF50B0">
      <w:pPr>
        <w:jc w:val="center"/>
        <w:rPr>
          <w:b/>
          <w:sz w:val="32"/>
          <w:szCs w:val="32"/>
          <w:highlight w:val="none"/>
        </w:rPr>
      </w:pPr>
    </w:p>
    <w:p w14:paraId="5BCCA520">
      <w:pPr>
        <w:jc w:val="center"/>
        <w:rPr>
          <w:b/>
          <w:sz w:val="32"/>
          <w:szCs w:val="32"/>
          <w:highlight w:val="none"/>
        </w:rPr>
      </w:pPr>
    </w:p>
    <w:p w14:paraId="194A658F">
      <w:pPr>
        <w:jc w:val="center"/>
        <w:rPr>
          <w:b/>
          <w:sz w:val="32"/>
          <w:szCs w:val="32"/>
          <w:highlight w:val="none"/>
        </w:rPr>
      </w:pPr>
    </w:p>
    <w:p w14:paraId="3F1030A3">
      <w:pPr>
        <w:spacing w:line="360" w:lineRule="auto"/>
        <w:rPr>
          <w:b/>
          <w:bCs/>
          <w:sz w:val="32"/>
          <w:szCs w:val="32"/>
          <w:highlight w:val="none"/>
        </w:rPr>
      </w:pPr>
    </w:p>
    <w:p w14:paraId="5D358DCD">
      <w:pPr>
        <w:jc w:val="center"/>
        <w:rPr>
          <w:rFonts w:ascii="宋体" w:hAnsi="宋体"/>
          <w:b/>
          <w:sz w:val="32"/>
          <w:szCs w:val="32"/>
          <w:highlight w:val="none"/>
        </w:rPr>
      </w:pPr>
      <w:r>
        <w:rPr>
          <w:rFonts w:hint="eastAsia" w:ascii="宋体" w:hAnsi="宋体"/>
          <w:b/>
          <w:sz w:val="32"/>
          <w:szCs w:val="32"/>
          <w:highlight w:val="none"/>
        </w:rPr>
        <w:br w:type="page"/>
      </w:r>
      <w:r>
        <w:rPr>
          <w:rFonts w:hint="eastAsia" w:ascii="宋体" w:hAnsi="宋体"/>
          <w:b/>
          <w:sz w:val="32"/>
          <w:szCs w:val="32"/>
          <w:highlight w:val="none"/>
        </w:rPr>
        <w:t>（1）投 标 函</w:t>
      </w:r>
    </w:p>
    <w:p w14:paraId="246EE23D">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color w:val="auto"/>
          <w:highlight w:val="none"/>
        </w:rPr>
      </w:pPr>
      <w:bookmarkStart w:id="913" w:name="_Toc35424974"/>
      <w:bookmarkStart w:id="914" w:name="_Toc506107366"/>
      <w:bookmarkStart w:id="915" w:name="_Toc35425140"/>
      <w:bookmarkStart w:id="916" w:name="_Toc15058950"/>
      <w:r>
        <w:rPr>
          <w:rFonts w:hint="eastAsia" w:ascii="宋体" w:hAnsi="宋体" w:eastAsia="宋体" w:cs="宋体"/>
          <w:b/>
          <w:bCs/>
          <w:color w:val="auto"/>
          <w:highlight w:val="none"/>
        </w:rPr>
        <w:t>致：</w:t>
      </w:r>
      <w:r>
        <w:rPr>
          <w:rFonts w:hint="eastAsia" w:ascii="宋体" w:hAnsi="宋体" w:eastAsia="宋体" w:cs="宋体"/>
          <w:b/>
          <w:bCs/>
          <w:color w:val="auto"/>
          <w:highlight w:val="none"/>
          <w:u w:val="single"/>
          <w:lang w:val="en-US" w:eastAsia="zh-CN"/>
        </w:rPr>
        <w:t xml:space="preserve">       （招标人） </w:t>
      </w:r>
      <w:r>
        <w:rPr>
          <w:rFonts w:hint="eastAsia" w:ascii="宋体" w:hAnsi="宋体" w:eastAsia="宋体" w:cs="宋体"/>
          <w:color w:val="auto"/>
          <w:highlight w:val="none"/>
        </w:rPr>
        <w:t xml:space="preserve">：  </w:t>
      </w:r>
    </w:p>
    <w:p w14:paraId="34202DD2">
      <w:pPr>
        <w:keepNext w:val="0"/>
        <w:keepLines w:val="0"/>
        <w:pageBreakBefore w:val="0"/>
        <w:widowControl w:val="0"/>
        <w:kinsoku/>
        <w:wordWrap/>
        <w:overflowPunct/>
        <w:topLinePunct w:val="0"/>
        <w:autoSpaceDE/>
        <w:autoSpaceDN/>
        <w:bidi w:val="0"/>
        <w:adjustRightInd/>
        <w:snapToGrid/>
        <w:spacing w:line="460" w:lineRule="exact"/>
        <w:ind w:firstLine="525" w:firstLineChars="250"/>
        <w:jc w:val="left"/>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我们决定参加贵单位组织的“</w:t>
      </w:r>
      <w:r>
        <w:rPr>
          <w:rFonts w:hint="eastAsia" w:ascii="宋体" w:hAnsi="宋体" w:eastAsia="宋体" w:cs="宋体"/>
          <w:color w:val="auto"/>
          <w:highlight w:val="none"/>
          <w:u w:val="single"/>
          <w:lang w:val="en-US" w:eastAsia="zh-CN"/>
        </w:rPr>
        <w:t xml:space="preserve">                   （项目名称）</w:t>
      </w:r>
      <w:r>
        <w:rPr>
          <w:rFonts w:hint="eastAsia" w:ascii="宋体" w:hAnsi="宋体" w:eastAsia="宋体" w:cs="宋体"/>
          <w:color w:val="auto"/>
          <w:highlight w:val="none"/>
        </w:rPr>
        <w:t xml:space="preserve">”的项目。我方授权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w:t>
      </w:r>
      <w:r>
        <w:rPr>
          <w:rFonts w:hint="eastAsia" w:ascii="宋体" w:hAnsi="宋体" w:eastAsia="宋体" w:cs="宋体"/>
          <w:color w:val="auto"/>
          <w:highlight w:val="none"/>
          <w:u w:val="none"/>
        </w:rPr>
        <w:t>姓名和职务</w:t>
      </w:r>
      <w:r>
        <w:rPr>
          <w:rFonts w:hint="eastAsia" w:ascii="宋体" w:hAnsi="宋体" w:eastAsia="宋体" w:cs="宋体"/>
          <w:color w:val="auto"/>
          <w:highlight w:val="none"/>
        </w:rPr>
        <w:t xml:space="preserve">)代表我方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（投标单位的名称）全权处理本项目投标的有关事宜 </w:t>
      </w:r>
      <w:r>
        <w:rPr>
          <w:rFonts w:hint="eastAsia" w:ascii="宋体" w:hAnsi="宋体" w:eastAsia="宋体" w:cs="宋体"/>
          <w:color w:val="auto"/>
          <w:highlight w:val="none"/>
          <w:lang w:eastAsia="zh-CN"/>
        </w:rPr>
        <w:t>。</w:t>
      </w:r>
    </w:p>
    <w:p w14:paraId="031A56B9">
      <w:pPr>
        <w:spacing w:line="440" w:lineRule="exact"/>
        <w:ind w:firstLine="420" w:firstLineChars="200"/>
        <w:jc w:val="left"/>
        <w:rPr>
          <w:rFonts w:ascii="宋体" w:hAnsi="宋体"/>
          <w:color w:val="auto"/>
          <w:szCs w:val="21"/>
          <w:highlight w:val="none"/>
        </w:rPr>
      </w:pPr>
      <w:r>
        <w:rPr>
          <w:rFonts w:hint="eastAsia" w:ascii="宋体" w:hAnsi="宋体" w:cs="宋体"/>
          <w:color w:val="auto"/>
          <w:highlight w:val="none"/>
          <w:lang w:val="en-US" w:eastAsia="zh-CN"/>
        </w:rPr>
        <w:t>1.</w:t>
      </w:r>
      <w:r>
        <w:rPr>
          <w:rFonts w:hint="eastAsia" w:ascii="宋体" w:hAnsi="宋体" w:eastAsia="宋体" w:cs="宋体"/>
          <w:color w:val="auto"/>
          <w:highlight w:val="none"/>
        </w:rPr>
        <w:t>我们已仔细地研究了</w:t>
      </w:r>
      <w:r>
        <w:rPr>
          <w:rFonts w:hint="eastAsia" w:ascii="宋体" w:hAnsi="宋体" w:eastAsia="宋体" w:cs="宋体"/>
          <w:color w:val="auto"/>
          <w:highlight w:val="none"/>
          <w:u w:val="single"/>
          <w:lang w:val="en-US" w:eastAsia="zh-CN"/>
        </w:rPr>
        <w:t xml:space="preserve">                （项目名称）</w:t>
      </w:r>
      <w:r>
        <w:rPr>
          <w:rFonts w:hint="eastAsia" w:ascii="宋体" w:hAnsi="宋体" w:eastAsia="宋体" w:cs="宋体"/>
          <w:color w:val="auto"/>
          <w:highlight w:val="none"/>
        </w:rPr>
        <w:t>招标文件的全部内容，包括但不限于承包人须知合同条件、工作要求，以及全部补遗和澄清文件。我们已了解和审核了全部招标文件，并完全理解了招标文件</w:t>
      </w:r>
      <w:r>
        <w:rPr>
          <w:rFonts w:hint="eastAsia" w:ascii="宋体" w:hAnsi="宋体" w:eastAsia="宋体" w:cs="宋体"/>
          <w:color w:val="auto"/>
          <w:spacing w:val="-1"/>
          <w:highlight w:val="none"/>
        </w:rPr>
        <w:t>规定的合同范围，工作要求，并考虑到了潜在所有风险。</w:t>
      </w:r>
      <w:r>
        <w:rPr>
          <w:rFonts w:hint="eastAsia" w:ascii="宋体" w:hAnsi="宋体"/>
          <w:color w:val="auto"/>
          <w:szCs w:val="21"/>
          <w:highlight w:val="none"/>
        </w:rPr>
        <w:t>我方愿以</w:t>
      </w:r>
      <w:r>
        <w:rPr>
          <w:rFonts w:hint="eastAsia" w:ascii="宋体" w:hAnsi="宋体"/>
          <w:color w:val="auto"/>
          <w:szCs w:val="21"/>
          <w:highlight w:val="none"/>
          <w:lang w:val="en-US" w:eastAsia="zh-CN"/>
        </w:rPr>
        <w:t>下浮率：</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s="宋体"/>
          <w:b/>
          <w:bCs/>
          <w:szCs w:val="21"/>
          <w:highlight w:val="none"/>
          <w:u w:val="single"/>
          <w:lang w:val="en-US" w:eastAsia="zh-CN"/>
        </w:rPr>
        <w:t>%</w:t>
      </w:r>
      <w:r>
        <w:rPr>
          <w:rFonts w:hint="eastAsia" w:ascii="宋体" w:hAnsi="宋体"/>
          <w:color w:val="auto"/>
          <w:szCs w:val="21"/>
          <w:highlight w:val="none"/>
        </w:rPr>
        <w:t>的投标报价承包上述项目。</w:t>
      </w:r>
    </w:p>
    <w:p w14:paraId="4CDABD9D">
      <w:pPr>
        <w:numPr>
          <w:ilvl w:val="0"/>
          <w:numId w:val="0"/>
        </w:numPr>
        <w:spacing w:line="440" w:lineRule="exact"/>
        <w:ind w:leftChars="200"/>
        <w:jc w:val="left"/>
        <w:rPr>
          <w:rFonts w:ascii="宋体" w:hAnsi="宋体"/>
          <w:color w:val="auto"/>
          <w:spacing w:val="-4"/>
          <w:szCs w:val="21"/>
          <w:highlight w:val="none"/>
        </w:rPr>
      </w:pPr>
      <w:r>
        <w:rPr>
          <w:rFonts w:hint="eastAsia" w:ascii="宋体" w:hAnsi="宋体"/>
          <w:color w:val="auto"/>
          <w:spacing w:val="-4"/>
          <w:szCs w:val="21"/>
          <w:highlight w:val="none"/>
          <w:lang w:val="en-US" w:eastAsia="zh-CN"/>
        </w:rPr>
        <w:t>2.</w:t>
      </w:r>
      <w:r>
        <w:rPr>
          <w:rFonts w:hint="eastAsia" w:ascii="宋体" w:hAnsi="宋体"/>
          <w:color w:val="auto"/>
          <w:spacing w:val="-4"/>
          <w:szCs w:val="21"/>
          <w:highlight w:val="none"/>
        </w:rPr>
        <w:t>我方已详细审核全部招标文件及有关附件，承诺招标文件及有关附件中所有条款。</w:t>
      </w:r>
    </w:p>
    <w:p w14:paraId="06C7E94A">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一旦我方中标，我方将派出</w:t>
      </w:r>
      <w:r>
        <w:rPr>
          <w:rFonts w:hint="eastAsia" w:ascii="宋体" w:hAnsi="宋体"/>
          <w:color w:val="auto"/>
          <w:szCs w:val="21"/>
          <w:highlight w:val="none"/>
          <w:u w:val="single"/>
        </w:rPr>
        <w:t xml:space="preserve">      </w:t>
      </w:r>
      <w:r>
        <w:rPr>
          <w:rFonts w:hint="eastAsia" w:ascii="宋体" w:hAnsi="宋体"/>
          <w:color w:val="auto"/>
          <w:szCs w:val="21"/>
          <w:highlight w:val="none"/>
        </w:rPr>
        <w:t>为本项目的项目负责人，保证按照招标人要求开始实施本项目，按招标文件要求的时间内完成本合同的</w:t>
      </w:r>
      <w:r>
        <w:rPr>
          <w:rFonts w:hint="eastAsia" w:ascii="宋体" w:hAnsi="宋体"/>
          <w:color w:val="auto"/>
          <w:szCs w:val="21"/>
          <w:highlight w:val="none"/>
          <w:lang w:val="en-US" w:eastAsia="zh-CN"/>
        </w:rPr>
        <w:t>服务</w:t>
      </w:r>
      <w:r>
        <w:rPr>
          <w:rFonts w:hint="eastAsia" w:ascii="宋体" w:hAnsi="宋体"/>
          <w:color w:val="auto"/>
          <w:szCs w:val="21"/>
          <w:highlight w:val="none"/>
        </w:rPr>
        <w:t>。</w:t>
      </w:r>
    </w:p>
    <w:p w14:paraId="2F719ABD">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olor w:val="auto"/>
          <w:szCs w:val="21"/>
          <w:highlight w:val="none"/>
          <w:lang w:val="en-US" w:eastAsia="zh-CN"/>
        </w:rPr>
        <w:t>4.</w:t>
      </w:r>
      <w:r>
        <w:rPr>
          <w:rFonts w:hint="eastAsia" w:ascii="宋体" w:hAnsi="宋体" w:eastAsia="宋体" w:cs="宋体"/>
          <w:color w:val="auto"/>
          <w:highlight w:val="none"/>
        </w:rPr>
        <w:t>如果贵方接受我单位中标，我单位保证在承包人须知规定的期限内，按本投标配备的人员及时开展工作，否则，贵方有权单方面终止合同，并令我单位立即退场，工程项目另行处理，由此造成的一切损失由我单位负责赔偿。</w:t>
      </w:r>
    </w:p>
    <w:p w14:paraId="30BD36D7">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如果我方在本投标书有效期内撤回投标书，或在中标通知书下达后</w:t>
      </w:r>
      <w:r>
        <w:rPr>
          <w:rFonts w:ascii="宋体" w:hAnsi="宋体"/>
          <w:color w:val="auto"/>
          <w:szCs w:val="21"/>
          <w:highlight w:val="none"/>
          <w:u w:val="single"/>
        </w:rPr>
        <w:t xml:space="preserve"> </w:t>
      </w:r>
      <w:r>
        <w:rPr>
          <w:rFonts w:hint="eastAsia" w:ascii="宋体" w:hAnsi="宋体"/>
          <w:color w:val="auto"/>
          <w:szCs w:val="21"/>
          <w:highlight w:val="none"/>
          <w:u w:val="single"/>
        </w:rPr>
        <w:t>30</w:t>
      </w:r>
      <w:r>
        <w:rPr>
          <w:rFonts w:ascii="宋体" w:hAnsi="宋体"/>
          <w:color w:val="auto"/>
          <w:szCs w:val="21"/>
          <w:highlight w:val="none"/>
          <w:u w:val="single"/>
        </w:rPr>
        <w:t xml:space="preserve"> </w:t>
      </w:r>
      <w:r>
        <w:rPr>
          <w:rFonts w:hint="eastAsia" w:ascii="宋体" w:hAnsi="宋体"/>
          <w:color w:val="auto"/>
          <w:szCs w:val="21"/>
          <w:highlight w:val="none"/>
        </w:rPr>
        <w:t>天内未能或拒绝签订合同书，或自行转标，贵单位有权另选中标单位。</w:t>
      </w:r>
    </w:p>
    <w:p w14:paraId="39C14C69">
      <w:pPr>
        <w:spacing w:line="440" w:lineRule="exact"/>
        <w:ind w:firstLine="420" w:firstLineChars="200"/>
        <w:jc w:val="left"/>
        <w:rPr>
          <w:rFonts w:hint="eastAsia" w:ascii="宋体" w:hAnsi="宋体"/>
          <w:szCs w:val="21"/>
          <w:highlight w:val="none"/>
        </w:rPr>
      </w:pPr>
      <w:r>
        <w:rPr>
          <w:rFonts w:hint="eastAsia" w:ascii="宋体" w:hAnsi="宋体"/>
          <w:szCs w:val="21"/>
          <w:highlight w:val="none"/>
          <w:lang w:val="en-US" w:eastAsia="zh-CN"/>
        </w:rPr>
        <w:t>6.</w:t>
      </w:r>
      <w:r>
        <w:rPr>
          <w:rFonts w:hint="eastAsia" w:ascii="宋体" w:hAnsi="宋体"/>
          <w:szCs w:val="21"/>
          <w:highlight w:val="none"/>
        </w:rPr>
        <w:t>如果我方中标我方将按照招标文件的规定提交</w:t>
      </w:r>
      <w:r>
        <w:rPr>
          <w:rFonts w:ascii="宋体" w:hAnsi="宋体"/>
          <w:szCs w:val="21"/>
          <w:highlight w:val="none"/>
          <w:u w:val="single"/>
        </w:rPr>
        <w:t xml:space="preserve"> </w:t>
      </w:r>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ascii="宋体" w:hAnsi="宋体"/>
          <w:szCs w:val="21"/>
          <w:highlight w:val="none"/>
          <w:u w:val="single"/>
        </w:rPr>
        <w:t xml:space="preserve"> </w:t>
      </w:r>
      <w:r>
        <w:rPr>
          <w:rFonts w:hint="eastAsia" w:ascii="宋体" w:hAnsi="宋体"/>
          <w:szCs w:val="21"/>
          <w:highlight w:val="none"/>
          <w:u w:val="none"/>
          <w:lang w:val="en-US" w:eastAsia="zh-CN"/>
        </w:rPr>
        <w:t>万</w:t>
      </w:r>
      <w:r>
        <w:rPr>
          <w:rFonts w:hint="eastAsia" w:ascii="宋体" w:hAnsi="宋体"/>
          <w:szCs w:val="21"/>
          <w:highlight w:val="none"/>
        </w:rPr>
        <w:t>元作为履约担保。项目验收合格后，方可退还。</w:t>
      </w:r>
    </w:p>
    <w:p w14:paraId="29ED317A">
      <w:pPr>
        <w:spacing w:line="440" w:lineRule="exact"/>
        <w:ind w:firstLine="420" w:firstLineChars="200"/>
        <w:jc w:val="left"/>
        <w:rPr>
          <w:rFonts w:hint="eastAsia" w:ascii="宋体" w:hAnsi="宋体"/>
          <w:szCs w:val="21"/>
          <w:highlight w:val="none"/>
        </w:rPr>
      </w:pPr>
      <w:r>
        <w:rPr>
          <w:rFonts w:hint="eastAsia" w:ascii="宋体" w:hAnsi="宋体"/>
          <w:szCs w:val="21"/>
          <w:highlight w:val="none"/>
          <w:lang w:val="en-US" w:eastAsia="zh-CN"/>
        </w:rPr>
        <w:t>7.</w:t>
      </w:r>
      <w:r>
        <w:rPr>
          <w:rFonts w:hint="eastAsia" w:ascii="宋体" w:hAnsi="宋体"/>
          <w:szCs w:val="21"/>
          <w:highlight w:val="none"/>
        </w:rPr>
        <w:t>投标有效期为</w:t>
      </w:r>
      <w:r>
        <w:rPr>
          <w:rFonts w:hint="eastAsia" w:ascii="宋体" w:hAnsi="宋体"/>
          <w:szCs w:val="21"/>
          <w:highlight w:val="none"/>
          <w:u w:val="single"/>
        </w:rPr>
        <w:t xml:space="preserve"> 90</w:t>
      </w:r>
      <w:r>
        <w:rPr>
          <w:rFonts w:hint="eastAsia" w:ascii="宋体" w:hAnsi="宋体"/>
          <w:szCs w:val="21"/>
          <w:highlight w:val="none"/>
        </w:rPr>
        <w:t>日历天（从投标截止之日算起）。</w:t>
      </w:r>
    </w:p>
    <w:p w14:paraId="2E1A98A0">
      <w:pPr>
        <w:spacing w:line="440" w:lineRule="exact"/>
        <w:ind w:firstLine="420" w:firstLineChars="200"/>
        <w:jc w:val="left"/>
        <w:rPr>
          <w:rFonts w:hint="eastAsia" w:ascii="宋体" w:hAnsi="宋体"/>
          <w:szCs w:val="21"/>
          <w:highlight w:val="none"/>
        </w:rPr>
      </w:pPr>
      <w:r>
        <w:rPr>
          <w:rFonts w:hint="eastAsia" w:ascii="宋体" w:hAnsi="宋体"/>
          <w:szCs w:val="21"/>
          <w:highlight w:val="none"/>
          <w:lang w:val="en-US" w:eastAsia="zh-CN"/>
        </w:rPr>
        <w:t>8.</w:t>
      </w:r>
      <w:r>
        <w:rPr>
          <w:rFonts w:hint="eastAsia" w:ascii="宋体" w:hAnsi="宋体"/>
          <w:szCs w:val="21"/>
          <w:highlight w:val="none"/>
        </w:rPr>
        <w:t>我单位提供如下通讯地址：</w:t>
      </w:r>
      <w:r>
        <w:rPr>
          <w:rFonts w:hint="eastAsia" w:ascii="宋体" w:hAnsi="宋体"/>
          <w:szCs w:val="21"/>
          <w:highlight w:val="none"/>
          <w:u w:val="single"/>
        </w:rPr>
        <w:t xml:space="preserve">                </w:t>
      </w:r>
      <w:r>
        <w:rPr>
          <w:rFonts w:hint="eastAsia" w:ascii="宋体" w:hAnsi="宋体"/>
          <w:szCs w:val="21"/>
          <w:highlight w:val="none"/>
        </w:rPr>
        <w:t>电子邮箱（地址），确认本项目相关法律文书均通过提供的以上地址送达，相关文书只要发送至以上电子邮箱（地址）即视为送达，投标人愿意承担一切法律后果。</w:t>
      </w:r>
    </w:p>
    <w:p w14:paraId="58D9FF6D">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highlight w:val="none"/>
        </w:rPr>
      </w:pPr>
    </w:p>
    <w:p w14:paraId="7B092613">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xml:space="preserve">  （</w:t>
      </w:r>
      <w:r>
        <w:rPr>
          <w:rFonts w:hint="eastAsia" w:ascii="宋体" w:hAnsi="宋体" w:cs="宋体"/>
          <w:color w:val="auto"/>
          <w:szCs w:val="21"/>
          <w:highlight w:val="none"/>
          <w:u w:val="single"/>
          <w:lang w:val="en-US" w:eastAsia="zh-CN"/>
        </w:rPr>
        <w:t>盖</w:t>
      </w:r>
      <w:r>
        <w:rPr>
          <w:rFonts w:hint="eastAsia" w:ascii="宋体" w:hAnsi="宋体" w:eastAsia="宋体" w:cs="宋体"/>
          <w:color w:val="auto"/>
          <w:szCs w:val="21"/>
          <w:highlight w:val="none"/>
          <w:u w:val="single"/>
        </w:rPr>
        <w:t xml:space="preserve">章） </w:t>
      </w:r>
    </w:p>
    <w:p w14:paraId="41B57621">
      <w:pPr>
        <w:spacing w:line="600" w:lineRule="exact"/>
        <w:ind w:firstLine="2310" w:firstLineChars="1100"/>
        <w:jc w:val="left"/>
        <w:rPr>
          <w:rFonts w:ascii="宋体" w:hAnsi="宋体"/>
          <w:szCs w:val="21"/>
          <w:highlight w:val="none"/>
        </w:rPr>
      </w:pPr>
      <w:r>
        <w:rPr>
          <w:rFonts w:hint="eastAsia" w:ascii="宋体" w:hAnsi="宋体"/>
          <w:szCs w:val="21"/>
          <w:highlight w:val="none"/>
        </w:rPr>
        <w:t>法定代表人</w:t>
      </w:r>
      <w:r>
        <w:rPr>
          <w:rFonts w:hint="eastAsia" w:ascii="宋体" w:hAnsi="宋体"/>
          <w:szCs w:val="21"/>
          <w:highlight w:val="none"/>
          <w:lang w:val="en-US" w:eastAsia="zh-CN"/>
        </w:rPr>
        <w:t>或委托代理人：</w:t>
      </w:r>
      <w:r>
        <w:rPr>
          <w:rFonts w:hint="eastAsia" w:ascii="宋体" w:hAnsi="宋体"/>
          <w:szCs w:val="21"/>
          <w:highlight w:val="none"/>
          <w:u w:val="single"/>
        </w:rPr>
        <w:t xml:space="preserve">          </w:t>
      </w:r>
      <w:r>
        <w:rPr>
          <w:rFonts w:ascii="宋体" w:hAnsi="宋体"/>
          <w:szCs w:val="21"/>
          <w:highlight w:val="none"/>
          <w:u w:val="single"/>
        </w:rPr>
        <w:t xml:space="preserve">  </w:t>
      </w:r>
      <w:r>
        <w:rPr>
          <w:rFonts w:hint="eastAsia" w:ascii="宋体" w:hAnsi="宋体"/>
          <w:szCs w:val="21"/>
          <w:highlight w:val="none"/>
          <w:u w:val="single"/>
        </w:rPr>
        <w:t>（</w:t>
      </w:r>
      <w:r>
        <w:rPr>
          <w:rFonts w:hint="eastAsia" w:ascii="宋体" w:hAnsi="宋体"/>
          <w:szCs w:val="21"/>
          <w:highlight w:val="none"/>
          <w:u w:val="single"/>
          <w:lang w:val="en-US" w:eastAsia="zh-CN"/>
        </w:rPr>
        <w:t>签字或盖章</w:t>
      </w:r>
      <w:r>
        <w:rPr>
          <w:rFonts w:hint="eastAsia" w:ascii="宋体" w:hAnsi="宋体"/>
          <w:szCs w:val="21"/>
          <w:highlight w:val="none"/>
          <w:u w:val="single"/>
        </w:rPr>
        <w:t>）</w:t>
      </w:r>
    </w:p>
    <w:p w14:paraId="75BF44E2">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单位地址：</w:t>
      </w:r>
      <w:r>
        <w:rPr>
          <w:rFonts w:hint="eastAsia" w:ascii="宋体" w:hAnsi="宋体" w:eastAsia="宋体" w:cs="宋体"/>
          <w:color w:val="auto"/>
          <w:szCs w:val="21"/>
          <w:highlight w:val="none"/>
          <w:u w:val="single"/>
        </w:rPr>
        <w:t xml:space="preserve">                                       </w:t>
      </w:r>
    </w:p>
    <w:p w14:paraId="152985B8">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邮政编码：</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电话：</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传真：</w:t>
      </w:r>
      <w:r>
        <w:rPr>
          <w:rFonts w:hint="eastAsia" w:ascii="宋体" w:hAnsi="宋体" w:eastAsia="宋体" w:cs="宋体"/>
          <w:color w:val="auto"/>
          <w:szCs w:val="21"/>
          <w:highlight w:val="none"/>
          <w:u w:val="single"/>
        </w:rPr>
        <w:t xml:space="preserve">       </w:t>
      </w:r>
    </w:p>
    <w:p w14:paraId="26367422">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年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月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14:paraId="65A7D629">
      <w:pPr>
        <w:rPr>
          <w:rFonts w:hint="eastAsia"/>
          <w:bCs/>
          <w:szCs w:val="32"/>
          <w:highlight w:val="none"/>
        </w:rPr>
      </w:pPr>
      <w:r>
        <w:rPr>
          <w:rFonts w:hint="eastAsia"/>
          <w:sz w:val="32"/>
          <w:szCs w:val="32"/>
          <w:highlight w:val="none"/>
        </w:rPr>
        <w:br w:type="page"/>
      </w:r>
      <w:bookmarkEnd w:id="7"/>
      <w:bookmarkEnd w:id="8"/>
      <w:bookmarkEnd w:id="9"/>
      <w:bookmarkEnd w:id="10"/>
      <w:bookmarkEnd w:id="11"/>
      <w:bookmarkEnd w:id="913"/>
      <w:bookmarkEnd w:id="914"/>
      <w:bookmarkEnd w:id="915"/>
      <w:bookmarkEnd w:id="916"/>
      <w:bookmarkStart w:id="917" w:name="_Toc78803402"/>
    </w:p>
    <w:p w14:paraId="172B3F58">
      <w:pPr>
        <w:pStyle w:val="44"/>
        <w:spacing w:beforeLines="50" w:afterLines="50" w:line="440" w:lineRule="exact"/>
        <w:rPr>
          <w:bCs/>
          <w:szCs w:val="32"/>
          <w:highlight w:val="none"/>
        </w:rPr>
      </w:pPr>
      <w:r>
        <w:rPr>
          <w:rFonts w:hint="eastAsia"/>
          <w:bCs/>
          <w:szCs w:val="32"/>
          <w:highlight w:val="none"/>
        </w:rPr>
        <w:t>第</w:t>
      </w:r>
      <w:r>
        <w:rPr>
          <w:rFonts w:hint="eastAsia"/>
          <w:bCs/>
          <w:szCs w:val="32"/>
          <w:highlight w:val="none"/>
          <w:lang w:val="en-US" w:eastAsia="zh-CN"/>
        </w:rPr>
        <w:t>八</w:t>
      </w:r>
      <w:r>
        <w:rPr>
          <w:rFonts w:hint="eastAsia"/>
          <w:bCs/>
          <w:szCs w:val="32"/>
          <w:highlight w:val="none"/>
        </w:rPr>
        <w:t>章  招标单位、招标代理机构对本招标文件的确认</w:t>
      </w:r>
      <w:bookmarkEnd w:id="917"/>
    </w:p>
    <w:p w14:paraId="7D391125">
      <w:pPr>
        <w:pStyle w:val="20"/>
        <w:rPr>
          <w:highlight w:val="none"/>
        </w:rPr>
      </w:pPr>
    </w:p>
    <w:tbl>
      <w:tblPr>
        <w:tblStyle w:val="47"/>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0"/>
      </w:tblGrid>
      <w:tr w14:paraId="28B5C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9" w:hRule="atLeast"/>
          <w:jc w:val="center"/>
        </w:trPr>
        <w:tc>
          <w:tcPr>
            <w:tcW w:w="9580" w:type="dxa"/>
            <w:noWrap/>
          </w:tcPr>
          <w:p w14:paraId="45DC8EDB">
            <w:pPr>
              <w:wordWrap w:val="0"/>
              <w:adjustRightInd w:val="0"/>
              <w:snapToGrid w:val="0"/>
              <w:spacing w:line="560" w:lineRule="exact"/>
              <w:rPr>
                <w:sz w:val="30"/>
                <w:highlight w:val="none"/>
              </w:rPr>
            </w:pPr>
          </w:p>
          <w:p w14:paraId="3CB446EA">
            <w:pPr>
              <w:wordWrap w:val="0"/>
              <w:spacing w:line="560" w:lineRule="exact"/>
              <w:ind w:firstLine="560" w:firstLineChars="200"/>
              <w:rPr>
                <w:sz w:val="28"/>
                <w:szCs w:val="28"/>
                <w:highlight w:val="none"/>
              </w:rPr>
            </w:pPr>
            <w:r>
              <w:rPr>
                <w:rFonts w:hint="eastAsia"/>
                <w:sz w:val="28"/>
                <w:szCs w:val="28"/>
                <w:highlight w:val="none"/>
              </w:rPr>
              <w:t>我单位对</w:t>
            </w:r>
            <w:r>
              <w:rPr>
                <w:rFonts w:hint="eastAsia"/>
                <w:sz w:val="28"/>
                <w:szCs w:val="28"/>
                <w:highlight w:val="none"/>
                <w:u w:val="single"/>
              </w:rPr>
              <w:t xml:space="preserve"> </w:t>
            </w:r>
            <w:r>
              <w:rPr>
                <w:rFonts w:hint="eastAsia"/>
                <w:sz w:val="28"/>
                <w:szCs w:val="28"/>
                <w:highlight w:val="none"/>
                <w:u w:val="single"/>
                <w:lang w:eastAsia="zh-CN"/>
              </w:rPr>
              <w:t>滁州清流污水处理厂工商业分布式光伏发电初步设计项目</w:t>
            </w:r>
            <w:r>
              <w:rPr>
                <w:rFonts w:hint="eastAsia"/>
                <w:sz w:val="28"/>
                <w:szCs w:val="28"/>
                <w:highlight w:val="none"/>
                <w:u w:val="single"/>
              </w:rPr>
              <w:t xml:space="preserve"> </w:t>
            </w:r>
            <w:r>
              <w:rPr>
                <w:rFonts w:hint="eastAsia"/>
                <w:sz w:val="28"/>
                <w:szCs w:val="28"/>
                <w:highlight w:val="none"/>
              </w:rPr>
              <w:t>的招标文件进行确认。</w:t>
            </w:r>
          </w:p>
          <w:p w14:paraId="71A0CDF3">
            <w:pPr>
              <w:widowControl/>
              <w:spacing w:line="360" w:lineRule="auto"/>
              <w:ind w:firstLine="560" w:firstLineChars="200"/>
              <w:jc w:val="left"/>
              <w:rPr>
                <w:rFonts w:hint="eastAsia" w:ascii="宋体" w:hAnsi="宋体"/>
                <w:color w:val="auto"/>
                <w:sz w:val="28"/>
                <w:szCs w:val="28"/>
                <w:highlight w:val="none"/>
              </w:rPr>
            </w:pPr>
            <w:r>
              <w:rPr>
                <w:rFonts w:hint="eastAsia" w:ascii="宋体" w:hAnsi="宋体"/>
                <w:color w:val="auto"/>
                <w:sz w:val="28"/>
                <w:szCs w:val="28"/>
                <w:highlight w:val="none"/>
                <w:lang w:val="en-US" w:eastAsia="zh-CN"/>
              </w:rPr>
              <w:t>招标人</w:t>
            </w:r>
            <w:r>
              <w:rPr>
                <w:rFonts w:hint="eastAsia" w:ascii="宋体" w:hAnsi="宋体"/>
                <w:color w:val="auto"/>
                <w:sz w:val="28"/>
                <w:szCs w:val="28"/>
                <w:highlight w:val="none"/>
              </w:rPr>
              <w:t>：</w:t>
            </w:r>
            <w:r>
              <w:rPr>
                <w:rFonts w:hint="eastAsia" w:ascii="宋体" w:hAnsi="宋体"/>
                <w:color w:val="auto"/>
                <w:sz w:val="28"/>
                <w:szCs w:val="28"/>
                <w:highlight w:val="none"/>
                <w:lang w:eastAsia="zh-CN"/>
              </w:rPr>
              <w:t>滁州工投新能源开发有限公司</w:t>
            </w:r>
            <w:r>
              <w:rPr>
                <w:rFonts w:hint="eastAsia" w:ascii="宋体" w:hAnsi="宋体"/>
                <w:color w:val="auto"/>
                <w:sz w:val="28"/>
                <w:szCs w:val="28"/>
                <w:highlight w:val="none"/>
              </w:rPr>
              <w:t xml:space="preserve">  </w:t>
            </w:r>
          </w:p>
          <w:p w14:paraId="7E988D38">
            <w:pPr>
              <w:adjustRightInd w:val="0"/>
              <w:snapToGrid w:val="0"/>
              <w:spacing w:line="560" w:lineRule="exact"/>
              <w:ind w:firstLine="560" w:firstLineChars="200"/>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联 系 人：</w:t>
            </w:r>
            <w:r>
              <w:rPr>
                <w:rFonts w:hint="eastAsia" w:ascii="宋体" w:hAnsi="宋体" w:cs="Times New Roman"/>
                <w:color w:val="auto"/>
                <w:sz w:val="28"/>
                <w:szCs w:val="28"/>
                <w:highlight w:val="none"/>
                <w:lang w:val="en-US" w:eastAsia="zh-CN"/>
              </w:rPr>
              <w:t>李工</w:t>
            </w:r>
            <w:r>
              <w:rPr>
                <w:rFonts w:hint="eastAsia" w:ascii="宋体" w:hAnsi="宋体" w:eastAsia="宋体" w:cs="Times New Roman"/>
                <w:color w:val="auto"/>
                <w:sz w:val="28"/>
                <w:szCs w:val="28"/>
                <w:highlight w:val="none"/>
              </w:rPr>
              <w:t xml:space="preserve"> </w:t>
            </w:r>
            <w:r>
              <w:rPr>
                <w:rFonts w:hint="eastAsia" w:ascii="宋体" w:hAnsi="宋体" w:eastAsia="宋体" w:cs="Times New Roman"/>
                <w:color w:val="auto"/>
                <w:sz w:val="28"/>
                <w:szCs w:val="28"/>
                <w:highlight w:val="none"/>
                <w:lang w:val="en-US" w:eastAsia="zh-CN"/>
              </w:rPr>
              <w:t xml:space="preserve"> </w:t>
            </w:r>
          </w:p>
          <w:p w14:paraId="27CF026B">
            <w:pPr>
              <w:spacing w:line="560" w:lineRule="exact"/>
              <w:ind w:firstLine="560" w:firstLineChars="200"/>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rPr>
              <w:t>联系电话：</w:t>
            </w:r>
            <w:r>
              <w:rPr>
                <w:rFonts w:hint="eastAsia" w:ascii="宋体" w:hAnsi="宋体" w:eastAsia="宋体" w:cs="宋体"/>
                <w:sz w:val="28"/>
                <w:szCs w:val="28"/>
                <w:highlight w:val="none"/>
                <w:lang w:val="en-US" w:eastAsia="zh-CN"/>
              </w:rPr>
              <w:t>0550-3018358、19355082836</w:t>
            </w:r>
          </w:p>
          <w:p w14:paraId="2BCF4FCB">
            <w:pPr>
              <w:wordWrap w:val="0"/>
              <w:spacing w:line="560" w:lineRule="exact"/>
              <w:rPr>
                <w:rFonts w:ascii="宋体" w:hAnsi="宋体"/>
                <w:sz w:val="28"/>
                <w:szCs w:val="28"/>
                <w:highlight w:val="none"/>
              </w:rPr>
            </w:pPr>
          </w:p>
          <w:p w14:paraId="3879E6FD">
            <w:pPr>
              <w:wordWrap w:val="0"/>
              <w:spacing w:line="560" w:lineRule="exact"/>
              <w:ind w:firstLine="560" w:firstLineChars="200"/>
              <w:rPr>
                <w:rFonts w:ascii="宋体" w:hAnsi="宋体"/>
                <w:sz w:val="28"/>
                <w:szCs w:val="28"/>
                <w:highlight w:val="none"/>
              </w:rPr>
            </w:pPr>
          </w:p>
          <w:p w14:paraId="6BD2A618">
            <w:pPr>
              <w:wordWrap w:val="0"/>
              <w:spacing w:line="560" w:lineRule="exact"/>
              <w:ind w:firstLine="5740" w:firstLineChars="2050"/>
              <w:rPr>
                <w:rFonts w:ascii="宋体" w:hAnsi="宋体"/>
                <w:sz w:val="28"/>
                <w:szCs w:val="28"/>
                <w:highlight w:val="none"/>
              </w:rPr>
            </w:pPr>
            <w:r>
              <w:rPr>
                <w:rFonts w:hint="eastAsia" w:ascii="宋体" w:hAnsi="宋体"/>
                <w:sz w:val="28"/>
                <w:szCs w:val="28"/>
                <w:highlight w:val="none"/>
              </w:rPr>
              <w:t>（单位盖章）</w:t>
            </w:r>
          </w:p>
          <w:p w14:paraId="0DB51C41">
            <w:pPr>
              <w:spacing w:line="560" w:lineRule="exact"/>
              <w:ind w:firstLine="5880" w:firstLineChars="2100"/>
              <w:rPr>
                <w:rFonts w:ascii="宋体" w:hAnsi="宋体"/>
                <w:sz w:val="28"/>
                <w:szCs w:val="28"/>
                <w:highlight w:val="none"/>
              </w:rPr>
            </w:pPr>
            <w:r>
              <w:rPr>
                <w:rFonts w:hint="eastAsia" w:ascii="宋体" w:hAnsi="宋体"/>
                <w:sz w:val="28"/>
                <w:szCs w:val="28"/>
                <w:highlight w:val="none"/>
              </w:rPr>
              <w:t>202</w:t>
            </w:r>
            <w:r>
              <w:rPr>
                <w:rFonts w:hint="eastAsia" w:ascii="宋体" w:hAnsi="宋体"/>
                <w:sz w:val="28"/>
                <w:szCs w:val="28"/>
                <w:highlight w:val="none"/>
                <w:lang w:val="en-US" w:eastAsia="zh-CN"/>
              </w:rPr>
              <w:t>5</w:t>
            </w:r>
            <w:r>
              <w:rPr>
                <w:rFonts w:hint="eastAsia" w:ascii="宋体" w:hAnsi="宋体"/>
                <w:sz w:val="28"/>
                <w:szCs w:val="28"/>
                <w:highlight w:val="none"/>
              </w:rPr>
              <w:t>年</w:t>
            </w:r>
            <w:r>
              <w:rPr>
                <w:rFonts w:hint="eastAsia" w:ascii="宋体" w:hAnsi="宋体"/>
                <w:sz w:val="28"/>
                <w:szCs w:val="28"/>
                <w:highlight w:val="none"/>
                <w:lang w:val="en-US" w:eastAsia="zh-CN"/>
              </w:rPr>
              <w:t>8</w:t>
            </w:r>
            <w:r>
              <w:rPr>
                <w:rFonts w:hint="eastAsia" w:ascii="宋体" w:hAnsi="宋体"/>
                <w:sz w:val="28"/>
                <w:szCs w:val="28"/>
                <w:highlight w:val="none"/>
              </w:rPr>
              <w:t>月</w:t>
            </w:r>
          </w:p>
          <w:p w14:paraId="72A7FF77">
            <w:pPr>
              <w:pStyle w:val="2"/>
              <w:ind w:firstLine="420"/>
              <w:rPr>
                <w:highlight w:val="none"/>
              </w:rPr>
            </w:pPr>
          </w:p>
        </w:tc>
      </w:tr>
      <w:tr w14:paraId="05F32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7" w:hRule="atLeast"/>
          <w:jc w:val="center"/>
        </w:trPr>
        <w:tc>
          <w:tcPr>
            <w:tcW w:w="9580" w:type="dxa"/>
            <w:noWrap/>
          </w:tcPr>
          <w:p w14:paraId="2080D8D4">
            <w:pPr>
              <w:spacing w:line="560" w:lineRule="exact"/>
              <w:ind w:firstLine="560" w:firstLineChars="200"/>
              <w:rPr>
                <w:rFonts w:ascii="宋体" w:hAnsi="宋体" w:cs="宋体"/>
                <w:sz w:val="28"/>
                <w:szCs w:val="28"/>
                <w:highlight w:val="none"/>
              </w:rPr>
            </w:pPr>
          </w:p>
          <w:p w14:paraId="297A006E">
            <w:pPr>
              <w:spacing w:line="560" w:lineRule="exact"/>
              <w:ind w:firstLine="560" w:firstLineChars="200"/>
              <w:rPr>
                <w:rFonts w:ascii="宋体" w:hAnsi="宋体" w:cs="宋体"/>
                <w:sz w:val="28"/>
                <w:szCs w:val="28"/>
                <w:highlight w:val="none"/>
                <w:u w:val="single"/>
              </w:rPr>
            </w:pPr>
            <w:r>
              <w:rPr>
                <w:rFonts w:hint="eastAsia" w:ascii="宋体" w:hAnsi="宋体" w:cs="宋体"/>
                <w:sz w:val="28"/>
                <w:szCs w:val="28"/>
                <w:highlight w:val="none"/>
              </w:rPr>
              <w:t>招标代理机构：</w:t>
            </w:r>
            <w:r>
              <w:rPr>
                <w:rFonts w:hint="eastAsia"/>
                <w:sz w:val="28"/>
                <w:szCs w:val="28"/>
                <w:highlight w:val="none"/>
              </w:rPr>
              <w:t>滁州市城投工程咨询管理有限公司</w:t>
            </w:r>
          </w:p>
          <w:p w14:paraId="04195C3D">
            <w:pPr>
              <w:spacing w:line="560" w:lineRule="exact"/>
              <w:ind w:firstLine="560" w:firstLineChars="200"/>
              <w:rPr>
                <w:rFonts w:hint="default" w:ascii="宋体" w:hAnsi="宋体" w:eastAsia="宋体" w:cs="宋体"/>
                <w:sz w:val="28"/>
                <w:szCs w:val="28"/>
                <w:highlight w:val="none"/>
                <w:u w:val="single"/>
                <w:lang w:val="en-US" w:eastAsia="zh-CN"/>
              </w:rPr>
            </w:pPr>
            <w:r>
              <w:rPr>
                <w:rFonts w:hint="eastAsia" w:ascii="宋体" w:hAnsi="宋体" w:cs="宋体"/>
                <w:sz w:val="28"/>
                <w:szCs w:val="28"/>
                <w:highlight w:val="none"/>
              </w:rPr>
              <w:t>联 系 人：</w:t>
            </w:r>
            <w:r>
              <w:rPr>
                <w:rFonts w:hint="eastAsia" w:ascii="宋体" w:hAnsi="宋体" w:cs="宋体"/>
                <w:sz w:val="28"/>
                <w:szCs w:val="28"/>
                <w:highlight w:val="none"/>
                <w:lang w:val="en-US" w:eastAsia="zh-CN"/>
              </w:rPr>
              <w:t>周蓓蕾</w:t>
            </w:r>
          </w:p>
          <w:p w14:paraId="47E8E678">
            <w:pPr>
              <w:spacing w:line="560" w:lineRule="exact"/>
              <w:ind w:firstLine="560" w:firstLineChars="200"/>
              <w:rPr>
                <w:rFonts w:hint="eastAsia" w:ascii="宋体" w:hAnsi="宋体" w:eastAsia="宋体" w:cs="宋体"/>
                <w:sz w:val="28"/>
                <w:szCs w:val="28"/>
                <w:highlight w:val="none"/>
                <w:lang w:val="en-US" w:eastAsia="zh-CN"/>
              </w:rPr>
            </w:pPr>
            <w:r>
              <w:rPr>
                <w:rFonts w:hint="eastAsia" w:ascii="宋体" w:hAnsi="宋体" w:cs="宋体"/>
                <w:sz w:val="28"/>
                <w:szCs w:val="28"/>
                <w:highlight w:val="none"/>
              </w:rPr>
              <w:t>联系电话：0550-351951</w:t>
            </w:r>
            <w:r>
              <w:rPr>
                <w:rFonts w:hint="eastAsia" w:ascii="宋体" w:hAnsi="宋体" w:cs="宋体"/>
                <w:sz w:val="28"/>
                <w:szCs w:val="28"/>
                <w:highlight w:val="none"/>
                <w:lang w:val="en-US" w:eastAsia="zh-CN"/>
              </w:rPr>
              <w:t>9</w:t>
            </w:r>
            <w:r>
              <w:rPr>
                <w:rFonts w:hint="eastAsia" w:ascii="宋体" w:hAnsi="宋体" w:cs="宋体"/>
                <w:sz w:val="28"/>
                <w:szCs w:val="28"/>
                <w:highlight w:val="none"/>
              </w:rPr>
              <w:t>、</w:t>
            </w:r>
            <w:r>
              <w:rPr>
                <w:rFonts w:hint="eastAsia" w:ascii="宋体" w:hAnsi="宋体" w:cs="宋体"/>
                <w:sz w:val="28"/>
                <w:szCs w:val="28"/>
                <w:highlight w:val="none"/>
                <w:lang w:eastAsia="zh-CN"/>
              </w:rPr>
              <w:t>18005505728</w:t>
            </w:r>
          </w:p>
          <w:p w14:paraId="60018F68">
            <w:pPr>
              <w:spacing w:line="560" w:lineRule="exact"/>
              <w:ind w:firstLine="5040" w:firstLineChars="1800"/>
              <w:rPr>
                <w:rFonts w:ascii="宋体" w:hAnsi="宋体" w:cs="宋体"/>
                <w:sz w:val="28"/>
                <w:szCs w:val="28"/>
                <w:highlight w:val="none"/>
              </w:rPr>
            </w:pPr>
          </w:p>
          <w:p w14:paraId="0781C8CF">
            <w:pPr>
              <w:spacing w:line="560" w:lineRule="exact"/>
              <w:ind w:firstLine="5460" w:firstLineChars="1950"/>
              <w:rPr>
                <w:rFonts w:ascii="宋体" w:hAnsi="宋体" w:cs="宋体"/>
                <w:sz w:val="28"/>
                <w:szCs w:val="28"/>
                <w:highlight w:val="none"/>
              </w:rPr>
            </w:pPr>
          </w:p>
          <w:p w14:paraId="4FA2F924">
            <w:pPr>
              <w:pStyle w:val="2"/>
              <w:rPr>
                <w:rFonts w:ascii="宋体" w:hAnsi="宋体" w:cs="宋体"/>
                <w:sz w:val="28"/>
                <w:szCs w:val="28"/>
                <w:highlight w:val="none"/>
              </w:rPr>
            </w:pPr>
          </w:p>
          <w:p w14:paraId="009FB149">
            <w:pPr>
              <w:rPr>
                <w:highlight w:val="none"/>
              </w:rPr>
            </w:pPr>
          </w:p>
          <w:p w14:paraId="0A1FE158">
            <w:pPr>
              <w:spacing w:line="560" w:lineRule="exact"/>
              <w:ind w:firstLine="5880" w:firstLineChars="2100"/>
              <w:rPr>
                <w:rFonts w:ascii="宋体" w:hAnsi="宋体" w:cs="宋体"/>
                <w:sz w:val="28"/>
                <w:szCs w:val="28"/>
                <w:highlight w:val="none"/>
              </w:rPr>
            </w:pPr>
            <w:r>
              <w:rPr>
                <w:rFonts w:hint="eastAsia" w:ascii="宋体" w:hAnsi="宋体" w:cs="宋体"/>
                <w:sz w:val="28"/>
                <w:szCs w:val="28"/>
                <w:highlight w:val="none"/>
              </w:rPr>
              <w:t>（单位盖章）</w:t>
            </w:r>
          </w:p>
          <w:p w14:paraId="144B0D1C">
            <w:pPr>
              <w:spacing w:line="560" w:lineRule="exact"/>
              <w:ind w:firstLine="6020" w:firstLineChars="2150"/>
              <w:rPr>
                <w:rFonts w:ascii="宋体" w:hAnsi="宋体"/>
                <w:sz w:val="28"/>
                <w:szCs w:val="28"/>
                <w:highlight w:val="none"/>
              </w:rPr>
            </w:pPr>
            <w:r>
              <w:rPr>
                <w:rFonts w:hint="eastAsia" w:ascii="宋体" w:hAnsi="宋体"/>
                <w:sz w:val="28"/>
                <w:szCs w:val="28"/>
                <w:highlight w:val="none"/>
              </w:rPr>
              <w:t>202</w:t>
            </w:r>
            <w:r>
              <w:rPr>
                <w:rFonts w:hint="eastAsia" w:ascii="宋体" w:hAnsi="宋体"/>
                <w:sz w:val="28"/>
                <w:szCs w:val="28"/>
                <w:highlight w:val="none"/>
                <w:lang w:val="en-US" w:eastAsia="zh-CN"/>
              </w:rPr>
              <w:t>5</w:t>
            </w:r>
            <w:r>
              <w:rPr>
                <w:rFonts w:hint="eastAsia" w:ascii="宋体" w:hAnsi="宋体"/>
                <w:sz w:val="28"/>
                <w:szCs w:val="28"/>
                <w:highlight w:val="none"/>
              </w:rPr>
              <w:t>年</w:t>
            </w:r>
            <w:r>
              <w:rPr>
                <w:rFonts w:hint="eastAsia" w:ascii="宋体" w:hAnsi="宋体"/>
                <w:sz w:val="28"/>
                <w:szCs w:val="28"/>
                <w:highlight w:val="none"/>
                <w:lang w:val="en-US" w:eastAsia="zh-CN"/>
              </w:rPr>
              <w:t>8</w:t>
            </w:r>
            <w:r>
              <w:rPr>
                <w:rFonts w:hint="eastAsia" w:ascii="宋体" w:hAnsi="宋体"/>
                <w:sz w:val="28"/>
                <w:szCs w:val="28"/>
                <w:highlight w:val="none"/>
              </w:rPr>
              <w:t>月</w:t>
            </w:r>
          </w:p>
          <w:p w14:paraId="4EDF8AEB">
            <w:pPr>
              <w:pStyle w:val="2"/>
              <w:ind w:firstLine="420"/>
              <w:rPr>
                <w:highlight w:val="none"/>
              </w:rPr>
            </w:pPr>
          </w:p>
        </w:tc>
      </w:tr>
    </w:tbl>
    <w:p w14:paraId="2D7DD9E9">
      <w:pPr>
        <w:rPr>
          <w:highlight w:val="none"/>
        </w:rPr>
      </w:pPr>
      <w:r>
        <w:rPr>
          <w:highlight w:val="none"/>
        </w:rPr>
        <w:br w:type="page"/>
      </w:r>
    </w:p>
    <w:p w14:paraId="034D9A8E">
      <w:pPr>
        <w:keepNext/>
        <w:keepLines/>
        <w:spacing w:before="200" w:after="200" w:line="600" w:lineRule="exact"/>
        <w:outlineLvl w:val="0"/>
        <w:rPr>
          <w:rFonts w:ascii="黑体" w:hAnsi="黑体" w:eastAsia="黑体"/>
          <w:b/>
          <w:bCs/>
          <w:color w:val="000000"/>
          <w:kern w:val="44"/>
          <w:sz w:val="28"/>
          <w:szCs w:val="28"/>
          <w:highlight w:val="none"/>
        </w:rPr>
      </w:pPr>
      <w:bookmarkStart w:id="918" w:name="OLE_LINK25"/>
      <w:bookmarkStart w:id="919" w:name="OLE_LINK24"/>
      <w:r>
        <w:rPr>
          <w:rFonts w:hint="eastAsia" w:ascii="黑体" w:hAnsi="黑体" w:eastAsia="黑体"/>
          <w:b/>
          <w:bCs/>
          <w:color w:val="000000"/>
          <w:kern w:val="44"/>
          <w:sz w:val="36"/>
          <w:szCs w:val="28"/>
          <w:highlight w:val="none"/>
        </w:rPr>
        <w:t>附件1 关于联合惩戒失信行为加强信用查询管理的通知</w:t>
      </w:r>
    </w:p>
    <w:p w14:paraId="7D78D1E5">
      <w:pPr>
        <w:adjustRightInd w:val="0"/>
        <w:snapToGrid w:val="0"/>
        <w:spacing w:line="560" w:lineRule="exact"/>
        <w:ind w:firstLine="562" w:firstLineChars="200"/>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一、失信行为联合惩戒的范围和查询渠道</w:t>
      </w:r>
    </w:p>
    <w:p w14:paraId="2BD71219">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在我市公共资源交易活动中对存在下列失信行为的投标人、法定代表人及其项目经理（建造师）实施联合惩戒，禁止参与我市公共资源交易活动。</w:t>
      </w:r>
    </w:p>
    <w:p w14:paraId="28C6AAAB">
      <w:pPr>
        <w:adjustRightInd w:val="0"/>
        <w:snapToGrid w:val="0"/>
        <w:spacing w:line="560" w:lineRule="exact"/>
        <w:ind w:firstLine="562" w:firstLineChars="200"/>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（一）工程建设项目</w:t>
      </w:r>
    </w:p>
    <w:bookmarkEnd w:id="918"/>
    <w:bookmarkEnd w:id="919"/>
    <w:p w14:paraId="7F29E750">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1、“信用中国”网站（www.creditchina.gov.cn）查询</w:t>
      </w:r>
      <w:bookmarkStart w:id="920" w:name="OLE_LINK103"/>
      <w:bookmarkStart w:id="921" w:name="OLE_LINK93"/>
      <w:bookmarkStart w:id="922" w:name="OLE_LINK92"/>
      <w:bookmarkStart w:id="923" w:name="OLE_LINK91"/>
      <w:r>
        <w:rPr>
          <w:rFonts w:hint="eastAsia" w:ascii="仿宋_GB2312" w:hAnsi="宋体" w:eastAsia="仿宋_GB2312"/>
          <w:color w:val="000000"/>
          <w:sz w:val="28"/>
          <w:szCs w:val="28"/>
          <w:highlight w:val="none"/>
        </w:rPr>
        <w:t>投标人、法定代表人及其项目经理(建造师)</w:t>
      </w:r>
      <w:bookmarkEnd w:id="920"/>
      <w:bookmarkEnd w:id="921"/>
      <w:bookmarkEnd w:id="922"/>
      <w:bookmarkEnd w:id="923"/>
      <w:r>
        <w:rPr>
          <w:rFonts w:hint="eastAsia" w:ascii="仿宋_GB2312" w:hAnsi="宋体" w:eastAsia="仿宋_GB2312"/>
          <w:color w:val="000000"/>
          <w:sz w:val="28"/>
          <w:szCs w:val="28"/>
          <w:highlight w:val="none"/>
        </w:rPr>
        <w:t>以下失信行为：</w:t>
      </w:r>
    </w:p>
    <w:p w14:paraId="39E02CAC">
      <w:pPr>
        <w:adjustRightInd w:val="0"/>
        <w:snapToGrid w:val="0"/>
        <w:spacing w:line="560" w:lineRule="exact"/>
        <w:ind w:firstLine="560" w:firstLineChars="200"/>
        <w:rPr>
          <w:rFonts w:hint="eastAsia" w:ascii="仿宋_GB2312" w:hAnsi="宋体" w:eastAsia="仿宋_GB2312"/>
          <w:color w:val="000000"/>
          <w:sz w:val="28"/>
          <w:szCs w:val="28"/>
          <w:highlight w:val="none"/>
        </w:rPr>
      </w:pPr>
      <w:bookmarkStart w:id="924" w:name="OLE_LINK86"/>
      <w:bookmarkStart w:id="925" w:name="OLE_LINK119"/>
      <w:bookmarkStart w:id="926" w:name="OLE_LINK21"/>
      <w:bookmarkStart w:id="927" w:name="OLE_LINK94"/>
      <w:bookmarkStart w:id="928" w:name="OLE_LINK87"/>
      <w:r>
        <w:rPr>
          <w:rFonts w:hint="eastAsia" w:ascii="仿宋_GB2312" w:hAnsi="宋体" w:eastAsia="仿宋_GB2312"/>
          <w:color w:val="000000"/>
          <w:sz w:val="28"/>
          <w:szCs w:val="28"/>
          <w:highlight w:val="none"/>
        </w:rPr>
        <w:t>①被列入“失信被执行人”的;</w:t>
      </w:r>
    </w:p>
    <w:p w14:paraId="7047C0E8">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②被列入</w:t>
      </w:r>
      <w:bookmarkStart w:id="929" w:name="OLE_LINK116"/>
      <w:bookmarkStart w:id="930" w:name="OLE_LINK117"/>
      <w:bookmarkStart w:id="931" w:name="OLE_LINK118"/>
      <w:bookmarkStart w:id="932" w:name="OLE_LINK115"/>
      <w:r>
        <w:rPr>
          <w:rFonts w:hint="eastAsia" w:ascii="仿宋_GB2312" w:hAnsi="宋体" w:eastAsia="仿宋_GB2312"/>
          <w:color w:val="000000"/>
          <w:sz w:val="28"/>
          <w:szCs w:val="28"/>
          <w:highlight w:val="none"/>
        </w:rPr>
        <w:t>“重大税收违法失信主体”</w:t>
      </w:r>
      <w:bookmarkEnd w:id="929"/>
      <w:bookmarkEnd w:id="930"/>
      <w:bookmarkEnd w:id="931"/>
      <w:bookmarkEnd w:id="932"/>
      <w:r>
        <w:rPr>
          <w:rFonts w:hint="eastAsia" w:ascii="仿宋_GB2312" w:hAnsi="宋体" w:eastAsia="仿宋_GB2312"/>
          <w:color w:val="000000"/>
          <w:sz w:val="28"/>
          <w:szCs w:val="28"/>
          <w:highlight w:val="none"/>
        </w:rPr>
        <w:t>的；</w:t>
      </w:r>
    </w:p>
    <w:p w14:paraId="7DC992D2">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③被列入“拖欠</w:t>
      </w:r>
      <w:bookmarkStart w:id="933" w:name="OLE_LINK85"/>
      <w:bookmarkStart w:id="934" w:name="OLE_LINK84"/>
      <w:r>
        <w:rPr>
          <w:rFonts w:hint="eastAsia" w:ascii="仿宋_GB2312" w:hAnsi="宋体" w:eastAsia="仿宋_GB2312"/>
          <w:color w:val="000000"/>
          <w:sz w:val="28"/>
          <w:szCs w:val="28"/>
          <w:highlight w:val="none"/>
        </w:rPr>
        <w:t>农民工工资失信联合惩戒对象</w:t>
      </w:r>
      <w:bookmarkEnd w:id="933"/>
      <w:bookmarkEnd w:id="934"/>
      <w:r>
        <w:rPr>
          <w:rFonts w:hint="eastAsia" w:ascii="仿宋_GB2312" w:hAnsi="宋体" w:eastAsia="仿宋_GB2312"/>
          <w:color w:val="000000"/>
          <w:sz w:val="28"/>
          <w:szCs w:val="28"/>
          <w:highlight w:val="none"/>
        </w:rPr>
        <w:t>名单”的；</w:t>
      </w:r>
    </w:p>
    <w:p w14:paraId="43D5EFC6">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④被列入 “严重失信主体名单”的；</w:t>
      </w:r>
    </w:p>
    <w:p w14:paraId="7F86043F">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⑤在“信用中国”网站上披露的仍在公示期的严重失信行为(具体行为类别及判定依据见附件2)的。</w:t>
      </w:r>
    </w:p>
    <w:bookmarkEnd w:id="924"/>
    <w:bookmarkEnd w:id="925"/>
    <w:bookmarkEnd w:id="926"/>
    <w:bookmarkEnd w:id="927"/>
    <w:bookmarkEnd w:id="928"/>
    <w:p w14:paraId="1B61F2E2">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2、</w:t>
      </w:r>
      <w:bookmarkStart w:id="935" w:name="OLE_LINK130"/>
      <w:r>
        <w:rPr>
          <w:rFonts w:hint="eastAsia" w:ascii="仿宋_GB2312" w:hAnsi="宋体" w:eastAsia="仿宋_GB2312"/>
          <w:color w:val="000000"/>
          <w:sz w:val="28"/>
          <w:szCs w:val="28"/>
          <w:highlight w:val="none"/>
        </w:rPr>
        <w:t>国家企业信用信息公示系统网站</w:t>
      </w:r>
      <w:bookmarkEnd w:id="935"/>
      <w:r>
        <w:rPr>
          <w:rFonts w:hint="eastAsia" w:ascii="仿宋_GB2312" w:hAnsi="宋体" w:eastAsia="仿宋_GB2312"/>
          <w:color w:val="000000"/>
          <w:sz w:val="28"/>
          <w:szCs w:val="28"/>
          <w:highlight w:val="none"/>
        </w:rPr>
        <w:t>（</w:t>
      </w:r>
      <w:r>
        <w:rPr>
          <w:color w:val="000000"/>
          <w:highlight w:val="none"/>
        </w:rPr>
        <w:fldChar w:fldCharType="begin"/>
      </w:r>
      <w:r>
        <w:rPr>
          <w:color w:val="000000"/>
          <w:highlight w:val="none"/>
        </w:rPr>
        <w:instrText xml:space="preserve"> </w:instrText>
      </w:r>
      <w:r>
        <w:rPr>
          <w:rFonts w:hint="eastAsia"/>
          <w:color w:val="000000"/>
          <w:highlight w:val="none"/>
        </w:rPr>
        <w:instrText xml:space="preserve">HYPERLINK "http://www.gsxt.gov.cn）查询"</w:instrText>
      </w:r>
      <w:r>
        <w:rPr>
          <w:color w:val="000000"/>
          <w:highlight w:val="none"/>
        </w:rPr>
        <w:instrText xml:space="preserve"> </w:instrText>
      </w:r>
      <w:r>
        <w:rPr>
          <w:color w:val="000000"/>
          <w:highlight w:val="none"/>
        </w:rPr>
        <w:fldChar w:fldCharType="separate"/>
      </w:r>
      <w:bookmarkStart w:id="936" w:name="OLE_LINK90"/>
      <w:bookmarkStart w:id="937" w:name="OLE_LINK89"/>
      <w:r>
        <w:rPr>
          <w:rStyle w:val="58"/>
          <w:rFonts w:hint="eastAsia" w:ascii="仿宋_GB2312" w:hAnsi="宋体" w:eastAsia="仿宋_GB2312"/>
          <w:color w:val="000000"/>
          <w:sz w:val="28"/>
          <w:szCs w:val="28"/>
          <w:highlight w:val="none"/>
        </w:rPr>
        <w:t>www.gsxt.gov.cn</w:t>
      </w:r>
      <w:bookmarkEnd w:id="936"/>
      <w:bookmarkEnd w:id="937"/>
      <w:r>
        <w:rPr>
          <w:rStyle w:val="58"/>
          <w:rFonts w:hint="eastAsia" w:ascii="仿宋_GB2312" w:hAnsi="宋体" w:eastAsia="仿宋_GB2312"/>
          <w:color w:val="000000"/>
          <w:sz w:val="28"/>
          <w:szCs w:val="28"/>
          <w:highlight w:val="none"/>
        </w:rPr>
        <w:t>）</w:t>
      </w:r>
      <w:r>
        <w:rPr>
          <w:color w:val="000000"/>
          <w:highlight w:val="none"/>
        </w:rPr>
        <w:fldChar w:fldCharType="end"/>
      </w:r>
      <w:r>
        <w:rPr>
          <w:rFonts w:hint="eastAsia" w:ascii="仿宋_GB2312" w:hAnsi="宋体" w:eastAsia="仿宋_GB2312"/>
          <w:color w:val="000000"/>
          <w:sz w:val="28"/>
          <w:szCs w:val="28"/>
          <w:highlight w:val="none"/>
        </w:rPr>
        <w:t>查询投标人以下失信行为：</w:t>
      </w:r>
    </w:p>
    <w:p w14:paraId="2345EFB3">
      <w:pPr>
        <w:adjustRightInd w:val="0"/>
        <w:snapToGrid w:val="0"/>
        <w:spacing w:line="560" w:lineRule="exact"/>
        <w:ind w:firstLine="560" w:firstLineChars="200"/>
        <w:rPr>
          <w:rFonts w:hint="eastAsia" w:ascii="仿宋_GB2312" w:hAnsi="宋体" w:eastAsia="仿宋_GB2312"/>
          <w:color w:val="000000"/>
          <w:sz w:val="28"/>
          <w:szCs w:val="28"/>
          <w:highlight w:val="none"/>
        </w:rPr>
      </w:pPr>
      <w:bookmarkStart w:id="938" w:name="OLE_LINK122"/>
      <w:bookmarkStart w:id="939" w:name="OLE_LINK121"/>
      <w:bookmarkStart w:id="940" w:name="OLE_LINK120"/>
      <w:r>
        <w:rPr>
          <w:rFonts w:hint="eastAsia" w:ascii="仿宋_GB2312" w:hAnsi="宋体" w:eastAsia="仿宋_GB2312"/>
          <w:color w:val="000000"/>
          <w:sz w:val="28"/>
          <w:szCs w:val="28"/>
          <w:highlight w:val="none"/>
        </w:rPr>
        <w:t>①被列入“经营异常名录”或者“严重违法失信名单”的。</w:t>
      </w:r>
      <w:bookmarkEnd w:id="938"/>
      <w:bookmarkEnd w:id="939"/>
      <w:bookmarkEnd w:id="940"/>
    </w:p>
    <w:p w14:paraId="034FA393">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3、由</w:t>
      </w:r>
      <w:r>
        <w:rPr>
          <w:rFonts w:hint="eastAsia" w:ascii="仿宋_GB2312" w:hAnsi="宋体" w:eastAsia="仿宋_GB2312"/>
          <w:color w:val="000000"/>
          <w:kern w:val="0"/>
          <w:sz w:val="28"/>
          <w:szCs w:val="28"/>
          <w:highlight w:val="none"/>
        </w:rPr>
        <w:t>投标人、法定代表人及其项目经理(建造师)</w:t>
      </w:r>
      <w:r>
        <w:rPr>
          <w:rFonts w:hint="eastAsia" w:ascii="仿宋_GB2312" w:hAnsi="宋体" w:eastAsia="仿宋_GB2312"/>
          <w:color w:val="000000"/>
          <w:sz w:val="28"/>
          <w:szCs w:val="28"/>
          <w:highlight w:val="none"/>
        </w:rPr>
        <w:t>进行承诺，不进行现场网上信用查询的失信行为：</w:t>
      </w:r>
    </w:p>
    <w:p w14:paraId="003358AB">
      <w:pPr>
        <w:adjustRightInd w:val="0"/>
        <w:snapToGrid w:val="0"/>
        <w:spacing w:line="560" w:lineRule="exact"/>
        <w:ind w:firstLine="560" w:firstLineChars="200"/>
        <w:rPr>
          <w:rFonts w:hint="eastAsia" w:ascii="仿宋_GB2312" w:hAnsi="宋体" w:eastAsia="仿宋_GB2312" w:cs="楷体"/>
          <w:color w:val="000000"/>
          <w:sz w:val="28"/>
          <w:szCs w:val="28"/>
          <w:highlight w:val="none"/>
        </w:rPr>
      </w:pPr>
      <w:bookmarkStart w:id="941" w:name="OLE_LINK123"/>
      <w:bookmarkStart w:id="942" w:name="OLE_LINK124"/>
      <w:r>
        <w:rPr>
          <w:rFonts w:hint="eastAsia" w:ascii="仿宋_GB2312" w:hAnsi="宋体" w:eastAsia="仿宋_GB2312"/>
          <w:color w:val="000000"/>
          <w:sz w:val="28"/>
          <w:szCs w:val="28"/>
          <w:highlight w:val="none"/>
        </w:rPr>
        <w:t>①</w:t>
      </w:r>
      <w:r>
        <w:rPr>
          <w:rFonts w:hint="eastAsia" w:ascii="仿宋_GB2312" w:hAnsi="宋体" w:eastAsia="仿宋_GB2312" w:cs="楷体"/>
          <w:color w:val="000000"/>
          <w:sz w:val="28"/>
          <w:szCs w:val="28"/>
          <w:highlight w:val="none"/>
        </w:rPr>
        <w:t>前三年有行贿犯罪行为的单位和个人；</w:t>
      </w:r>
    </w:p>
    <w:p w14:paraId="39670212">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②被滁州市县两级公管部门取消在一定期限内的投标资格且在取消期限内的；</w:t>
      </w:r>
    </w:p>
    <w:p w14:paraId="4FBE87EC">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③被滁州市县两级各行业主管部门取消在一定期限内的投标资格且在取消期限内的；</w:t>
      </w:r>
    </w:p>
    <w:p w14:paraId="5AD426C5">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④因拖欠农民工工资被</w:t>
      </w:r>
      <w:bookmarkStart w:id="943" w:name="OLE_LINK107"/>
      <w:bookmarkStart w:id="944" w:name="OLE_LINK108"/>
      <w:r>
        <w:rPr>
          <w:rFonts w:hint="eastAsia" w:ascii="仿宋_GB2312" w:hAnsi="宋体" w:eastAsia="仿宋_GB2312"/>
          <w:color w:val="000000"/>
          <w:sz w:val="28"/>
          <w:szCs w:val="28"/>
          <w:highlight w:val="none"/>
        </w:rPr>
        <w:t>县级及以上有关行政主管部门限制投标资格且在限制期限内的</w:t>
      </w:r>
      <w:bookmarkEnd w:id="943"/>
      <w:bookmarkEnd w:id="944"/>
      <w:r>
        <w:rPr>
          <w:rFonts w:hint="eastAsia" w:ascii="仿宋_GB2312" w:hAnsi="宋体" w:eastAsia="仿宋_GB2312"/>
          <w:color w:val="000000"/>
          <w:sz w:val="28"/>
          <w:szCs w:val="28"/>
          <w:highlight w:val="none"/>
        </w:rPr>
        <w:t>；</w:t>
      </w:r>
    </w:p>
    <w:p w14:paraId="3C3CBF73">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⑤被列入省级、市级农民工工资支付异常名录的施工企业，在限制其参加全市范围内房建和市政工程建设项目投标的期限内的；列入县级异常名录的施工企业，在限制其参加本行政区域内房建和市政建设项目投标的期限内的。</w:t>
      </w:r>
    </w:p>
    <w:bookmarkEnd w:id="941"/>
    <w:bookmarkEnd w:id="942"/>
    <w:p w14:paraId="374AA87B">
      <w:pPr>
        <w:adjustRightInd w:val="0"/>
        <w:snapToGrid w:val="0"/>
        <w:spacing w:line="560" w:lineRule="exact"/>
        <w:ind w:firstLine="562" w:firstLineChars="200"/>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（二）政府采购项目</w:t>
      </w:r>
    </w:p>
    <w:p w14:paraId="4C8C011D">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1、“信用中国”网站</w:t>
      </w:r>
      <w:r>
        <w:rPr>
          <w:rFonts w:hint="eastAsia" w:ascii="仿宋" w:hAnsi="仿宋" w:eastAsia="仿宋"/>
          <w:color w:val="000000"/>
          <w:sz w:val="28"/>
          <w:szCs w:val="28"/>
          <w:highlight w:val="none"/>
        </w:rPr>
        <w:t>（</w:t>
      </w:r>
      <w:r>
        <w:rPr>
          <w:rStyle w:val="58"/>
          <w:rFonts w:hint="eastAsia" w:ascii="仿宋" w:hAnsi="仿宋" w:eastAsia="仿宋"/>
          <w:color w:val="000000"/>
          <w:sz w:val="28"/>
          <w:szCs w:val="28"/>
          <w:highlight w:val="none"/>
        </w:rPr>
        <w:t>www.creditchina.gov.cn</w:t>
      </w:r>
      <w:r>
        <w:rPr>
          <w:rFonts w:hint="eastAsia" w:ascii="仿宋" w:hAnsi="仿宋" w:eastAsia="仿宋"/>
          <w:color w:val="000000"/>
          <w:sz w:val="28"/>
          <w:szCs w:val="28"/>
          <w:highlight w:val="none"/>
        </w:rPr>
        <w:t>）</w:t>
      </w:r>
      <w:r>
        <w:rPr>
          <w:rFonts w:hint="eastAsia" w:ascii="仿宋_GB2312" w:hAnsi="宋体" w:eastAsia="仿宋_GB2312"/>
          <w:color w:val="000000"/>
          <w:sz w:val="28"/>
          <w:szCs w:val="28"/>
          <w:highlight w:val="none"/>
        </w:rPr>
        <w:t>查询供应商、法定代表人及其项目负责人以下失信行为：</w:t>
      </w:r>
    </w:p>
    <w:p w14:paraId="66110A55">
      <w:pPr>
        <w:adjustRightInd w:val="0"/>
        <w:snapToGrid w:val="0"/>
        <w:spacing w:line="560" w:lineRule="exact"/>
        <w:ind w:firstLine="560" w:firstLineChars="200"/>
        <w:rPr>
          <w:rFonts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①被列入“失信被执行人”的;</w:t>
      </w:r>
    </w:p>
    <w:p w14:paraId="76905306">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②被列入“重大税收违法失信主体”的；</w:t>
      </w:r>
    </w:p>
    <w:p w14:paraId="224CBA47">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③被列入“拖欠农民工工资失信联合惩戒对象名单”的；</w:t>
      </w:r>
    </w:p>
    <w:p w14:paraId="19BC1919">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④被列入 “严重失信主体名单”的；</w:t>
      </w:r>
    </w:p>
    <w:p w14:paraId="2673F94A">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⑤在“信用中国”网站上披露的仍在公示期的严重失信行为(具体行为类别及判定依据见附件2)的。</w:t>
      </w:r>
    </w:p>
    <w:p w14:paraId="3F17E67C">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2、国家企业信用信息公示系统网站</w:t>
      </w:r>
      <w:r>
        <w:rPr>
          <w:rFonts w:hint="eastAsia" w:ascii="仿宋" w:hAnsi="仿宋" w:eastAsia="仿宋"/>
          <w:color w:val="000000"/>
          <w:sz w:val="28"/>
          <w:szCs w:val="28"/>
          <w:highlight w:val="none"/>
        </w:rPr>
        <w:t>（</w:t>
      </w:r>
      <w:r>
        <w:rPr>
          <w:color w:val="000000"/>
          <w:highlight w:val="none"/>
        </w:rPr>
        <w:fldChar w:fldCharType="begin"/>
      </w:r>
      <w:r>
        <w:rPr>
          <w:color w:val="000000"/>
          <w:highlight w:val="none"/>
        </w:rPr>
        <w:instrText xml:space="preserve"> </w:instrText>
      </w:r>
      <w:r>
        <w:rPr>
          <w:rFonts w:hint="eastAsia"/>
          <w:color w:val="000000"/>
          <w:highlight w:val="none"/>
        </w:rPr>
        <w:instrText xml:space="preserve">HYPERLINK "http://www.gsxt.gov.cn）查询"</w:instrText>
      </w:r>
      <w:r>
        <w:rPr>
          <w:color w:val="000000"/>
          <w:highlight w:val="none"/>
        </w:rPr>
        <w:instrText xml:space="preserve"> </w:instrText>
      </w:r>
      <w:r>
        <w:rPr>
          <w:color w:val="000000"/>
          <w:highlight w:val="none"/>
        </w:rPr>
        <w:fldChar w:fldCharType="separate"/>
      </w:r>
      <w:r>
        <w:rPr>
          <w:rStyle w:val="58"/>
          <w:rFonts w:hint="eastAsia" w:ascii="仿宋" w:hAnsi="仿宋" w:eastAsia="仿宋"/>
          <w:color w:val="000000"/>
          <w:sz w:val="28"/>
          <w:szCs w:val="28"/>
          <w:highlight w:val="none"/>
        </w:rPr>
        <w:t>www.gsxt.gov.cn）</w:t>
      </w:r>
      <w:r>
        <w:rPr>
          <w:color w:val="000000"/>
          <w:highlight w:val="none"/>
        </w:rPr>
        <w:fldChar w:fldCharType="end"/>
      </w:r>
      <w:r>
        <w:rPr>
          <w:rFonts w:hint="eastAsia" w:ascii="仿宋_GB2312" w:hAnsi="宋体" w:eastAsia="仿宋_GB2312"/>
          <w:color w:val="000000"/>
          <w:sz w:val="28"/>
          <w:szCs w:val="28"/>
          <w:highlight w:val="none"/>
        </w:rPr>
        <w:t>查询供应商以下失信行为：</w:t>
      </w:r>
    </w:p>
    <w:p w14:paraId="3D63D8A1">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①</w:t>
      </w:r>
      <w:bookmarkStart w:id="945" w:name="OLE_LINK101"/>
      <w:bookmarkStart w:id="946" w:name="OLE_LINK100"/>
      <w:bookmarkStart w:id="947" w:name="OLE_LINK102"/>
      <w:r>
        <w:rPr>
          <w:rFonts w:hint="eastAsia" w:ascii="仿宋_GB2312" w:hAnsi="宋体" w:eastAsia="仿宋_GB2312"/>
          <w:color w:val="000000"/>
          <w:sz w:val="28"/>
          <w:szCs w:val="28"/>
          <w:highlight w:val="none"/>
        </w:rPr>
        <w:t>被列入“经营异常名录”或者“严重违法失信名单”的</w:t>
      </w:r>
      <w:bookmarkEnd w:id="945"/>
      <w:bookmarkEnd w:id="946"/>
      <w:bookmarkEnd w:id="947"/>
      <w:r>
        <w:rPr>
          <w:rFonts w:hint="eastAsia" w:ascii="仿宋_GB2312" w:hAnsi="宋体" w:eastAsia="仿宋_GB2312"/>
          <w:color w:val="000000"/>
          <w:sz w:val="28"/>
          <w:szCs w:val="28"/>
          <w:highlight w:val="none"/>
        </w:rPr>
        <w:t>。</w:t>
      </w:r>
    </w:p>
    <w:p w14:paraId="5C07D31A">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3、中国政府采购网站</w:t>
      </w:r>
      <w:r>
        <w:rPr>
          <w:rFonts w:hint="eastAsia" w:ascii="仿宋" w:hAnsi="仿宋" w:eastAsia="仿宋"/>
          <w:color w:val="000000"/>
          <w:sz w:val="28"/>
          <w:szCs w:val="28"/>
          <w:highlight w:val="none"/>
        </w:rPr>
        <w:t>（</w:t>
      </w:r>
      <w:bookmarkStart w:id="948" w:name="OLE_LINK95"/>
      <w:bookmarkStart w:id="949" w:name="OLE_LINK96"/>
      <w:r>
        <w:rPr>
          <w:rFonts w:ascii="仿宋" w:hAnsi="仿宋" w:eastAsia="仿宋"/>
          <w:color w:val="000000"/>
          <w:sz w:val="28"/>
          <w:szCs w:val="28"/>
          <w:highlight w:val="none"/>
        </w:rPr>
        <w:fldChar w:fldCharType="begin"/>
      </w:r>
      <w:r>
        <w:rPr>
          <w:rFonts w:ascii="仿宋" w:hAnsi="仿宋" w:eastAsia="仿宋"/>
          <w:color w:val="000000"/>
          <w:sz w:val="28"/>
          <w:szCs w:val="28"/>
          <w:highlight w:val="none"/>
        </w:rPr>
        <w:instrText xml:space="preserve"> HYPERLINK "http://www.ccgp.gov.cn" </w:instrText>
      </w:r>
      <w:r>
        <w:rPr>
          <w:rFonts w:ascii="仿宋" w:hAnsi="仿宋" w:eastAsia="仿宋"/>
          <w:color w:val="000000"/>
          <w:sz w:val="28"/>
          <w:szCs w:val="28"/>
          <w:highlight w:val="none"/>
        </w:rPr>
        <w:fldChar w:fldCharType="separate"/>
      </w:r>
      <w:r>
        <w:rPr>
          <w:rStyle w:val="58"/>
          <w:rFonts w:hint="eastAsia" w:ascii="仿宋" w:hAnsi="仿宋" w:eastAsia="仿宋"/>
          <w:color w:val="000000"/>
          <w:sz w:val="28"/>
          <w:szCs w:val="28"/>
          <w:highlight w:val="none"/>
        </w:rPr>
        <w:t>www.ccgp.gov.cn</w:t>
      </w:r>
      <w:r>
        <w:rPr>
          <w:rFonts w:ascii="仿宋" w:hAnsi="仿宋" w:eastAsia="仿宋"/>
          <w:color w:val="000000"/>
          <w:sz w:val="28"/>
          <w:szCs w:val="28"/>
          <w:highlight w:val="none"/>
        </w:rPr>
        <w:fldChar w:fldCharType="end"/>
      </w:r>
      <w:bookmarkEnd w:id="948"/>
      <w:bookmarkEnd w:id="949"/>
      <w:r>
        <w:rPr>
          <w:rFonts w:hint="eastAsia" w:ascii="仿宋" w:hAnsi="仿宋" w:eastAsia="仿宋"/>
          <w:color w:val="000000"/>
          <w:sz w:val="28"/>
          <w:szCs w:val="28"/>
          <w:highlight w:val="none"/>
        </w:rPr>
        <w:t>）</w:t>
      </w:r>
      <w:r>
        <w:rPr>
          <w:rFonts w:hint="eastAsia" w:ascii="仿宋_GB2312" w:hAnsi="宋体" w:eastAsia="仿宋_GB2312"/>
          <w:color w:val="000000"/>
          <w:sz w:val="28"/>
          <w:szCs w:val="28"/>
          <w:highlight w:val="none"/>
        </w:rPr>
        <w:t>查询以下失信行为：</w:t>
      </w:r>
    </w:p>
    <w:p w14:paraId="2C0E0F88">
      <w:pPr>
        <w:adjustRightInd w:val="0"/>
        <w:snapToGrid w:val="0"/>
        <w:spacing w:line="560" w:lineRule="exact"/>
        <w:ind w:firstLine="560" w:firstLineChars="200"/>
        <w:rPr>
          <w:rFonts w:hint="eastAsia" w:ascii="仿宋_GB2312" w:hAnsi="宋体" w:eastAsia="仿宋_GB2312" w:cs="楷体"/>
          <w:color w:val="000000"/>
          <w:sz w:val="28"/>
          <w:szCs w:val="28"/>
          <w:highlight w:val="none"/>
        </w:rPr>
      </w:pPr>
      <w:r>
        <w:rPr>
          <w:rFonts w:hint="eastAsia" w:ascii="仿宋_GB2312" w:hAnsi="宋体" w:eastAsia="仿宋_GB2312"/>
          <w:color w:val="000000"/>
          <w:sz w:val="28"/>
          <w:szCs w:val="28"/>
          <w:highlight w:val="none"/>
        </w:rPr>
        <w:t>①</w:t>
      </w:r>
      <w:bookmarkStart w:id="950" w:name="OLE_LINK104"/>
      <w:bookmarkStart w:id="951" w:name="OLE_LINK105"/>
      <w:bookmarkStart w:id="952" w:name="OLE_LINK106"/>
      <w:r>
        <w:rPr>
          <w:rFonts w:hint="eastAsia" w:ascii="仿宋_GB2312" w:hAnsi="宋体" w:eastAsia="仿宋_GB2312"/>
          <w:color w:val="000000"/>
          <w:sz w:val="28"/>
          <w:szCs w:val="28"/>
          <w:highlight w:val="none"/>
        </w:rPr>
        <w:t>被列入“政府采购严重违法失信行为信息记录”的</w:t>
      </w:r>
      <w:bookmarkEnd w:id="950"/>
      <w:bookmarkEnd w:id="951"/>
      <w:bookmarkEnd w:id="952"/>
      <w:r>
        <w:rPr>
          <w:rFonts w:hint="eastAsia" w:ascii="仿宋_GB2312" w:hAnsi="宋体" w:eastAsia="仿宋_GB2312" w:cs="楷体"/>
          <w:color w:val="000000"/>
          <w:sz w:val="28"/>
          <w:szCs w:val="28"/>
          <w:highlight w:val="none"/>
        </w:rPr>
        <w:t>。</w:t>
      </w:r>
    </w:p>
    <w:p w14:paraId="3AE2308B">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4、由竞争主体进行承诺，不进行现场网上信用查询的失信行为：</w:t>
      </w:r>
    </w:p>
    <w:p w14:paraId="04F61849">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①</w:t>
      </w:r>
      <w:r>
        <w:rPr>
          <w:rFonts w:hint="eastAsia" w:ascii="仿宋_GB2312" w:hAnsi="宋体" w:eastAsia="仿宋_GB2312" w:cs="楷体"/>
          <w:color w:val="000000"/>
          <w:sz w:val="28"/>
          <w:szCs w:val="28"/>
          <w:highlight w:val="none"/>
        </w:rPr>
        <w:t>前三年有行贿犯罪行为的单位和个人</w:t>
      </w:r>
      <w:r>
        <w:rPr>
          <w:rFonts w:hint="eastAsia" w:ascii="仿宋_GB2312" w:hAnsi="宋体" w:eastAsia="仿宋_GB2312"/>
          <w:color w:val="000000"/>
          <w:sz w:val="28"/>
          <w:szCs w:val="28"/>
          <w:highlight w:val="none"/>
        </w:rPr>
        <w:t>。</w:t>
      </w:r>
    </w:p>
    <w:p w14:paraId="4C55428A">
      <w:pPr>
        <w:adjustRightInd w:val="0"/>
        <w:snapToGrid w:val="0"/>
        <w:spacing w:line="560" w:lineRule="exact"/>
        <w:ind w:firstLine="562" w:firstLineChars="200"/>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二、在开评标活动中的查询程序</w:t>
      </w:r>
    </w:p>
    <w:p w14:paraId="1BF8CF45">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1、实行有限数量制资格审查的项目，由项目单位（代理机构）对入围的投标人、法定代表人及其项目经理（建造师）是否存在上述要求查询的失信行为进行网上核查；若核查结果与投标人承诺不一致，则提交评标委员会取消其入围资格，依次进行替补，并对替补单位进行核查。评审结论以核查后入围的结果重新计算最终评标基准价。</w:t>
      </w:r>
    </w:p>
    <w:p w14:paraId="60E7CEF1">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2、不实行有限数量制资格审查的项目，由项目单位（代理机构）对预中标候选人、法定代表人及其项目经理（建造师）是否存在上述要求查询的失信行为进行网上核查后，提交网站截图等查询记录给评标委员会复核。若核查结果不符合招标文件规定的投标人资格条件信誉要求，由评标委员会取消其预中标候选人资格，并依次替补，再次对替补单位进行核查。如评标现场未发现问题但标后质疑（异议）、投诉发现中标候选人存在信誉问题，则组织评标委员会重新启动复核程序。核查结果不改变原评标基准价。</w:t>
      </w:r>
    </w:p>
    <w:p w14:paraId="6D8223D8">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3、项目单位及其委托的代理机构应当做好信用查询结果截图和记录留存。</w:t>
      </w:r>
    </w:p>
    <w:p w14:paraId="3CA3F24E">
      <w:pPr>
        <w:adjustRightInd w:val="0"/>
        <w:snapToGrid w:val="0"/>
        <w:spacing w:line="560" w:lineRule="exact"/>
        <w:ind w:firstLine="562" w:firstLineChars="200"/>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三、相关要求</w:t>
      </w:r>
    </w:p>
    <w:p w14:paraId="1E376C09">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1、参与公共资源交易活动的竞争主体根据上述范围查询的内容进行自查并承诺，出具《诚信投标承诺书》（诚信投标承诺书包括但不限于上述自查并承诺内容）并注明承诺日期（投标截止时间前5日内）。</w:t>
      </w:r>
    </w:p>
    <w:p w14:paraId="25F921B0">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经核查，竞争主体在承诺日期之前（没有承诺日期的以资格审查日或开标日之前）有上述失信行为进行虚假承诺的，将视作不诚信行为，资格审查委员会或评标委员会及代理机构应当及时报告公共资源监管部门，依法依规予以处理。</w:t>
      </w:r>
    </w:p>
    <w:p w14:paraId="63C0FF21">
      <w:pPr>
        <w:wordWrap w:val="0"/>
        <w:adjustRightInd w:val="0"/>
        <w:snapToGrid w:val="0"/>
        <w:spacing w:line="560" w:lineRule="exact"/>
        <w:ind w:firstLine="560" w:firstLineChars="200"/>
        <w:rPr>
          <w:rFonts w:hint="eastAsia"/>
          <w:color w:val="000000"/>
          <w:highlight w:val="none"/>
        </w:rPr>
      </w:pPr>
      <w:r>
        <w:rPr>
          <w:rFonts w:hint="eastAsia" w:ascii="仿宋_GB2312" w:hAnsi="宋体" w:eastAsia="仿宋_GB2312"/>
          <w:color w:val="000000"/>
          <w:sz w:val="28"/>
          <w:szCs w:val="28"/>
          <w:highlight w:val="none"/>
        </w:rPr>
        <w:t xml:space="preserve">注册地在安徽省内且未在安徽省外开展业务、省外无违法违规行为的企业可通过安徽政务服务网开具由安徽省公共信用信息服务中心出具的《公共信用信息报告（无违法违规证明版或核查版）》代替《诚信投标承诺书》。《公共信用信息报告（无违法违规证明版或核查版）》可通过 “信用中国(安徽)”网站信用报告核验系统 ( </w:t>
      </w:r>
      <w:r>
        <w:rPr>
          <w:color w:val="000000"/>
          <w:highlight w:val="none"/>
        </w:rPr>
        <w:fldChar w:fldCharType="begin"/>
      </w:r>
      <w:r>
        <w:rPr>
          <w:color w:val="000000"/>
          <w:highlight w:val="none"/>
        </w:rPr>
        <w:instrText xml:space="preserve"> HYPERLINK "https://credit.ah.gov.cn/xinyong-fuwu/xvbahv/index.html" </w:instrText>
      </w:r>
      <w:r>
        <w:rPr>
          <w:color w:val="000000"/>
          <w:highlight w:val="none"/>
        </w:rPr>
        <w:fldChar w:fldCharType="separate"/>
      </w:r>
      <w:r>
        <w:rPr>
          <w:rStyle w:val="58"/>
          <w:rFonts w:hint="eastAsia" w:ascii="仿宋_GB2312" w:hAnsi="宋体" w:eastAsia="仿宋_GB2312"/>
          <w:color w:val="000000"/>
          <w:sz w:val="28"/>
          <w:szCs w:val="28"/>
          <w:highlight w:val="none"/>
        </w:rPr>
        <w:t>https://credit.ah.gov.cn/xinyong-fuwu/xvbahv/index.html</w:t>
      </w:r>
      <w:r>
        <w:rPr>
          <w:color w:val="000000"/>
          <w:highlight w:val="none"/>
        </w:rPr>
        <w:fldChar w:fldCharType="end"/>
      </w:r>
      <w:r>
        <w:rPr>
          <w:rFonts w:hint="eastAsia" w:ascii="仿宋_GB2312" w:hAnsi="宋体" w:eastAsia="仿宋_GB2312"/>
          <w:color w:val="000000"/>
          <w:sz w:val="28"/>
          <w:szCs w:val="28"/>
          <w:highlight w:val="none"/>
        </w:rPr>
        <w:t>)进行核验。核验不一致或提交《公共信用信息报告（无违法违规证明版或核查版）》的企业在省外有失信行为的将视作不诚信行为，资格审查委员会或评标委员会及代理机构应当及时报告公共资源监管部门，依法依规予以处理。</w:t>
      </w:r>
    </w:p>
    <w:p w14:paraId="7BF6EE59">
      <w:pPr>
        <w:adjustRightInd w:val="0"/>
        <w:snapToGrid w:val="0"/>
        <w:spacing w:line="560" w:lineRule="exact"/>
        <w:ind w:firstLine="562" w:firstLineChars="200"/>
        <w:rPr>
          <w:rFonts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2、“信用中国”查询的严重失信行为判定依据为各行业主管部门下发的联合惩戒文件中规定的行为（按附件2执行）。</w:t>
      </w:r>
    </w:p>
    <w:p w14:paraId="0B921086">
      <w:pPr>
        <w:adjustRightInd w:val="0"/>
        <w:snapToGrid w:val="0"/>
        <w:spacing w:line="560" w:lineRule="exact"/>
        <w:ind w:firstLine="560" w:firstLineChars="200"/>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3、资格预审的项目以递交资格预审申请文件截止时间查询为准；资格后审的项目以递交投标文件截止时间查询为准。</w:t>
      </w:r>
    </w:p>
    <w:p w14:paraId="249D7A08">
      <w:pPr>
        <w:ind w:right="960"/>
        <w:rPr>
          <w:rFonts w:hint="eastAsia" w:ascii="仿宋" w:hAnsi="仿宋" w:eastAsia="仿宋"/>
          <w:color w:val="000000"/>
          <w:sz w:val="32"/>
          <w:szCs w:val="32"/>
          <w:highlight w:val="none"/>
        </w:rPr>
      </w:pPr>
    </w:p>
    <w:p w14:paraId="6A4FB55B">
      <w:pPr>
        <w:ind w:right="960"/>
        <w:rPr>
          <w:rFonts w:hint="eastAsia" w:ascii="仿宋" w:hAnsi="仿宋" w:eastAsia="仿宋"/>
          <w:color w:val="000000"/>
          <w:sz w:val="32"/>
          <w:szCs w:val="32"/>
          <w:highlight w:val="none"/>
        </w:rPr>
      </w:pPr>
    </w:p>
    <w:p w14:paraId="249B4F5E">
      <w:pPr>
        <w:ind w:right="960"/>
        <w:rPr>
          <w:rFonts w:hint="eastAsia" w:ascii="仿宋" w:hAnsi="仿宋" w:eastAsia="仿宋"/>
          <w:color w:val="000000"/>
          <w:sz w:val="32"/>
          <w:szCs w:val="32"/>
          <w:highlight w:val="none"/>
        </w:rPr>
      </w:pPr>
    </w:p>
    <w:p w14:paraId="67A9ADF0">
      <w:pPr>
        <w:ind w:right="960"/>
        <w:rPr>
          <w:rFonts w:hint="eastAsia" w:ascii="仿宋" w:hAnsi="仿宋" w:eastAsia="仿宋"/>
          <w:color w:val="000000"/>
          <w:sz w:val="32"/>
          <w:szCs w:val="32"/>
          <w:highlight w:val="none"/>
        </w:rPr>
      </w:pPr>
    </w:p>
    <w:p w14:paraId="3FEE74D5">
      <w:pPr>
        <w:ind w:right="960"/>
        <w:rPr>
          <w:rFonts w:hint="eastAsia" w:ascii="仿宋" w:hAnsi="仿宋" w:eastAsia="仿宋"/>
          <w:color w:val="000000"/>
          <w:sz w:val="32"/>
          <w:szCs w:val="32"/>
          <w:highlight w:val="none"/>
        </w:rPr>
      </w:pPr>
    </w:p>
    <w:p w14:paraId="7AF46EEF">
      <w:pPr>
        <w:ind w:right="960"/>
        <w:rPr>
          <w:rFonts w:hint="eastAsia" w:ascii="仿宋" w:hAnsi="仿宋" w:eastAsia="仿宋"/>
          <w:color w:val="000000"/>
          <w:sz w:val="32"/>
          <w:szCs w:val="32"/>
          <w:highlight w:val="none"/>
        </w:rPr>
      </w:pPr>
    </w:p>
    <w:p w14:paraId="687E9AFF">
      <w:pPr>
        <w:ind w:right="960"/>
        <w:rPr>
          <w:rFonts w:hint="eastAsia" w:ascii="仿宋" w:hAnsi="仿宋" w:eastAsia="仿宋"/>
          <w:color w:val="000000"/>
          <w:sz w:val="32"/>
          <w:szCs w:val="32"/>
          <w:highlight w:val="none"/>
        </w:rPr>
      </w:pPr>
    </w:p>
    <w:p w14:paraId="0D7FF19D">
      <w:pPr>
        <w:ind w:right="960"/>
        <w:rPr>
          <w:rFonts w:hint="eastAsia" w:ascii="仿宋" w:hAnsi="仿宋" w:eastAsia="仿宋"/>
          <w:color w:val="000000"/>
          <w:sz w:val="32"/>
          <w:szCs w:val="32"/>
          <w:highlight w:val="none"/>
        </w:rPr>
      </w:pPr>
    </w:p>
    <w:p w14:paraId="061F0099">
      <w:pPr>
        <w:pStyle w:val="2"/>
        <w:rPr>
          <w:rFonts w:hint="eastAsia"/>
          <w:color w:val="000000"/>
          <w:highlight w:val="none"/>
        </w:rPr>
      </w:pPr>
    </w:p>
    <w:p w14:paraId="2100EB53">
      <w:pPr>
        <w:rPr>
          <w:color w:val="000000"/>
          <w:highlight w:val="none"/>
        </w:rPr>
      </w:pPr>
    </w:p>
    <w:p w14:paraId="2D5FFC9A">
      <w:pPr>
        <w:pStyle w:val="2"/>
        <w:rPr>
          <w:color w:val="000000"/>
          <w:highlight w:val="none"/>
        </w:rPr>
      </w:pPr>
    </w:p>
    <w:p w14:paraId="034683CA">
      <w:pPr>
        <w:rPr>
          <w:color w:val="000000"/>
          <w:highlight w:val="none"/>
        </w:rPr>
      </w:pPr>
    </w:p>
    <w:p w14:paraId="19A45D62">
      <w:pPr>
        <w:pStyle w:val="2"/>
        <w:rPr>
          <w:color w:val="000000"/>
          <w:highlight w:val="none"/>
        </w:rPr>
      </w:pPr>
    </w:p>
    <w:p w14:paraId="1927032A">
      <w:pPr>
        <w:rPr>
          <w:color w:val="000000"/>
          <w:highlight w:val="none"/>
        </w:rPr>
      </w:pPr>
    </w:p>
    <w:p w14:paraId="2F2382EE">
      <w:pPr>
        <w:pStyle w:val="2"/>
        <w:rPr>
          <w:color w:val="000000"/>
          <w:highlight w:val="none"/>
        </w:rPr>
      </w:pPr>
    </w:p>
    <w:p w14:paraId="55C6220E">
      <w:pPr>
        <w:rPr>
          <w:color w:val="000000"/>
          <w:highlight w:val="none"/>
        </w:rPr>
      </w:pPr>
    </w:p>
    <w:p w14:paraId="1FC6910E">
      <w:pPr>
        <w:ind w:right="960"/>
        <w:rPr>
          <w:rFonts w:ascii="仿宋" w:hAnsi="仿宋" w:eastAsia="仿宋"/>
          <w:color w:val="000000"/>
          <w:sz w:val="32"/>
          <w:szCs w:val="32"/>
          <w:highlight w:val="none"/>
        </w:rPr>
      </w:pPr>
    </w:p>
    <w:p w14:paraId="5C6A6E33">
      <w:pPr>
        <w:keepNext/>
        <w:keepLines/>
        <w:spacing w:before="200" w:after="200" w:line="600" w:lineRule="exact"/>
        <w:outlineLvl w:val="0"/>
        <w:rPr>
          <w:rFonts w:hint="eastAsia" w:ascii="黑体" w:hAnsi="黑体" w:eastAsia="黑体"/>
          <w:b/>
          <w:bCs/>
          <w:color w:val="000000"/>
          <w:kern w:val="44"/>
          <w:sz w:val="36"/>
          <w:szCs w:val="28"/>
          <w:highlight w:val="none"/>
        </w:rPr>
      </w:pPr>
      <w:bookmarkStart w:id="953" w:name="_Toc95223549"/>
      <w:bookmarkStart w:id="954" w:name="OLE_LINK31"/>
      <w:bookmarkStart w:id="955" w:name="OLE_LINK41"/>
      <w:r>
        <w:rPr>
          <w:rFonts w:hint="eastAsia" w:ascii="黑体" w:hAnsi="黑体" w:eastAsia="黑体"/>
          <w:b/>
          <w:bCs/>
          <w:color w:val="000000"/>
          <w:kern w:val="44"/>
          <w:sz w:val="36"/>
          <w:szCs w:val="28"/>
          <w:highlight w:val="none"/>
        </w:rPr>
        <w:t xml:space="preserve">附件2 </w:t>
      </w:r>
      <w:bookmarkStart w:id="956" w:name="OLE_LINK75"/>
      <w:bookmarkStart w:id="957" w:name="OLE_LINK74"/>
      <w:r>
        <w:rPr>
          <w:rFonts w:hint="eastAsia" w:ascii="黑体" w:hAnsi="黑体" w:eastAsia="黑体"/>
          <w:b/>
          <w:bCs/>
          <w:color w:val="000000"/>
          <w:kern w:val="44"/>
          <w:sz w:val="36"/>
          <w:szCs w:val="28"/>
          <w:highlight w:val="none"/>
        </w:rPr>
        <w:t>“信用中国”查询的严重失信行为</w:t>
      </w:r>
      <w:bookmarkStart w:id="958" w:name="OLE_LINK76"/>
      <w:bookmarkStart w:id="959" w:name="OLE_LINK38"/>
      <w:bookmarkStart w:id="960" w:name="OLE_LINK40"/>
      <w:bookmarkStart w:id="961" w:name="OLE_LINK39"/>
      <w:r>
        <w:rPr>
          <w:rFonts w:hint="eastAsia" w:ascii="黑体" w:hAnsi="黑体" w:eastAsia="黑体"/>
          <w:b/>
          <w:bCs/>
          <w:color w:val="000000"/>
          <w:kern w:val="44"/>
          <w:sz w:val="36"/>
          <w:szCs w:val="28"/>
          <w:highlight w:val="none"/>
        </w:rPr>
        <w:t>类别及判定依据</w:t>
      </w:r>
      <w:bookmarkEnd w:id="953"/>
      <w:bookmarkEnd w:id="956"/>
      <w:bookmarkEnd w:id="957"/>
      <w:bookmarkEnd w:id="958"/>
      <w:bookmarkEnd w:id="959"/>
      <w:bookmarkEnd w:id="960"/>
      <w:bookmarkEnd w:id="961"/>
    </w:p>
    <w:bookmarkEnd w:id="954"/>
    <w:bookmarkEnd w:id="955"/>
    <w:p w14:paraId="628BE8C0">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32"/>
          <w:szCs w:val="32"/>
          <w:highlight w:val="none"/>
        </w:rPr>
        <w:t>“</w:t>
      </w:r>
      <w:r>
        <w:rPr>
          <w:rFonts w:hint="eastAsia" w:ascii="仿宋_GB2312" w:hAnsi="宋体" w:eastAsia="仿宋_GB2312"/>
          <w:color w:val="000000"/>
          <w:sz w:val="28"/>
          <w:szCs w:val="28"/>
          <w:highlight w:val="none"/>
        </w:rPr>
        <w:t>信用中国”查询的严重失信行为判定依据为各行业主管部门下发的联合惩戒文件中规定的行为。下面将部分类别的严重失信行为列举如下：</w:t>
      </w:r>
    </w:p>
    <w:p w14:paraId="2F1F6A7C">
      <w:pPr>
        <w:adjustRightInd w:val="0"/>
        <w:snapToGrid w:val="0"/>
        <w:spacing w:line="560" w:lineRule="exact"/>
        <w:ind w:firstLine="645"/>
        <w:jc w:val="left"/>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一、安全生产领域严重失信行为：</w:t>
      </w:r>
    </w:p>
    <w:p w14:paraId="25EB2755">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（一）下列发生生产安全事故的生产经营单位及其有关人员应当列入严重失信主体名单：</w:t>
      </w:r>
    </w:p>
    <w:p w14:paraId="00AB77BA">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1、发生特别重大、重大生产安全事故的生产经营单位及其主要负责人，以及经调查认定对该事故发生负有责任，应当列入名单的其他单位和人员；</w:t>
      </w:r>
    </w:p>
    <w:p w14:paraId="333E6C29">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2、12个月内累计发生2起以上较大生产安全事故的生产经营单位及其主要负责人；</w:t>
      </w:r>
    </w:p>
    <w:p w14:paraId="7B8C2E1C">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3、发生生产安全事故，情节特别严重、影响特别恶劣，依照《中华人民共和国安全生产法》第一百一十四条的规定被处以罚款数额2倍以上5倍以下罚款的生产经营单位及其主要负责人；</w:t>
      </w:r>
    </w:p>
    <w:p w14:paraId="7CCF81C5">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4、瞒报、谎报生产安全事故的生产经营单位及其有关责任人员；</w:t>
      </w:r>
    </w:p>
    <w:p w14:paraId="3783DCB7">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5、发生生产安全事故后，不立即组织抢救或者在事故调查处理期间擅离职守或者逃匿的生产经营单位主要负责人。</w:t>
      </w:r>
    </w:p>
    <w:p w14:paraId="4C878CCF">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（二）下列未发生生产安全事故，但因安全生产违法行为，受到行政处罚的生产经营单位或者机构及其有关人员，应当列入严重失信主体名单：</w:t>
      </w:r>
    </w:p>
    <w:p w14:paraId="7DF570C7">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1、未依法取得安全生产相关许可或者许可被暂扣、吊销期间从事相关生产经营活动的生产经营单位及其主要负责人；</w:t>
      </w:r>
    </w:p>
    <w:p w14:paraId="2923941C">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2、承担安全评价、认证、检测、检验职责的机构及其直接责任人员租借资质、挂靠、出具虚假报告或者证书的；</w:t>
      </w:r>
    </w:p>
    <w:p w14:paraId="5EF465D4">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3、在应急管理部门作出行政处罚后，有执行能力拒不执行或者逃避执行的生产经营单位及其主要负责人；</w:t>
      </w:r>
    </w:p>
    <w:p w14:paraId="531E6551">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4、其他违反安全生产法律法规受到行政处罚，且性质恶劣、情节严重的。</w:t>
      </w:r>
    </w:p>
    <w:p w14:paraId="3CA155C7">
      <w:pPr>
        <w:adjustRightInd w:val="0"/>
        <w:snapToGrid w:val="0"/>
        <w:spacing w:line="560" w:lineRule="exact"/>
        <w:ind w:firstLine="645"/>
        <w:jc w:val="left"/>
        <w:rPr>
          <w:rFonts w:hint="eastAsia" w:ascii="仿宋_GB2312" w:hAnsi="Calibri" w:eastAsia="仿宋_GB2312"/>
          <w:b/>
          <w:color w:val="000000"/>
          <w:sz w:val="28"/>
          <w:szCs w:val="28"/>
          <w:highlight w:val="none"/>
        </w:rPr>
      </w:pPr>
      <w:r>
        <w:rPr>
          <w:rFonts w:hint="eastAsia" w:ascii="仿宋_GB2312" w:hAnsi="宋体" w:eastAsia="仿宋_GB2312"/>
          <w:b/>
          <w:color w:val="000000"/>
          <w:sz w:val="28"/>
          <w:szCs w:val="28"/>
          <w:highlight w:val="none"/>
        </w:rPr>
        <w:t>依据：《安全生产严重失信主体名单管理办法》</w:t>
      </w:r>
      <w:r>
        <w:rPr>
          <w:rFonts w:hint="eastAsia" w:ascii="仿宋_GB2312" w:hAnsi="Calibri" w:eastAsia="仿宋_GB2312"/>
          <w:b/>
          <w:color w:val="000000"/>
          <w:sz w:val="28"/>
          <w:szCs w:val="28"/>
          <w:highlight w:val="none"/>
        </w:rPr>
        <w:t>（2023年8月8日应急管理部令第11号）</w:t>
      </w:r>
    </w:p>
    <w:p w14:paraId="7A1EC75C">
      <w:pPr>
        <w:adjustRightInd w:val="0"/>
        <w:snapToGrid w:val="0"/>
        <w:spacing w:line="560" w:lineRule="exact"/>
        <w:ind w:firstLine="645"/>
        <w:jc w:val="left"/>
        <w:rPr>
          <w:rFonts w:hint="eastAsia" w:ascii="仿宋_GB2312" w:hAnsi="宋体" w:eastAsia="仿宋_GB2312"/>
          <w:b/>
          <w:color w:val="000000"/>
          <w:sz w:val="28"/>
          <w:szCs w:val="28"/>
          <w:highlight w:val="none"/>
        </w:rPr>
      </w:pPr>
    </w:p>
    <w:p w14:paraId="51C84A1C">
      <w:pPr>
        <w:adjustRightInd w:val="0"/>
        <w:snapToGrid w:val="0"/>
        <w:spacing w:line="560" w:lineRule="exact"/>
        <w:ind w:firstLine="645"/>
        <w:jc w:val="left"/>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二、环境保护领域严重失信行为：</w:t>
      </w:r>
    </w:p>
    <w:p w14:paraId="1F64C3A7">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（一）因为环境违法构成</w:t>
      </w:r>
      <w:r>
        <w:rPr>
          <w:color w:val="000000"/>
          <w:highlight w:val="none"/>
        </w:rPr>
        <w:fldChar w:fldCharType="begin"/>
      </w:r>
      <w:r>
        <w:rPr>
          <w:color w:val="000000"/>
          <w:highlight w:val="none"/>
        </w:rPr>
        <w:instrText xml:space="preserve"> HYPERLINK "https://baike.sogou.com/m/fullLemma?lid=10403954&amp;g_ut=3" \t "https://baike.sogou.com/m/_blank" </w:instrText>
      </w:r>
      <w:r>
        <w:rPr>
          <w:color w:val="000000"/>
          <w:highlight w:val="none"/>
        </w:rPr>
        <w:fldChar w:fldCharType="separate"/>
      </w:r>
      <w:r>
        <w:rPr>
          <w:rStyle w:val="58"/>
          <w:rFonts w:hint="eastAsia" w:ascii="仿宋_GB2312" w:hAnsi="宋体" w:eastAsia="仿宋_GB2312"/>
          <w:color w:val="000000"/>
          <w:sz w:val="28"/>
          <w:szCs w:val="28"/>
          <w:highlight w:val="none"/>
        </w:rPr>
        <w:t>环境犯罪</w:t>
      </w:r>
      <w:r>
        <w:rPr>
          <w:color w:val="000000"/>
          <w:highlight w:val="none"/>
        </w:rPr>
        <w:fldChar w:fldCharType="end"/>
      </w:r>
      <w:r>
        <w:rPr>
          <w:rFonts w:hint="eastAsia" w:ascii="仿宋_GB2312" w:hAnsi="宋体" w:eastAsia="仿宋_GB2312"/>
          <w:color w:val="000000"/>
          <w:sz w:val="28"/>
          <w:szCs w:val="28"/>
          <w:highlight w:val="none"/>
        </w:rPr>
        <w:t>的；</w:t>
      </w:r>
    </w:p>
    <w:p w14:paraId="24F90AF9">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（二）</w:t>
      </w:r>
      <w:r>
        <w:rPr>
          <w:color w:val="000000"/>
          <w:highlight w:val="none"/>
        </w:rPr>
        <w:fldChar w:fldCharType="begin"/>
      </w:r>
      <w:r>
        <w:rPr>
          <w:color w:val="000000"/>
          <w:highlight w:val="none"/>
        </w:rPr>
        <w:instrText xml:space="preserve"> HYPERLINK "https://baike.sogou.com/m/fullLemma?lid=76033123&amp;g_ut=3" \t "https://baike.sogou.com/m/_blank" </w:instrText>
      </w:r>
      <w:r>
        <w:rPr>
          <w:color w:val="000000"/>
          <w:highlight w:val="none"/>
        </w:rPr>
        <w:fldChar w:fldCharType="separate"/>
      </w:r>
      <w:r>
        <w:rPr>
          <w:rStyle w:val="58"/>
          <w:rFonts w:hint="eastAsia" w:ascii="仿宋_GB2312" w:hAnsi="宋体" w:eastAsia="仿宋_GB2312"/>
          <w:color w:val="000000"/>
          <w:sz w:val="28"/>
          <w:szCs w:val="28"/>
          <w:highlight w:val="none"/>
        </w:rPr>
        <w:t>建设项目环境影响评价</w:t>
      </w:r>
      <w:r>
        <w:rPr>
          <w:color w:val="000000"/>
          <w:highlight w:val="none"/>
        </w:rPr>
        <w:fldChar w:fldCharType="end"/>
      </w:r>
      <w:r>
        <w:rPr>
          <w:rFonts w:hint="eastAsia" w:ascii="仿宋_GB2312" w:hAnsi="宋体" w:eastAsia="仿宋_GB2312"/>
          <w:color w:val="000000"/>
          <w:sz w:val="28"/>
          <w:szCs w:val="28"/>
          <w:highlight w:val="none"/>
        </w:rPr>
        <w:t>文件未按规定通过审批，擅自开工建设的；</w:t>
      </w:r>
    </w:p>
    <w:p w14:paraId="289B4A6B">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（三）建设项目环保设施未建成、环保措施未落实、未通过</w:t>
      </w:r>
      <w:r>
        <w:rPr>
          <w:color w:val="000000"/>
          <w:highlight w:val="none"/>
        </w:rPr>
        <w:fldChar w:fldCharType="begin"/>
      </w:r>
      <w:r>
        <w:rPr>
          <w:color w:val="000000"/>
          <w:highlight w:val="none"/>
        </w:rPr>
        <w:instrText xml:space="preserve"> HYPERLINK "https://baike.sogou.com/m/fullLemma?lid=6470550&amp;g_ut=3" \t "https://baike.sogou.com/m/_blank" </w:instrText>
      </w:r>
      <w:r>
        <w:rPr>
          <w:color w:val="000000"/>
          <w:highlight w:val="none"/>
        </w:rPr>
        <w:fldChar w:fldCharType="separate"/>
      </w:r>
      <w:r>
        <w:rPr>
          <w:rStyle w:val="58"/>
          <w:rFonts w:hint="eastAsia" w:ascii="仿宋_GB2312" w:hAnsi="宋体" w:eastAsia="仿宋_GB2312"/>
          <w:color w:val="000000"/>
          <w:sz w:val="28"/>
          <w:szCs w:val="28"/>
          <w:highlight w:val="none"/>
        </w:rPr>
        <w:t>竣工环保验收</w:t>
      </w:r>
      <w:r>
        <w:rPr>
          <w:color w:val="000000"/>
          <w:highlight w:val="none"/>
        </w:rPr>
        <w:fldChar w:fldCharType="end"/>
      </w:r>
      <w:r>
        <w:rPr>
          <w:rFonts w:hint="eastAsia" w:ascii="仿宋_GB2312" w:hAnsi="宋体" w:eastAsia="仿宋_GB2312"/>
          <w:color w:val="000000"/>
          <w:sz w:val="28"/>
          <w:szCs w:val="28"/>
          <w:highlight w:val="none"/>
        </w:rPr>
        <w:t>或者验收不合格，主体工程正式投入生产或者使用的；</w:t>
      </w:r>
    </w:p>
    <w:p w14:paraId="7100E253">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（四）建设项目性质、规模、地点、采用的生产工艺或者防治污染、防止生态破坏的措施发生重大变动，未重新报批环境影响评价文件，擅自投入生产或者使用的；</w:t>
      </w:r>
    </w:p>
    <w:p w14:paraId="41C35C83">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（五）主要污染物排放总量超过控制指标的；</w:t>
      </w:r>
    </w:p>
    <w:p w14:paraId="6286EC39">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（六）私设暗管或者利用</w:t>
      </w:r>
      <w:r>
        <w:rPr>
          <w:color w:val="000000"/>
          <w:highlight w:val="none"/>
        </w:rPr>
        <w:fldChar w:fldCharType="begin"/>
      </w:r>
      <w:r>
        <w:rPr>
          <w:color w:val="000000"/>
          <w:highlight w:val="none"/>
        </w:rPr>
        <w:instrText xml:space="preserve"> HYPERLINK "https://baike.sogou.com/m/fullLemma?lid=41657319&amp;g_ut=3" \t "https://baike.sogou.com/m/_blank" </w:instrText>
      </w:r>
      <w:r>
        <w:rPr>
          <w:color w:val="000000"/>
          <w:highlight w:val="none"/>
        </w:rPr>
        <w:fldChar w:fldCharType="separate"/>
      </w:r>
      <w:r>
        <w:rPr>
          <w:rStyle w:val="58"/>
          <w:rFonts w:hint="eastAsia" w:ascii="仿宋_GB2312" w:hAnsi="宋体" w:eastAsia="仿宋_GB2312"/>
          <w:color w:val="000000"/>
          <w:sz w:val="28"/>
          <w:szCs w:val="28"/>
          <w:highlight w:val="none"/>
        </w:rPr>
        <w:t>渗井</w:t>
      </w:r>
      <w:r>
        <w:rPr>
          <w:color w:val="000000"/>
          <w:highlight w:val="none"/>
        </w:rPr>
        <w:fldChar w:fldCharType="end"/>
      </w:r>
      <w:r>
        <w:rPr>
          <w:rFonts w:hint="eastAsia" w:ascii="仿宋_GB2312" w:hAnsi="宋体" w:eastAsia="仿宋_GB2312"/>
          <w:color w:val="000000"/>
          <w:sz w:val="28"/>
          <w:szCs w:val="28"/>
          <w:highlight w:val="none"/>
        </w:rPr>
        <w:t>、渗坑、裂隙、溶洞等排放、倾倒、处置水污染物，或者通过私设旁路排放</w:t>
      </w:r>
      <w:r>
        <w:rPr>
          <w:color w:val="000000"/>
          <w:highlight w:val="none"/>
        </w:rPr>
        <w:fldChar w:fldCharType="begin"/>
      </w:r>
      <w:r>
        <w:rPr>
          <w:color w:val="000000"/>
          <w:highlight w:val="none"/>
        </w:rPr>
        <w:instrText xml:space="preserve"> HYPERLINK "https://baike.sogou.com/m/fullLemma?lid=7758328&amp;g_ut=3" \t "https://baike.sogou.com/m/_blank" </w:instrText>
      </w:r>
      <w:r>
        <w:rPr>
          <w:color w:val="000000"/>
          <w:highlight w:val="none"/>
        </w:rPr>
        <w:fldChar w:fldCharType="separate"/>
      </w:r>
      <w:r>
        <w:rPr>
          <w:rStyle w:val="58"/>
          <w:rFonts w:hint="eastAsia" w:ascii="仿宋_GB2312" w:hAnsi="宋体" w:eastAsia="仿宋_GB2312"/>
          <w:color w:val="000000"/>
          <w:sz w:val="28"/>
          <w:szCs w:val="28"/>
          <w:highlight w:val="none"/>
        </w:rPr>
        <w:t>大气污染物</w:t>
      </w:r>
      <w:r>
        <w:rPr>
          <w:color w:val="000000"/>
          <w:highlight w:val="none"/>
        </w:rPr>
        <w:fldChar w:fldCharType="end"/>
      </w:r>
      <w:r>
        <w:rPr>
          <w:rFonts w:hint="eastAsia" w:ascii="仿宋_GB2312" w:hAnsi="宋体" w:eastAsia="仿宋_GB2312"/>
          <w:color w:val="000000"/>
          <w:sz w:val="28"/>
          <w:szCs w:val="28"/>
          <w:highlight w:val="none"/>
        </w:rPr>
        <w:t>的；</w:t>
      </w:r>
    </w:p>
    <w:p w14:paraId="4D5E5040">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（七）非法排放、倾倒、处置危险废物，或者向无</w:t>
      </w:r>
      <w:r>
        <w:rPr>
          <w:color w:val="000000"/>
          <w:highlight w:val="none"/>
        </w:rPr>
        <w:fldChar w:fldCharType="begin"/>
      </w:r>
      <w:r>
        <w:rPr>
          <w:color w:val="000000"/>
          <w:highlight w:val="none"/>
        </w:rPr>
        <w:instrText xml:space="preserve"> HYPERLINK "https://baike.sogou.com/m/fullLemma?lid=5923292&amp;g_ut=3" \t "https://baike.sogou.com/m/_blank" </w:instrText>
      </w:r>
      <w:r>
        <w:rPr>
          <w:color w:val="000000"/>
          <w:highlight w:val="none"/>
        </w:rPr>
        <w:fldChar w:fldCharType="separate"/>
      </w:r>
      <w:r>
        <w:rPr>
          <w:rStyle w:val="58"/>
          <w:rFonts w:hint="eastAsia" w:ascii="仿宋_GB2312" w:hAnsi="宋体" w:eastAsia="仿宋_GB2312"/>
          <w:color w:val="000000"/>
          <w:sz w:val="28"/>
          <w:szCs w:val="28"/>
          <w:highlight w:val="none"/>
        </w:rPr>
        <w:t>经营许可证</w:t>
      </w:r>
      <w:r>
        <w:rPr>
          <w:color w:val="000000"/>
          <w:highlight w:val="none"/>
        </w:rPr>
        <w:fldChar w:fldCharType="end"/>
      </w:r>
      <w:r>
        <w:rPr>
          <w:rFonts w:hint="eastAsia" w:ascii="仿宋_GB2312" w:hAnsi="宋体" w:eastAsia="仿宋_GB2312"/>
          <w:color w:val="000000"/>
          <w:sz w:val="28"/>
          <w:szCs w:val="28"/>
          <w:highlight w:val="none"/>
        </w:rPr>
        <w:t>或者超出经营许可范围的单位或个人提供或者委托其收集、贮存、利用、处置危险废物的；</w:t>
      </w:r>
    </w:p>
    <w:p w14:paraId="4DD23927">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（八）</w:t>
      </w:r>
      <w:r>
        <w:rPr>
          <w:color w:val="000000"/>
          <w:highlight w:val="none"/>
        </w:rPr>
        <w:fldChar w:fldCharType="begin"/>
      </w:r>
      <w:r>
        <w:rPr>
          <w:color w:val="000000"/>
          <w:highlight w:val="none"/>
        </w:rPr>
        <w:instrText xml:space="preserve"> HYPERLINK "https://baike.sogou.com/m/fullLemma?lid=167759803&amp;g_ut=3" \t "https://baike.sogou.com/m/_blank" </w:instrText>
      </w:r>
      <w:r>
        <w:rPr>
          <w:color w:val="000000"/>
          <w:highlight w:val="none"/>
        </w:rPr>
        <w:fldChar w:fldCharType="separate"/>
      </w:r>
      <w:r>
        <w:rPr>
          <w:rStyle w:val="58"/>
          <w:rFonts w:hint="eastAsia" w:ascii="仿宋_GB2312" w:hAnsi="宋体" w:eastAsia="仿宋_GB2312"/>
          <w:color w:val="000000"/>
          <w:sz w:val="28"/>
          <w:szCs w:val="28"/>
          <w:highlight w:val="none"/>
        </w:rPr>
        <w:t>环境违法行为</w:t>
      </w:r>
      <w:r>
        <w:rPr>
          <w:color w:val="000000"/>
          <w:highlight w:val="none"/>
        </w:rPr>
        <w:fldChar w:fldCharType="end"/>
      </w:r>
      <w:r>
        <w:rPr>
          <w:rFonts w:hint="eastAsia" w:ascii="仿宋_GB2312" w:hAnsi="宋体" w:eastAsia="仿宋_GB2312"/>
          <w:color w:val="000000"/>
          <w:sz w:val="28"/>
          <w:szCs w:val="28"/>
          <w:highlight w:val="none"/>
        </w:rPr>
        <w:t>造成集中式生活饮用水水源取水中断的；</w:t>
      </w:r>
    </w:p>
    <w:p w14:paraId="64D91935">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（九）环境违法行为对生活饮用水水源保护区、自然保护区、</w:t>
      </w:r>
      <w:r>
        <w:rPr>
          <w:color w:val="000000"/>
          <w:highlight w:val="none"/>
        </w:rPr>
        <w:fldChar w:fldCharType="begin"/>
      </w:r>
      <w:r>
        <w:rPr>
          <w:color w:val="000000"/>
          <w:highlight w:val="none"/>
        </w:rPr>
        <w:instrText xml:space="preserve"> HYPERLINK "https://baike.sogou.com/m/fullLemma?lid=155199213&amp;g_ut=3" \t "https://baike.sogou.com/m/_blank" </w:instrText>
      </w:r>
      <w:r>
        <w:rPr>
          <w:color w:val="000000"/>
          <w:highlight w:val="none"/>
        </w:rPr>
        <w:fldChar w:fldCharType="separate"/>
      </w:r>
      <w:r>
        <w:rPr>
          <w:rStyle w:val="58"/>
          <w:rFonts w:hint="eastAsia" w:ascii="仿宋_GB2312" w:hAnsi="宋体" w:eastAsia="仿宋_GB2312"/>
          <w:color w:val="000000"/>
          <w:sz w:val="28"/>
          <w:szCs w:val="28"/>
          <w:highlight w:val="none"/>
        </w:rPr>
        <w:t>国家重点生态功能区</w:t>
      </w:r>
      <w:r>
        <w:rPr>
          <w:color w:val="000000"/>
          <w:highlight w:val="none"/>
        </w:rPr>
        <w:fldChar w:fldCharType="end"/>
      </w:r>
      <w:r>
        <w:rPr>
          <w:rFonts w:hint="eastAsia" w:ascii="仿宋_GB2312" w:hAnsi="宋体" w:eastAsia="仿宋_GB2312"/>
          <w:color w:val="000000"/>
          <w:sz w:val="28"/>
          <w:szCs w:val="28"/>
          <w:highlight w:val="none"/>
        </w:rPr>
        <w:t>、风景名胜区、居住功能区、</w:t>
      </w:r>
      <w:r>
        <w:rPr>
          <w:color w:val="000000"/>
          <w:highlight w:val="none"/>
        </w:rPr>
        <w:fldChar w:fldCharType="begin"/>
      </w:r>
      <w:r>
        <w:rPr>
          <w:color w:val="000000"/>
          <w:highlight w:val="none"/>
        </w:rPr>
        <w:instrText xml:space="preserve"> HYPERLINK "https://baike.sogou.com/m/fullLemma?lid=7757164&amp;g_ut=3" \t "https://baike.sogou.com/m/_blank" </w:instrText>
      </w:r>
      <w:r>
        <w:rPr>
          <w:color w:val="000000"/>
          <w:highlight w:val="none"/>
        </w:rPr>
        <w:fldChar w:fldCharType="separate"/>
      </w:r>
      <w:r>
        <w:rPr>
          <w:rStyle w:val="58"/>
          <w:rFonts w:hint="eastAsia" w:ascii="仿宋_GB2312" w:hAnsi="宋体" w:eastAsia="仿宋_GB2312"/>
          <w:color w:val="000000"/>
          <w:sz w:val="28"/>
          <w:szCs w:val="28"/>
          <w:highlight w:val="none"/>
        </w:rPr>
        <w:t>基本农田保护区</w:t>
      </w:r>
      <w:r>
        <w:rPr>
          <w:color w:val="000000"/>
          <w:highlight w:val="none"/>
        </w:rPr>
        <w:fldChar w:fldCharType="end"/>
      </w:r>
      <w:r>
        <w:rPr>
          <w:rFonts w:hint="eastAsia" w:ascii="仿宋_GB2312" w:hAnsi="宋体" w:eastAsia="仿宋_GB2312"/>
          <w:color w:val="000000"/>
          <w:sz w:val="28"/>
          <w:szCs w:val="28"/>
          <w:highlight w:val="none"/>
        </w:rPr>
        <w:t>等环境敏感区造成重大不利影响的；</w:t>
      </w:r>
    </w:p>
    <w:p w14:paraId="1075BC10">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（十）违法从事自然资源开发、交通基础设施建设，以及其他开发建设活动，造成严重生态破坏的；</w:t>
      </w:r>
    </w:p>
    <w:p w14:paraId="2E701397">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（十一）发生较大及以上突发环境事件的；</w:t>
      </w:r>
    </w:p>
    <w:p w14:paraId="283F36DD">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（十二）被环保部门挂牌督办，整改逾期未完成的；</w:t>
      </w:r>
    </w:p>
    <w:p w14:paraId="0A4ECC25">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（十三）以暴力、威胁等方式拒绝、阻挠环保部门工作人员现场检查的；</w:t>
      </w:r>
    </w:p>
    <w:p w14:paraId="0CC1D9A8">
      <w:pPr>
        <w:adjustRightInd w:val="0"/>
        <w:snapToGrid w:val="0"/>
        <w:spacing w:line="560" w:lineRule="exact"/>
        <w:ind w:firstLine="645"/>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（十四）违反重污染天气应急预案有关规定，对重污染天气响应不力的。</w:t>
      </w:r>
    </w:p>
    <w:p w14:paraId="29D35320">
      <w:pPr>
        <w:adjustRightInd w:val="0"/>
        <w:snapToGrid w:val="0"/>
        <w:spacing w:line="560" w:lineRule="exact"/>
        <w:ind w:firstLine="645"/>
        <w:jc w:val="left"/>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依据：《关于对环境保护领域失信生产经营单位及其有关人员开展联合惩戒的合作备忘录》、《</w:t>
      </w:r>
      <w:bookmarkStart w:id="962" w:name="OLE_LINK12"/>
      <w:r>
        <w:rPr>
          <w:rFonts w:hint="eastAsia" w:ascii="仿宋_GB2312" w:hAnsi="宋体" w:eastAsia="仿宋_GB2312"/>
          <w:b/>
          <w:color w:val="000000"/>
          <w:sz w:val="28"/>
          <w:szCs w:val="28"/>
          <w:highlight w:val="none"/>
        </w:rPr>
        <w:t>企业环境信用评价办法（试行）</w:t>
      </w:r>
      <w:bookmarkEnd w:id="962"/>
      <w:r>
        <w:rPr>
          <w:rFonts w:hint="eastAsia" w:ascii="仿宋_GB2312" w:hAnsi="宋体" w:eastAsia="仿宋_GB2312"/>
          <w:b/>
          <w:color w:val="000000"/>
          <w:sz w:val="28"/>
          <w:szCs w:val="28"/>
          <w:highlight w:val="none"/>
        </w:rPr>
        <w:t>》（环发〔2013〕150号）</w:t>
      </w:r>
    </w:p>
    <w:p w14:paraId="40AE7F7B">
      <w:pPr>
        <w:adjustRightInd w:val="0"/>
        <w:snapToGrid w:val="0"/>
        <w:spacing w:line="560" w:lineRule="exact"/>
        <w:ind w:firstLine="645"/>
        <w:jc w:val="left"/>
        <w:rPr>
          <w:rFonts w:hint="eastAsia" w:ascii="仿宋_GB2312" w:hAnsi="宋体" w:eastAsia="仿宋_GB2312"/>
          <w:b/>
          <w:color w:val="000000"/>
          <w:sz w:val="28"/>
          <w:szCs w:val="28"/>
          <w:highlight w:val="none"/>
        </w:rPr>
      </w:pPr>
    </w:p>
    <w:p w14:paraId="2A4C250A">
      <w:pPr>
        <w:adjustRightInd w:val="0"/>
        <w:snapToGrid w:val="0"/>
        <w:spacing w:line="560" w:lineRule="exact"/>
        <w:ind w:firstLine="645"/>
        <w:jc w:val="left"/>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三、</w:t>
      </w:r>
      <w:r>
        <w:rPr>
          <w:rFonts w:hint="eastAsia" w:ascii="仿宋_GB2312" w:hAnsi="宋体" w:eastAsia="仿宋_GB2312"/>
          <w:b/>
          <w:bCs/>
          <w:color w:val="000000"/>
          <w:sz w:val="28"/>
          <w:szCs w:val="28"/>
          <w:highlight w:val="none"/>
        </w:rPr>
        <w:t>公共资源交易领域严重失信行为</w:t>
      </w:r>
    </w:p>
    <w:p w14:paraId="728DBF8E">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（一）违反法律规定，必须进行招标的项目而不招标的，将必须进行招标的项目化整为零或者以其他任何方式规避招标的； </w:t>
      </w:r>
    </w:p>
    <w:p w14:paraId="667DBF9D">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（二）招标代理机构违反法律规定，泄露应当保密的与招标投标活动有关的情况和资料的，或者与招标人、投标人串通损害 国家利益、社会公共利益或者他人合法权益的；</w:t>
      </w:r>
    </w:p>
    <w:p w14:paraId="2E87BD1E">
      <w:pPr>
        <w:adjustRightInd w:val="0"/>
        <w:snapToGrid w:val="0"/>
        <w:spacing w:line="560" w:lineRule="exact"/>
        <w:ind w:firstLine="560" w:firstLineChars="20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（三）招标人以不合理的条件限制或者排斥潜在投标人的，对潜在投标人实行歧视待遇的，强制要求投标人组成联合体共同 投标的，或者限制投标人之间竞争的；</w:t>
      </w:r>
    </w:p>
    <w:p w14:paraId="4077E943">
      <w:pPr>
        <w:adjustRightInd w:val="0"/>
        <w:snapToGrid w:val="0"/>
        <w:spacing w:line="560" w:lineRule="exact"/>
        <w:ind w:firstLine="560" w:firstLineChars="20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（四）依法必须进行招标的项目的招标人向他人透露已获取招标文件的潜在投标人的名称、数量或者可能影响公平竞争的有 关招标投标的其他情况的，或者泄露标底的；</w:t>
      </w:r>
    </w:p>
    <w:p w14:paraId="3DFC823B">
      <w:pPr>
        <w:adjustRightInd w:val="0"/>
        <w:snapToGrid w:val="0"/>
        <w:spacing w:line="560" w:lineRule="exact"/>
        <w:ind w:firstLine="560" w:firstLineChars="20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（五）投标人相互串通投标或者与招标人串通投标的，投标人以向招标人或者评标委员会成员行贿的手段谋取中标的； </w:t>
      </w:r>
    </w:p>
    <w:p w14:paraId="0943AFF2">
      <w:pPr>
        <w:adjustRightInd w:val="0"/>
        <w:snapToGrid w:val="0"/>
        <w:spacing w:line="560" w:lineRule="exact"/>
        <w:ind w:firstLine="560" w:firstLineChars="20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（六）投标人以他人名义投标或者以其他方式弄虚作假，骗取中标的；</w:t>
      </w:r>
    </w:p>
    <w:p w14:paraId="315DDD54">
      <w:pPr>
        <w:adjustRightInd w:val="0"/>
        <w:snapToGrid w:val="0"/>
        <w:spacing w:line="560" w:lineRule="exact"/>
        <w:ind w:firstLine="560" w:firstLineChars="20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（七）依法必须进行招标的项目，招标人违反法律规定，与投标人就投标价格、投标方案等实质性内容进行谈判的；</w:t>
      </w:r>
    </w:p>
    <w:p w14:paraId="77131B66">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（八）评标委员会成员收受投标人的财物或者其他好处的，评标委员会成员或者参加评标的有关工作人员向他人透露对投 标文件的评审和比较、中标候选人的推荐以及与评标有关的其他 情况的； </w:t>
      </w:r>
    </w:p>
    <w:p w14:paraId="4AB2229C">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（九）招标人在评标委员会依法推荐的中标候选人以外确定中标人的，依法必须进行招标的项目在所有投标被评标委员会否 决后自行确定中标人的； </w:t>
      </w:r>
    </w:p>
    <w:p w14:paraId="168C24E3">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（十）中标人将中标项目转让给他人的，将中标项目肢解后分别转让给他人的，违反法律规定将中标项目的部分主体、关键 性工作分包给他人的，或者分包人再次分包的； </w:t>
      </w:r>
    </w:p>
    <w:p w14:paraId="27A6D6C8">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（十一）招标人与中标人不按照招标文件和中标人的投标文件订立合同的，或者招标人、中标人订立背离合同实质性内容的 协议的； </w:t>
      </w:r>
    </w:p>
    <w:p w14:paraId="7127FAC0">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（十二）中标人不按照与招标人订立的合同履行义务，情节严重的； </w:t>
      </w:r>
    </w:p>
    <w:p w14:paraId="344AB446">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（十三）采购人、采购代理机构存在应当采用公开招标方式而擅自采用其他方式采购，擅自提高采购标准，以不合理的条件 对供应商实行差别待遇或者歧视待遇，在招标采购过程中与投标 人进行协商谈判，中标、成交通知书发出后不与中标、成交供应商签订采购合同，或者拒绝有关部门依法实施监督检查等情形的；</w:t>
      </w:r>
    </w:p>
    <w:p w14:paraId="7033427C">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 （十四）采购人、采购代理机构及其工作人员存在与供应商 或者采购代理机构恶意串通，在采购过程中接受贿赂或者获取其 他不正当利益，在有关部门依法实施的监督检查中提供虚假情况， 或者开标前泄露标底等情形的；</w:t>
      </w:r>
    </w:p>
    <w:p w14:paraId="3D627371">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 （十五）采购人对应当实行集中采购的政府采购项目，不委托集中采购机构实行集中采购的； </w:t>
      </w:r>
    </w:p>
    <w:p w14:paraId="3842F2E3">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（十六）采购人、采购代理机构违反法律规定隐匿、销毁应当保存的采购文件或者伪造、变造采购文件的； </w:t>
      </w:r>
    </w:p>
    <w:p w14:paraId="767271E7">
      <w:pPr>
        <w:adjustRightInd w:val="0"/>
        <w:snapToGrid w:val="0"/>
        <w:spacing w:line="560" w:lineRule="exact"/>
        <w:ind w:firstLine="645"/>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（十七）供应商存在提供虚假材料谋取中标、成交，采取不 正当手段诋毁、排挤其他供应商，与采购人、其他供应商或者采 购代理机构恶意串通，向采购人、采购代理机构行贿或者提供其 他不正当利益，在招标采购过程中与采购人进行协商谈判，或拒 绝有关部门监督检查或者提供虚假情况等情形的； </w:t>
      </w:r>
    </w:p>
    <w:p w14:paraId="3FD9B2FD">
      <w:pPr>
        <w:adjustRightInd w:val="0"/>
        <w:snapToGrid w:val="0"/>
        <w:spacing w:line="560" w:lineRule="exact"/>
        <w:ind w:left="141" w:leftChars="67" w:firstLine="420" w:firstLineChars="15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（十八）疫苗生产企业向县级疾病预防控制机构以外的单位或者个人销售第二类疫苗的； </w:t>
      </w:r>
    </w:p>
    <w:p w14:paraId="5AEF4A25">
      <w:pPr>
        <w:adjustRightInd w:val="0"/>
        <w:snapToGrid w:val="0"/>
        <w:spacing w:line="560" w:lineRule="exact"/>
        <w:ind w:left="141" w:leftChars="67" w:firstLine="420" w:firstLineChars="150"/>
        <w:jc w:val="left"/>
        <w:rPr>
          <w:rFonts w:hint="eastAsia" w:ascii="仿宋_GB2312" w:hAnsi="宋体" w:eastAsia="仿宋_GB2312"/>
          <w:color w:val="000000"/>
          <w:sz w:val="28"/>
          <w:szCs w:val="28"/>
          <w:highlight w:val="none"/>
        </w:rPr>
      </w:pPr>
      <w:r>
        <w:rPr>
          <w:rFonts w:hint="eastAsia" w:ascii="仿宋_GB2312" w:hAnsi="Calibri" w:eastAsia="仿宋_GB2312"/>
          <w:color w:val="000000"/>
          <w:sz w:val="28"/>
          <w:szCs w:val="28"/>
          <w:highlight w:val="none"/>
        </w:rPr>
        <w:t>（十九）存在其他违反公共资源交易法律法规行为的。</w:t>
      </w:r>
    </w:p>
    <w:p w14:paraId="1DE2E9D9">
      <w:pPr>
        <w:adjustRightInd w:val="0"/>
        <w:snapToGrid w:val="0"/>
        <w:spacing w:line="560" w:lineRule="exact"/>
        <w:ind w:firstLine="894" w:firstLineChars="318"/>
        <w:jc w:val="left"/>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依据：《</w:t>
      </w:r>
      <w:bookmarkStart w:id="963" w:name="OLE_LINK13"/>
      <w:r>
        <w:rPr>
          <w:rFonts w:hint="eastAsia" w:ascii="仿宋_GB2312" w:hAnsi="宋体" w:eastAsia="仿宋_GB2312"/>
          <w:b/>
          <w:color w:val="000000"/>
          <w:sz w:val="28"/>
          <w:szCs w:val="28"/>
          <w:highlight w:val="none"/>
        </w:rPr>
        <w:t>关于对公共资源交易领域严重失信主体开展联合惩戒的备忘录</w:t>
      </w:r>
      <w:bookmarkEnd w:id="963"/>
      <w:r>
        <w:rPr>
          <w:rFonts w:hint="eastAsia" w:ascii="仿宋_GB2312" w:hAnsi="宋体" w:eastAsia="仿宋_GB2312"/>
          <w:b/>
          <w:color w:val="000000"/>
          <w:sz w:val="28"/>
          <w:szCs w:val="28"/>
          <w:highlight w:val="none"/>
        </w:rPr>
        <w:t>》（发改法规〔2018〕457号）</w:t>
      </w:r>
    </w:p>
    <w:p w14:paraId="5F50F06C">
      <w:pPr>
        <w:adjustRightInd w:val="0"/>
        <w:snapToGrid w:val="0"/>
        <w:spacing w:line="560" w:lineRule="exact"/>
        <w:ind w:firstLine="645"/>
        <w:jc w:val="left"/>
        <w:rPr>
          <w:rFonts w:hint="eastAsia" w:ascii="仿宋_GB2312" w:hAnsi="宋体" w:eastAsia="仿宋_GB2312"/>
          <w:color w:val="000000"/>
          <w:sz w:val="28"/>
          <w:szCs w:val="28"/>
          <w:highlight w:val="none"/>
        </w:rPr>
      </w:pPr>
    </w:p>
    <w:p w14:paraId="7EABA4A8">
      <w:pPr>
        <w:adjustRightInd w:val="0"/>
        <w:snapToGrid w:val="0"/>
        <w:spacing w:line="560" w:lineRule="exact"/>
        <w:ind w:firstLine="645"/>
        <w:jc w:val="left"/>
        <w:rPr>
          <w:rFonts w:hint="eastAsia" w:ascii="仿宋_GB2312" w:hAnsi="宋体" w:eastAsia="仿宋_GB2312"/>
          <w:b/>
          <w:bCs/>
          <w:color w:val="000000"/>
          <w:sz w:val="28"/>
          <w:szCs w:val="28"/>
          <w:highlight w:val="none"/>
        </w:rPr>
      </w:pPr>
      <w:r>
        <w:rPr>
          <w:rFonts w:hint="eastAsia" w:ascii="仿宋_GB2312" w:hAnsi="宋体" w:eastAsia="仿宋_GB2312"/>
          <w:b/>
          <w:color w:val="000000"/>
          <w:sz w:val="28"/>
          <w:szCs w:val="28"/>
          <w:highlight w:val="none"/>
        </w:rPr>
        <w:t>四、</w:t>
      </w:r>
      <w:r>
        <w:rPr>
          <w:rFonts w:hint="eastAsia" w:ascii="仿宋_GB2312" w:hAnsi="宋体" w:eastAsia="仿宋_GB2312"/>
          <w:b/>
          <w:bCs/>
          <w:color w:val="000000"/>
          <w:sz w:val="28"/>
          <w:szCs w:val="28"/>
          <w:highlight w:val="none"/>
        </w:rPr>
        <w:t>社会保险领域严重失信行为</w:t>
      </w:r>
    </w:p>
    <w:p w14:paraId="45C93F7D">
      <w:pPr>
        <w:adjustRightInd w:val="0"/>
        <w:snapToGrid w:val="0"/>
        <w:spacing w:line="560" w:lineRule="exact"/>
        <w:ind w:left="141" w:leftChars="67" w:firstLine="420" w:firstLineChars="15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（一）用人单位未按相关规定参加社会保险且拒不整改的； </w:t>
      </w:r>
    </w:p>
    <w:p w14:paraId="2EEC539A">
      <w:pPr>
        <w:adjustRightInd w:val="0"/>
        <w:snapToGrid w:val="0"/>
        <w:spacing w:line="560" w:lineRule="exact"/>
        <w:ind w:left="141" w:leftChars="67" w:firstLine="420" w:firstLineChars="15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（二）用人单位未如实申报社会保险缴费基数且拒不整改的； </w:t>
      </w:r>
    </w:p>
    <w:p w14:paraId="7DF3259F">
      <w:pPr>
        <w:adjustRightInd w:val="0"/>
        <w:snapToGrid w:val="0"/>
        <w:spacing w:line="560" w:lineRule="exact"/>
        <w:ind w:left="141" w:leftChars="67" w:firstLine="420" w:firstLineChars="15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（三）应缴纳社会保险费却拒不缴纳的； </w:t>
      </w:r>
    </w:p>
    <w:p w14:paraId="6AA46D62">
      <w:pPr>
        <w:adjustRightInd w:val="0"/>
        <w:snapToGrid w:val="0"/>
        <w:spacing w:line="560" w:lineRule="exact"/>
        <w:ind w:left="141" w:leftChars="67" w:firstLine="420" w:firstLineChars="15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（四）隐匿、转移、侵占、挪用社会保险费款、基金或者违规投资运营的；</w:t>
      </w:r>
    </w:p>
    <w:p w14:paraId="7ADBED04">
      <w:pPr>
        <w:adjustRightInd w:val="0"/>
        <w:snapToGrid w:val="0"/>
        <w:spacing w:line="560" w:lineRule="exact"/>
        <w:ind w:left="141" w:leftChars="67" w:firstLine="420" w:firstLineChars="15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（五）以欺诈、伪造证明材料或者其他手段参加、申报社会保险和骗取社会保险基金支出或社会保险待遇的； </w:t>
      </w:r>
    </w:p>
    <w:p w14:paraId="0107A6CA">
      <w:pPr>
        <w:adjustRightInd w:val="0"/>
        <w:snapToGrid w:val="0"/>
        <w:spacing w:line="560" w:lineRule="exact"/>
        <w:ind w:left="141" w:leftChars="67" w:firstLine="420" w:firstLineChars="15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（六）非法获取、出售或变相交易社会保险个人权益数据的； </w:t>
      </w:r>
    </w:p>
    <w:p w14:paraId="2378E822">
      <w:pPr>
        <w:adjustRightInd w:val="0"/>
        <w:snapToGrid w:val="0"/>
        <w:spacing w:line="560" w:lineRule="exact"/>
        <w:ind w:left="141" w:leftChars="67" w:firstLine="420" w:firstLineChars="15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（七）社会保险服务机构违反服务协议或相关规定的； </w:t>
      </w:r>
    </w:p>
    <w:p w14:paraId="688D696E">
      <w:pPr>
        <w:adjustRightInd w:val="0"/>
        <w:snapToGrid w:val="0"/>
        <w:spacing w:line="560" w:lineRule="exact"/>
        <w:ind w:left="141" w:leftChars="67" w:firstLine="420" w:firstLineChars="15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 xml:space="preserve">（八）拒绝协助社会保险行政部门、经办机构对事故和问题进 行调查核实的；拒绝接受或协助税务部门对社会保险实施监督检查， 不如实提供与社会保险相关各项资料的； </w:t>
      </w:r>
    </w:p>
    <w:p w14:paraId="400396C9">
      <w:pPr>
        <w:adjustRightInd w:val="0"/>
        <w:snapToGrid w:val="0"/>
        <w:spacing w:line="560" w:lineRule="exact"/>
        <w:ind w:left="141" w:leftChars="67" w:firstLine="420" w:firstLineChars="15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（九）其他违反法律法规规定的。</w:t>
      </w:r>
    </w:p>
    <w:p w14:paraId="787E64C2">
      <w:pPr>
        <w:adjustRightInd w:val="0"/>
        <w:snapToGrid w:val="0"/>
        <w:spacing w:line="560" w:lineRule="exact"/>
        <w:ind w:firstLine="551" w:firstLineChars="196"/>
        <w:jc w:val="left"/>
        <w:rPr>
          <w:rFonts w:hint="eastAsia" w:ascii="仿宋_GB2312" w:hAnsi="Calibri" w:eastAsia="仿宋_GB2312"/>
          <w:color w:val="000000"/>
          <w:sz w:val="28"/>
          <w:szCs w:val="28"/>
          <w:highlight w:val="none"/>
        </w:rPr>
      </w:pPr>
      <w:r>
        <w:rPr>
          <w:rFonts w:hint="eastAsia" w:ascii="仿宋_GB2312" w:hAnsi="Calibri" w:eastAsia="仿宋_GB2312"/>
          <w:b/>
          <w:color w:val="000000"/>
          <w:sz w:val="28"/>
          <w:szCs w:val="28"/>
          <w:highlight w:val="none"/>
        </w:rPr>
        <w:t>依据：《关于对社会保险领域严重失信企业及其有关人员实施联合惩戒的合作备忘录》（发改财金〔2018〕1704号）</w:t>
      </w:r>
    </w:p>
    <w:p w14:paraId="11D7DDFD">
      <w:pPr>
        <w:adjustRightInd w:val="0"/>
        <w:snapToGrid w:val="0"/>
        <w:spacing w:line="560" w:lineRule="exact"/>
        <w:jc w:val="left"/>
        <w:rPr>
          <w:rFonts w:hint="eastAsia" w:ascii="仿宋_GB2312" w:hAnsi="宋体" w:eastAsia="仿宋_GB2312"/>
          <w:color w:val="000000"/>
          <w:sz w:val="28"/>
          <w:szCs w:val="28"/>
          <w:highlight w:val="none"/>
        </w:rPr>
      </w:pPr>
      <w:r>
        <w:rPr>
          <w:rFonts w:hint="eastAsia" w:ascii="仿宋_GB2312" w:hAnsi="宋体" w:eastAsia="仿宋_GB2312"/>
          <w:color w:val="000000"/>
          <w:sz w:val="28"/>
          <w:szCs w:val="28"/>
          <w:highlight w:val="none"/>
        </w:rPr>
        <w:t xml:space="preserve">     </w:t>
      </w:r>
    </w:p>
    <w:p w14:paraId="4070699D">
      <w:pPr>
        <w:adjustRightInd w:val="0"/>
        <w:snapToGrid w:val="0"/>
        <w:spacing w:line="560" w:lineRule="exact"/>
        <w:ind w:firstLine="562" w:firstLineChars="200"/>
        <w:jc w:val="left"/>
        <w:rPr>
          <w:rFonts w:hint="eastAsia" w:ascii="仿宋_GB2312" w:hAnsi="宋体" w:eastAsia="仿宋_GB2312"/>
          <w:b/>
          <w:bCs/>
          <w:color w:val="000000"/>
          <w:sz w:val="28"/>
          <w:szCs w:val="28"/>
          <w:highlight w:val="none"/>
        </w:rPr>
      </w:pPr>
      <w:r>
        <w:rPr>
          <w:rFonts w:hint="eastAsia" w:ascii="仿宋_GB2312" w:hAnsi="宋体" w:eastAsia="仿宋_GB2312"/>
          <w:b/>
          <w:color w:val="000000"/>
          <w:sz w:val="28"/>
          <w:szCs w:val="28"/>
          <w:highlight w:val="none"/>
        </w:rPr>
        <w:t>五、建筑市场领域</w:t>
      </w:r>
      <w:r>
        <w:rPr>
          <w:rFonts w:hint="eastAsia" w:ascii="仿宋_GB2312" w:hAnsi="宋体" w:eastAsia="仿宋_GB2312"/>
          <w:b/>
          <w:bCs/>
          <w:color w:val="000000"/>
          <w:sz w:val="28"/>
          <w:szCs w:val="28"/>
          <w:highlight w:val="none"/>
        </w:rPr>
        <w:t>严重失信行为</w:t>
      </w:r>
    </w:p>
    <w:p w14:paraId="2111A551">
      <w:pPr>
        <w:adjustRightInd w:val="0"/>
        <w:snapToGrid w:val="0"/>
        <w:spacing w:line="560" w:lineRule="exact"/>
        <w:ind w:firstLine="560" w:firstLineChars="20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（一）利用虚假材料、以欺骗手段取得企业资质的；</w:t>
      </w:r>
    </w:p>
    <w:p w14:paraId="78D31793">
      <w:pPr>
        <w:adjustRightInd w:val="0"/>
        <w:snapToGrid w:val="0"/>
        <w:spacing w:line="560" w:lineRule="exact"/>
        <w:ind w:firstLine="560" w:firstLineChars="20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（二）发生转包、出借资质，受到行政处罚的；</w:t>
      </w:r>
    </w:p>
    <w:p w14:paraId="1684216C">
      <w:pPr>
        <w:adjustRightInd w:val="0"/>
        <w:snapToGrid w:val="0"/>
        <w:spacing w:line="560" w:lineRule="exact"/>
        <w:ind w:firstLine="560" w:firstLineChars="20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（三）发生重大及以上工程质量安全事故，或1年内累计发生2次及以上较大工程质量安全事故，或发生性质恶劣、危害性严重、社会影响大的较大工程质量安全事故，受到行政处罚的；</w:t>
      </w:r>
    </w:p>
    <w:p w14:paraId="522B82F8">
      <w:pPr>
        <w:adjustRightInd w:val="0"/>
        <w:snapToGrid w:val="0"/>
        <w:spacing w:line="560" w:lineRule="exact"/>
        <w:ind w:firstLine="560" w:firstLineChars="20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（四）经法院判决或仲裁机构裁决，认定为拖欠工程款,且拒不履行生效法律文书确定的义务的。</w:t>
      </w:r>
    </w:p>
    <w:p w14:paraId="23450082">
      <w:pPr>
        <w:adjustRightInd w:val="0"/>
        <w:snapToGrid w:val="0"/>
        <w:spacing w:line="560" w:lineRule="exact"/>
        <w:ind w:firstLine="560" w:firstLineChars="200"/>
        <w:jc w:val="left"/>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各级住房城乡建设主管部门应当参照建筑市场主体“黑名单”，对被人力资源社会保障行政部门列入拖欠农民工工资“黑名单”的建筑市场各方主体加强监管。</w:t>
      </w:r>
    </w:p>
    <w:p w14:paraId="5A48083A">
      <w:pPr>
        <w:ind w:firstLine="562" w:firstLineChars="200"/>
        <w:jc w:val="left"/>
        <w:rPr>
          <w:rFonts w:hint="eastAsia" w:ascii="宋体" w:hAnsi="宋体"/>
          <w:color w:val="000000"/>
          <w:sz w:val="28"/>
          <w:szCs w:val="28"/>
          <w:highlight w:val="none"/>
        </w:rPr>
      </w:pPr>
      <w:r>
        <w:rPr>
          <w:rFonts w:hint="eastAsia" w:ascii="仿宋_GB2312" w:hAnsi="Calibri" w:eastAsia="仿宋_GB2312"/>
          <w:b/>
          <w:color w:val="000000"/>
          <w:sz w:val="28"/>
          <w:szCs w:val="28"/>
          <w:highlight w:val="none"/>
        </w:rPr>
        <w:t>依据：《</w:t>
      </w:r>
      <w:bookmarkStart w:id="964" w:name="OLE_LINK18"/>
      <w:r>
        <w:rPr>
          <w:rFonts w:hint="eastAsia" w:ascii="仿宋_GB2312" w:hAnsi="Calibri" w:eastAsia="仿宋_GB2312"/>
          <w:b/>
          <w:color w:val="000000"/>
          <w:sz w:val="28"/>
          <w:szCs w:val="28"/>
          <w:highlight w:val="none"/>
        </w:rPr>
        <w:t>建筑市场信用管理暂行办法</w:t>
      </w:r>
      <w:bookmarkEnd w:id="964"/>
      <w:r>
        <w:rPr>
          <w:rFonts w:hint="eastAsia" w:ascii="仿宋_GB2312" w:hAnsi="Calibri" w:eastAsia="仿宋_GB2312"/>
          <w:b/>
          <w:color w:val="000000"/>
          <w:sz w:val="28"/>
          <w:szCs w:val="28"/>
          <w:highlight w:val="none"/>
        </w:rPr>
        <w:t>》（建市〔2017〕241号）</w:t>
      </w:r>
    </w:p>
    <w:p w14:paraId="0AD755F2">
      <w:pPr>
        <w:adjustRightInd w:val="0"/>
        <w:snapToGrid w:val="0"/>
        <w:spacing w:line="560" w:lineRule="exact"/>
        <w:rPr>
          <w:rFonts w:hint="eastAsia" w:ascii="仿宋_GB2312" w:hAnsi="宋体" w:eastAsia="仿宋_GB2312"/>
          <w:b/>
          <w:color w:val="000000"/>
          <w:sz w:val="28"/>
          <w:szCs w:val="28"/>
          <w:highlight w:val="none"/>
        </w:rPr>
      </w:pPr>
    </w:p>
    <w:p w14:paraId="01F2BFBF">
      <w:pPr>
        <w:adjustRightInd w:val="0"/>
        <w:snapToGrid w:val="0"/>
        <w:spacing w:line="560" w:lineRule="exact"/>
        <w:ind w:firstLine="562" w:firstLineChars="200"/>
        <w:rPr>
          <w:rFonts w:hint="eastAsia" w:ascii="仿宋_GB2312" w:hAnsi="宋体" w:eastAsia="仿宋_GB2312"/>
          <w:b/>
          <w:color w:val="000000"/>
          <w:sz w:val="28"/>
          <w:szCs w:val="28"/>
          <w:highlight w:val="none"/>
        </w:rPr>
      </w:pPr>
      <w:r>
        <w:rPr>
          <w:rFonts w:hint="eastAsia" w:ascii="仿宋_GB2312" w:hAnsi="宋体" w:eastAsia="仿宋_GB2312"/>
          <w:b/>
          <w:color w:val="000000"/>
          <w:sz w:val="28"/>
          <w:szCs w:val="28"/>
          <w:highlight w:val="none"/>
        </w:rPr>
        <w:t>六、</w:t>
      </w:r>
      <w:bookmarkStart w:id="965" w:name="OLE_LINK20"/>
      <w:bookmarkStart w:id="966" w:name="OLE_LINK19"/>
      <w:r>
        <w:rPr>
          <w:rFonts w:hint="eastAsia" w:ascii="仿宋_GB2312" w:hAnsi="宋体" w:eastAsia="仿宋_GB2312"/>
          <w:b/>
          <w:color w:val="000000"/>
          <w:sz w:val="28"/>
          <w:szCs w:val="28"/>
          <w:highlight w:val="none"/>
        </w:rPr>
        <w:t>政府采购严重失信行为</w:t>
      </w:r>
      <w:bookmarkEnd w:id="965"/>
      <w:bookmarkEnd w:id="966"/>
    </w:p>
    <w:p w14:paraId="28483B0E">
      <w:pPr>
        <w:adjustRightInd w:val="0"/>
        <w:snapToGrid w:val="0"/>
        <w:spacing w:line="560" w:lineRule="exact"/>
        <w:ind w:firstLine="615"/>
        <w:rPr>
          <w:rFonts w:hint="eastAsia" w:ascii="仿宋_GB2312" w:hAnsi="Calibri" w:eastAsia="仿宋_GB2312"/>
          <w:color w:val="000000"/>
          <w:sz w:val="28"/>
          <w:szCs w:val="28"/>
          <w:highlight w:val="none"/>
        </w:rPr>
      </w:pPr>
      <w:r>
        <w:rPr>
          <w:rFonts w:hint="eastAsia" w:ascii="仿宋_GB2312" w:hAnsi="Calibri" w:eastAsia="仿宋_GB2312"/>
          <w:color w:val="000000"/>
          <w:sz w:val="28"/>
          <w:szCs w:val="28"/>
          <w:highlight w:val="none"/>
        </w:rPr>
        <w:t>供应商、采购代理机构在三年内受到财政部门作出下列情形之一的行政处罚，列入政府采购严重违法失信行为记录名单。</w:t>
      </w:r>
      <w:r>
        <w:rPr>
          <w:rFonts w:hint="eastAsia" w:ascii="仿宋_GB2312" w:hAnsi="Calibri" w:eastAsia="仿宋_GB2312"/>
          <w:color w:val="000000"/>
          <w:sz w:val="28"/>
          <w:szCs w:val="28"/>
          <w:highlight w:val="none"/>
        </w:rPr>
        <w:br w:type="textWrapping"/>
      </w:r>
      <w:r>
        <w:rPr>
          <w:rFonts w:hint="eastAsia" w:ascii="仿宋_GB2312" w:hAnsi="Calibri" w:eastAsia="仿宋_GB2312"/>
          <w:color w:val="000000"/>
          <w:sz w:val="28"/>
          <w:szCs w:val="28"/>
          <w:highlight w:val="none"/>
        </w:rPr>
        <w:t>　　（一）三万元以上罚款；</w:t>
      </w:r>
      <w:r>
        <w:rPr>
          <w:rFonts w:hint="eastAsia" w:ascii="仿宋_GB2312" w:hAnsi="Calibri" w:eastAsia="仿宋_GB2312"/>
          <w:color w:val="000000"/>
          <w:sz w:val="28"/>
          <w:szCs w:val="28"/>
          <w:highlight w:val="none"/>
        </w:rPr>
        <w:br w:type="textWrapping"/>
      </w:r>
      <w:r>
        <w:rPr>
          <w:rFonts w:hint="eastAsia" w:ascii="仿宋_GB2312" w:hAnsi="Calibri" w:eastAsia="仿宋_GB2312"/>
          <w:color w:val="000000"/>
          <w:sz w:val="28"/>
          <w:szCs w:val="28"/>
          <w:highlight w:val="none"/>
        </w:rPr>
        <w:t>　　（二）在一至三年内禁止参加政府采购活动（处罚期限届满的除外）；</w:t>
      </w:r>
      <w:r>
        <w:rPr>
          <w:rFonts w:hint="eastAsia" w:ascii="仿宋_GB2312" w:hAnsi="Calibri" w:eastAsia="仿宋_GB2312"/>
          <w:color w:val="000000"/>
          <w:sz w:val="28"/>
          <w:szCs w:val="28"/>
          <w:highlight w:val="none"/>
        </w:rPr>
        <w:br w:type="textWrapping"/>
      </w:r>
      <w:r>
        <w:rPr>
          <w:rFonts w:hint="eastAsia" w:ascii="仿宋_GB2312" w:hAnsi="Calibri" w:eastAsia="仿宋_GB2312"/>
          <w:color w:val="000000"/>
          <w:sz w:val="28"/>
          <w:szCs w:val="28"/>
          <w:highlight w:val="none"/>
        </w:rPr>
        <w:t>　　（三）在一至三年内禁止代理政府采购业务（处罚期限届满的除外）；</w:t>
      </w:r>
      <w:r>
        <w:rPr>
          <w:rFonts w:hint="eastAsia" w:ascii="仿宋_GB2312" w:hAnsi="Calibri" w:eastAsia="仿宋_GB2312"/>
          <w:color w:val="000000"/>
          <w:sz w:val="28"/>
          <w:szCs w:val="28"/>
          <w:highlight w:val="none"/>
        </w:rPr>
        <w:br w:type="textWrapping"/>
      </w:r>
      <w:r>
        <w:rPr>
          <w:rFonts w:hint="eastAsia" w:ascii="仿宋_GB2312" w:hAnsi="宋体" w:eastAsia="仿宋_GB2312"/>
          <w:color w:val="000000"/>
          <w:sz w:val="28"/>
          <w:szCs w:val="28"/>
          <w:highlight w:val="none"/>
        </w:rPr>
        <w:t xml:space="preserve">　 </w:t>
      </w:r>
      <w:r>
        <w:rPr>
          <w:rFonts w:hint="eastAsia" w:ascii="仿宋_GB2312" w:hAnsi="Calibri" w:eastAsia="仿宋_GB2312"/>
          <w:color w:val="000000"/>
          <w:sz w:val="28"/>
          <w:szCs w:val="28"/>
          <w:highlight w:val="none"/>
        </w:rPr>
        <w:t>（四）撤销政府采购代理机构资格（仅针对《政府采购法》第78条修改前作出的处罚决定）。</w:t>
      </w:r>
    </w:p>
    <w:p w14:paraId="16A3FFB2">
      <w:pPr>
        <w:adjustRightInd w:val="0"/>
        <w:snapToGrid w:val="0"/>
        <w:spacing w:line="560" w:lineRule="exact"/>
        <w:ind w:firstLine="562" w:firstLineChars="200"/>
        <w:jc w:val="left"/>
        <w:rPr>
          <w:rFonts w:hint="eastAsia" w:ascii="仿宋_GB2312" w:hAnsi="Calibri" w:eastAsia="仿宋_GB2312"/>
          <w:b/>
          <w:color w:val="000000"/>
          <w:sz w:val="28"/>
          <w:szCs w:val="28"/>
          <w:highlight w:val="none"/>
        </w:rPr>
      </w:pPr>
      <w:r>
        <w:rPr>
          <w:rFonts w:hint="eastAsia" w:ascii="仿宋_GB2312" w:hAnsi="Calibri" w:eastAsia="仿宋_GB2312"/>
          <w:b/>
          <w:color w:val="000000"/>
          <w:sz w:val="28"/>
          <w:szCs w:val="28"/>
          <w:highlight w:val="none"/>
        </w:rPr>
        <w:t>依据：《关于报送政府采购严重违法失信行为信息记录的通知》</w:t>
      </w:r>
      <w:r>
        <w:rPr>
          <w:rFonts w:hint="eastAsia" w:ascii="Calibri" w:hAnsi="Calibri"/>
          <w:b/>
          <w:color w:val="000000"/>
          <w:sz w:val="28"/>
          <w:szCs w:val="28"/>
          <w:highlight w:val="none"/>
        </w:rPr>
        <w:t>（财办库〔</w:t>
      </w:r>
      <w:r>
        <w:rPr>
          <w:rFonts w:ascii="Calibri" w:hAnsi="Calibri"/>
          <w:b/>
          <w:color w:val="000000"/>
          <w:sz w:val="28"/>
          <w:szCs w:val="28"/>
          <w:highlight w:val="none"/>
        </w:rPr>
        <w:t>2014</w:t>
      </w:r>
      <w:r>
        <w:rPr>
          <w:rFonts w:hint="eastAsia" w:ascii="Calibri" w:hAnsi="Calibri"/>
          <w:b/>
          <w:color w:val="000000"/>
          <w:sz w:val="28"/>
          <w:szCs w:val="28"/>
          <w:highlight w:val="none"/>
        </w:rPr>
        <w:t>〕</w:t>
      </w:r>
      <w:r>
        <w:rPr>
          <w:rFonts w:ascii="Calibri" w:hAnsi="Calibri"/>
          <w:b/>
          <w:color w:val="000000"/>
          <w:sz w:val="28"/>
          <w:szCs w:val="28"/>
          <w:highlight w:val="none"/>
        </w:rPr>
        <w:t>526</w:t>
      </w:r>
      <w:r>
        <w:rPr>
          <w:rFonts w:hint="eastAsia" w:ascii="Calibri" w:hAnsi="Calibri"/>
          <w:b/>
          <w:color w:val="000000"/>
          <w:sz w:val="28"/>
          <w:szCs w:val="28"/>
          <w:highlight w:val="none"/>
        </w:rPr>
        <w:t>号）</w:t>
      </w:r>
    </w:p>
    <w:p w14:paraId="224FA00F">
      <w:pPr>
        <w:adjustRightInd w:val="0"/>
        <w:snapToGrid w:val="0"/>
        <w:spacing w:line="560" w:lineRule="exact"/>
        <w:rPr>
          <w:rFonts w:hint="eastAsia" w:ascii="仿宋_GB2312" w:hAnsi="宋体" w:eastAsia="仿宋_GB2312"/>
          <w:b/>
          <w:color w:val="000000"/>
          <w:sz w:val="28"/>
          <w:szCs w:val="28"/>
          <w:highlight w:val="none"/>
        </w:rPr>
      </w:pPr>
    </w:p>
    <w:p w14:paraId="0A91B9BD">
      <w:pPr>
        <w:adjustRightInd w:val="0"/>
        <w:snapToGrid w:val="0"/>
        <w:spacing w:line="560" w:lineRule="exact"/>
        <w:ind w:firstLine="615"/>
        <w:rPr>
          <w:rFonts w:hint="eastAsia" w:ascii="仿宋_GB2312" w:hAnsi="Calibri" w:eastAsia="仿宋_GB2312"/>
          <w:b/>
          <w:color w:val="000000"/>
          <w:sz w:val="32"/>
          <w:szCs w:val="32"/>
          <w:highlight w:val="none"/>
        </w:rPr>
      </w:pPr>
      <w:r>
        <w:rPr>
          <w:rFonts w:hint="eastAsia" w:ascii="仿宋_GB2312" w:hAnsi="宋体" w:eastAsia="仿宋_GB2312"/>
          <w:b/>
          <w:color w:val="000000"/>
          <w:sz w:val="28"/>
          <w:szCs w:val="28"/>
          <w:highlight w:val="none"/>
        </w:rPr>
        <w:t>未列出的其他类别严重失信行为，由招标人（代理机构）根据各类别行业主管部门下发的联合惩戒文件进行判</w:t>
      </w:r>
      <w:r>
        <w:rPr>
          <w:rFonts w:hint="eastAsia" w:ascii="仿宋_GB2312" w:hAnsi="宋体" w:eastAsia="仿宋_GB2312"/>
          <w:b/>
          <w:color w:val="000000"/>
          <w:sz w:val="32"/>
          <w:szCs w:val="32"/>
          <w:highlight w:val="none"/>
        </w:rPr>
        <w:t>断。</w:t>
      </w:r>
    </w:p>
    <w:p w14:paraId="715B92A1">
      <w:pPr>
        <w:pStyle w:val="2"/>
        <w:rPr>
          <w:highlight w:val="none"/>
        </w:rPr>
      </w:pPr>
    </w:p>
    <w:sectPr>
      <w:headerReference r:id="rId6" w:type="default"/>
      <w:footerReference r:id="rId7" w:type="default"/>
      <w:pgSz w:w="11906" w:h="16838"/>
      <w:pgMar w:top="1134" w:right="1417" w:bottom="1134" w:left="141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42DBF">
    <w:pPr>
      <w:pStyle w:val="29"/>
      <w:rPr>
        <w:rStyle w:val="51"/>
      </w:rPr>
    </w:pPr>
  </w:p>
  <w:p w14:paraId="53435915">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08C72">
    <w:pPr>
      <w:pStyle w:val="29"/>
      <w:rPr>
        <w:rStyle w:val="51"/>
      </w:rPr>
    </w:pPr>
  </w:p>
  <w:p w14:paraId="78B0040E">
    <w:pPr>
      <w:pStyle w:val="2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767B4">
    <w:pPr>
      <w:pStyle w:val="29"/>
      <w:rPr>
        <w:rStyle w:val="5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02D7ED">
                          <w:pPr>
                            <w:pStyle w:val="29"/>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qv1RMoBAACcAwAADgAAAGRycy9lMm9Eb2MueG1srVPNjtMwEL4j8Q6W&#10;79RpD6hE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5xEyhx3OLAL9+/XX78uvz8SpbV&#10;6k1WqA9QY+JDwNQ03PkhZ09+QGcmPqho8xcpEYyjvuervnJIRORH69V6XWFIYGy+IA57fB4ipLfS&#10;W5KNhkYcYNGVn95DGlPnlFzN+XttDPp5bdxfDsTMHpZ7H3vMVhr2w9T43rdn5NPj7BvqcNUpMe8c&#10;SpvXZDbibOxn4xiiPnRlj3I9CLfHhE2U3nKFEXYqjEMr7KYFy1vx571kPf5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Rqv1RMoBAACcAwAADgAAAAAAAAABACAAAAAeAQAAZHJzL2Uyb0Rv&#10;Yy54bWxQSwUGAAAAAAYABgBZAQAAWgUAAAAA&#10;">
              <v:fill on="f" focussize="0,0"/>
              <v:stroke on="f"/>
              <v:imagedata o:title=""/>
              <o:lock v:ext="edit" aspectratio="f"/>
              <v:textbox inset="0mm,0mm,0mm,0mm" style="mso-fit-shape-to-text:t;">
                <w:txbxContent>
                  <w:p w14:paraId="2802D7ED">
                    <w:pPr>
                      <w:pStyle w:val="29"/>
                    </w:pPr>
                    <w:r>
                      <w:fldChar w:fldCharType="begin"/>
                    </w:r>
                    <w:r>
                      <w:instrText xml:space="preserve"> PAGE  \* MERGEFORMAT </w:instrText>
                    </w:r>
                    <w:r>
                      <w:fldChar w:fldCharType="separate"/>
                    </w:r>
                    <w:r>
                      <w:t>2</w:t>
                    </w:r>
                    <w:r>
                      <w:fldChar w:fldCharType="end"/>
                    </w:r>
                  </w:p>
                </w:txbxContent>
              </v:textbox>
            </v:shape>
          </w:pict>
        </mc:Fallback>
      </mc:AlternateContent>
    </w:r>
  </w:p>
  <w:p w14:paraId="01B2BA8E">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EBD4B">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38BC04">
    <w:pPr>
      <w:pStyle w:val="3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3C7851"/>
    <w:multiLevelType w:val="singleLevel"/>
    <w:tmpl w:val="6E3C7851"/>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MDcwYWJmYjExZWQzNTVmZDAzZTYwM2JlMzJmZDYifQ=="/>
  </w:docVars>
  <w:rsids>
    <w:rsidRoot w:val="00172A27"/>
    <w:rsid w:val="0000197A"/>
    <w:rsid w:val="00002E1B"/>
    <w:rsid w:val="000046EA"/>
    <w:rsid w:val="00004E34"/>
    <w:rsid w:val="00005CD8"/>
    <w:rsid w:val="00006123"/>
    <w:rsid w:val="000070B7"/>
    <w:rsid w:val="0000758B"/>
    <w:rsid w:val="00010F4B"/>
    <w:rsid w:val="0001111D"/>
    <w:rsid w:val="00011A14"/>
    <w:rsid w:val="00012844"/>
    <w:rsid w:val="00012D1D"/>
    <w:rsid w:val="00017114"/>
    <w:rsid w:val="00017EFA"/>
    <w:rsid w:val="00020FE0"/>
    <w:rsid w:val="00021BDB"/>
    <w:rsid w:val="000225E0"/>
    <w:rsid w:val="00022A89"/>
    <w:rsid w:val="00023D05"/>
    <w:rsid w:val="00026E12"/>
    <w:rsid w:val="000273CC"/>
    <w:rsid w:val="000330C1"/>
    <w:rsid w:val="000335C0"/>
    <w:rsid w:val="00034C73"/>
    <w:rsid w:val="0003719A"/>
    <w:rsid w:val="00037B93"/>
    <w:rsid w:val="00040224"/>
    <w:rsid w:val="0004332D"/>
    <w:rsid w:val="00044907"/>
    <w:rsid w:val="0004695D"/>
    <w:rsid w:val="00046C34"/>
    <w:rsid w:val="00057DBF"/>
    <w:rsid w:val="000617FE"/>
    <w:rsid w:val="0006411D"/>
    <w:rsid w:val="000642AF"/>
    <w:rsid w:val="00066792"/>
    <w:rsid w:val="00072090"/>
    <w:rsid w:val="00076B75"/>
    <w:rsid w:val="00076F1D"/>
    <w:rsid w:val="00077234"/>
    <w:rsid w:val="000837EF"/>
    <w:rsid w:val="00083ADA"/>
    <w:rsid w:val="0008659F"/>
    <w:rsid w:val="00086C18"/>
    <w:rsid w:val="00090A07"/>
    <w:rsid w:val="00090F90"/>
    <w:rsid w:val="00093100"/>
    <w:rsid w:val="000939B1"/>
    <w:rsid w:val="00094E9D"/>
    <w:rsid w:val="000A078C"/>
    <w:rsid w:val="000A11AD"/>
    <w:rsid w:val="000A2C9F"/>
    <w:rsid w:val="000A475B"/>
    <w:rsid w:val="000A65EE"/>
    <w:rsid w:val="000B0DC9"/>
    <w:rsid w:val="000B3A75"/>
    <w:rsid w:val="000B4B76"/>
    <w:rsid w:val="000B547D"/>
    <w:rsid w:val="000B7A7E"/>
    <w:rsid w:val="000B7EE6"/>
    <w:rsid w:val="000C10AA"/>
    <w:rsid w:val="000C26FD"/>
    <w:rsid w:val="000D08DE"/>
    <w:rsid w:val="000D203E"/>
    <w:rsid w:val="000D2C3D"/>
    <w:rsid w:val="000D2ECE"/>
    <w:rsid w:val="000D4E9E"/>
    <w:rsid w:val="000D7F9C"/>
    <w:rsid w:val="000E0020"/>
    <w:rsid w:val="000E1F7F"/>
    <w:rsid w:val="000E227E"/>
    <w:rsid w:val="000E24EC"/>
    <w:rsid w:val="000E3D3D"/>
    <w:rsid w:val="000F7312"/>
    <w:rsid w:val="000F740E"/>
    <w:rsid w:val="00104E44"/>
    <w:rsid w:val="001063CB"/>
    <w:rsid w:val="0011140E"/>
    <w:rsid w:val="00114707"/>
    <w:rsid w:val="00115943"/>
    <w:rsid w:val="00116988"/>
    <w:rsid w:val="00120E5D"/>
    <w:rsid w:val="00125553"/>
    <w:rsid w:val="0012738D"/>
    <w:rsid w:val="00130FBA"/>
    <w:rsid w:val="00131494"/>
    <w:rsid w:val="00132E3D"/>
    <w:rsid w:val="0014049F"/>
    <w:rsid w:val="00140BFD"/>
    <w:rsid w:val="00142868"/>
    <w:rsid w:val="00146B5E"/>
    <w:rsid w:val="0015292B"/>
    <w:rsid w:val="0015363F"/>
    <w:rsid w:val="00154C59"/>
    <w:rsid w:val="00155F6F"/>
    <w:rsid w:val="001564C3"/>
    <w:rsid w:val="001620D9"/>
    <w:rsid w:val="0016514F"/>
    <w:rsid w:val="00165414"/>
    <w:rsid w:val="00165F97"/>
    <w:rsid w:val="00167090"/>
    <w:rsid w:val="00167507"/>
    <w:rsid w:val="00172A27"/>
    <w:rsid w:val="00173108"/>
    <w:rsid w:val="00173D37"/>
    <w:rsid w:val="00174E43"/>
    <w:rsid w:val="0018238C"/>
    <w:rsid w:val="00182D4C"/>
    <w:rsid w:val="001834BA"/>
    <w:rsid w:val="001843D3"/>
    <w:rsid w:val="00184866"/>
    <w:rsid w:val="00185DBC"/>
    <w:rsid w:val="001867E2"/>
    <w:rsid w:val="001919D1"/>
    <w:rsid w:val="00191DD8"/>
    <w:rsid w:val="00193AE6"/>
    <w:rsid w:val="00194AEF"/>
    <w:rsid w:val="001963BD"/>
    <w:rsid w:val="001A120B"/>
    <w:rsid w:val="001A184C"/>
    <w:rsid w:val="001A274E"/>
    <w:rsid w:val="001A2C88"/>
    <w:rsid w:val="001A37E0"/>
    <w:rsid w:val="001A3EC9"/>
    <w:rsid w:val="001A50F2"/>
    <w:rsid w:val="001A6EF7"/>
    <w:rsid w:val="001B1DF0"/>
    <w:rsid w:val="001B21A5"/>
    <w:rsid w:val="001B45D5"/>
    <w:rsid w:val="001B4675"/>
    <w:rsid w:val="001B4BDE"/>
    <w:rsid w:val="001B59E9"/>
    <w:rsid w:val="001B62B0"/>
    <w:rsid w:val="001B6A78"/>
    <w:rsid w:val="001C1FC2"/>
    <w:rsid w:val="001C4E01"/>
    <w:rsid w:val="001C7AB4"/>
    <w:rsid w:val="001D0C94"/>
    <w:rsid w:val="001D3498"/>
    <w:rsid w:val="001E1380"/>
    <w:rsid w:val="001E5247"/>
    <w:rsid w:val="001F23AB"/>
    <w:rsid w:val="001F32ED"/>
    <w:rsid w:val="001F4F95"/>
    <w:rsid w:val="001F7E70"/>
    <w:rsid w:val="00200459"/>
    <w:rsid w:val="00202DB7"/>
    <w:rsid w:val="00207065"/>
    <w:rsid w:val="00207999"/>
    <w:rsid w:val="00212D04"/>
    <w:rsid w:val="00213FCA"/>
    <w:rsid w:val="00214988"/>
    <w:rsid w:val="00214B43"/>
    <w:rsid w:val="00214F76"/>
    <w:rsid w:val="002202CE"/>
    <w:rsid w:val="0022219A"/>
    <w:rsid w:val="00222521"/>
    <w:rsid w:val="00227461"/>
    <w:rsid w:val="0022783F"/>
    <w:rsid w:val="00230392"/>
    <w:rsid w:val="00230583"/>
    <w:rsid w:val="00230A2B"/>
    <w:rsid w:val="00231547"/>
    <w:rsid w:val="002334EC"/>
    <w:rsid w:val="00235B32"/>
    <w:rsid w:val="00236AD7"/>
    <w:rsid w:val="00237688"/>
    <w:rsid w:val="00240423"/>
    <w:rsid w:val="00243B18"/>
    <w:rsid w:val="00246AD7"/>
    <w:rsid w:val="00246B91"/>
    <w:rsid w:val="00247A64"/>
    <w:rsid w:val="00250013"/>
    <w:rsid w:val="00250BCF"/>
    <w:rsid w:val="00253591"/>
    <w:rsid w:val="00255670"/>
    <w:rsid w:val="00256780"/>
    <w:rsid w:val="00262ABE"/>
    <w:rsid w:val="002657EE"/>
    <w:rsid w:val="00276F57"/>
    <w:rsid w:val="00277D06"/>
    <w:rsid w:val="002816D4"/>
    <w:rsid w:val="00286980"/>
    <w:rsid w:val="002928CE"/>
    <w:rsid w:val="00292C87"/>
    <w:rsid w:val="0029757E"/>
    <w:rsid w:val="002A1A66"/>
    <w:rsid w:val="002A39EF"/>
    <w:rsid w:val="002A599F"/>
    <w:rsid w:val="002A6E04"/>
    <w:rsid w:val="002B4BA8"/>
    <w:rsid w:val="002B7071"/>
    <w:rsid w:val="002B7117"/>
    <w:rsid w:val="002B714A"/>
    <w:rsid w:val="002B718A"/>
    <w:rsid w:val="002B7621"/>
    <w:rsid w:val="002C2E22"/>
    <w:rsid w:val="002C4A57"/>
    <w:rsid w:val="002C528E"/>
    <w:rsid w:val="002C5643"/>
    <w:rsid w:val="002E13EC"/>
    <w:rsid w:val="002E41CC"/>
    <w:rsid w:val="002F05E9"/>
    <w:rsid w:val="002F2C99"/>
    <w:rsid w:val="002F3D6A"/>
    <w:rsid w:val="002F794D"/>
    <w:rsid w:val="003029B3"/>
    <w:rsid w:val="00303019"/>
    <w:rsid w:val="00306787"/>
    <w:rsid w:val="00306966"/>
    <w:rsid w:val="0031113D"/>
    <w:rsid w:val="00311AAC"/>
    <w:rsid w:val="00313CA4"/>
    <w:rsid w:val="00314E82"/>
    <w:rsid w:val="003150CE"/>
    <w:rsid w:val="00315FF9"/>
    <w:rsid w:val="00316270"/>
    <w:rsid w:val="00321598"/>
    <w:rsid w:val="00321FDB"/>
    <w:rsid w:val="00323870"/>
    <w:rsid w:val="00323FFD"/>
    <w:rsid w:val="00324847"/>
    <w:rsid w:val="00324A5E"/>
    <w:rsid w:val="00325624"/>
    <w:rsid w:val="0032611D"/>
    <w:rsid w:val="003264EB"/>
    <w:rsid w:val="00326940"/>
    <w:rsid w:val="00330CCD"/>
    <w:rsid w:val="00332891"/>
    <w:rsid w:val="00332BBD"/>
    <w:rsid w:val="00333810"/>
    <w:rsid w:val="003343C0"/>
    <w:rsid w:val="00340804"/>
    <w:rsid w:val="00342D97"/>
    <w:rsid w:val="00343375"/>
    <w:rsid w:val="003448C2"/>
    <w:rsid w:val="00344CD6"/>
    <w:rsid w:val="0034662F"/>
    <w:rsid w:val="003510D2"/>
    <w:rsid w:val="00351A8E"/>
    <w:rsid w:val="0035447B"/>
    <w:rsid w:val="00356B27"/>
    <w:rsid w:val="00356B90"/>
    <w:rsid w:val="00357C8A"/>
    <w:rsid w:val="00360C29"/>
    <w:rsid w:val="0036101B"/>
    <w:rsid w:val="003613C6"/>
    <w:rsid w:val="00361CBA"/>
    <w:rsid w:val="00362EE3"/>
    <w:rsid w:val="0036593D"/>
    <w:rsid w:val="00366951"/>
    <w:rsid w:val="00370107"/>
    <w:rsid w:val="003720A1"/>
    <w:rsid w:val="003745F9"/>
    <w:rsid w:val="00376808"/>
    <w:rsid w:val="0037767C"/>
    <w:rsid w:val="003817E6"/>
    <w:rsid w:val="00381E22"/>
    <w:rsid w:val="0038244A"/>
    <w:rsid w:val="00382545"/>
    <w:rsid w:val="00383221"/>
    <w:rsid w:val="00384090"/>
    <w:rsid w:val="003844ED"/>
    <w:rsid w:val="00386132"/>
    <w:rsid w:val="003871B4"/>
    <w:rsid w:val="00393016"/>
    <w:rsid w:val="00394BA5"/>
    <w:rsid w:val="00394D82"/>
    <w:rsid w:val="003A70F7"/>
    <w:rsid w:val="003B39C6"/>
    <w:rsid w:val="003B4CDE"/>
    <w:rsid w:val="003B5919"/>
    <w:rsid w:val="003B7075"/>
    <w:rsid w:val="003B7983"/>
    <w:rsid w:val="003C24F4"/>
    <w:rsid w:val="003C4452"/>
    <w:rsid w:val="003C4CBD"/>
    <w:rsid w:val="003C7646"/>
    <w:rsid w:val="003D0BFC"/>
    <w:rsid w:val="003D206A"/>
    <w:rsid w:val="003D27B4"/>
    <w:rsid w:val="003D34ED"/>
    <w:rsid w:val="003D60ED"/>
    <w:rsid w:val="003D7852"/>
    <w:rsid w:val="003E0F27"/>
    <w:rsid w:val="003E15AB"/>
    <w:rsid w:val="003E3274"/>
    <w:rsid w:val="003E441B"/>
    <w:rsid w:val="003E528B"/>
    <w:rsid w:val="003E62C9"/>
    <w:rsid w:val="003E64A4"/>
    <w:rsid w:val="003F1184"/>
    <w:rsid w:val="003F19CD"/>
    <w:rsid w:val="003F34D1"/>
    <w:rsid w:val="003F5214"/>
    <w:rsid w:val="003F56BE"/>
    <w:rsid w:val="003F72A7"/>
    <w:rsid w:val="00403578"/>
    <w:rsid w:val="0040419B"/>
    <w:rsid w:val="00404AFD"/>
    <w:rsid w:val="0041061A"/>
    <w:rsid w:val="00411B9C"/>
    <w:rsid w:val="004139CC"/>
    <w:rsid w:val="00416BD0"/>
    <w:rsid w:val="004179E4"/>
    <w:rsid w:val="00422908"/>
    <w:rsid w:val="0042416B"/>
    <w:rsid w:val="004249BA"/>
    <w:rsid w:val="0042531B"/>
    <w:rsid w:val="004306D8"/>
    <w:rsid w:val="00430F18"/>
    <w:rsid w:val="00432BC1"/>
    <w:rsid w:val="00433924"/>
    <w:rsid w:val="00434AAC"/>
    <w:rsid w:val="0043512B"/>
    <w:rsid w:val="00435537"/>
    <w:rsid w:val="004355FE"/>
    <w:rsid w:val="00441E58"/>
    <w:rsid w:val="00445715"/>
    <w:rsid w:val="00445E0F"/>
    <w:rsid w:val="00446179"/>
    <w:rsid w:val="004506F7"/>
    <w:rsid w:val="0045199B"/>
    <w:rsid w:val="00451F70"/>
    <w:rsid w:val="00454C0F"/>
    <w:rsid w:val="00454F95"/>
    <w:rsid w:val="004571AF"/>
    <w:rsid w:val="00462043"/>
    <w:rsid w:val="0046380E"/>
    <w:rsid w:val="00466093"/>
    <w:rsid w:val="004712B0"/>
    <w:rsid w:val="00471B5C"/>
    <w:rsid w:val="00473006"/>
    <w:rsid w:val="00473509"/>
    <w:rsid w:val="00473BA0"/>
    <w:rsid w:val="00474B17"/>
    <w:rsid w:val="0047678B"/>
    <w:rsid w:val="00477FF4"/>
    <w:rsid w:val="00482303"/>
    <w:rsid w:val="00487C57"/>
    <w:rsid w:val="00494CD7"/>
    <w:rsid w:val="004A3117"/>
    <w:rsid w:val="004A394F"/>
    <w:rsid w:val="004A7299"/>
    <w:rsid w:val="004B15C6"/>
    <w:rsid w:val="004C0130"/>
    <w:rsid w:val="004C1E7E"/>
    <w:rsid w:val="004C2BF2"/>
    <w:rsid w:val="004C4C36"/>
    <w:rsid w:val="004C791A"/>
    <w:rsid w:val="004D0871"/>
    <w:rsid w:val="004D31D7"/>
    <w:rsid w:val="004D6B92"/>
    <w:rsid w:val="004E085C"/>
    <w:rsid w:val="004E0F8D"/>
    <w:rsid w:val="004F0E30"/>
    <w:rsid w:val="004F1D3D"/>
    <w:rsid w:val="004F3C9D"/>
    <w:rsid w:val="004F5CF2"/>
    <w:rsid w:val="004F77A5"/>
    <w:rsid w:val="00504F99"/>
    <w:rsid w:val="00505F69"/>
    <w:rsid w:val="005078D7"/>
    <w:rsid w:val="00510F89"/>
    <w:rsid w:val="00512B81"/>
    <w:rsid w:val="00513D1E"/>
    <w:rsid w:val="0052022B"/>
    <w:rsid w:val="005212B3"/>
    <w:rsid w:val="00525D5C"/>
    <w:rsid w:val="00526B90"/>
    <w:rsid w:val="00527D18"/>
    <w:rsid w:val="005324F1"/>
    <w:rsid w:val="005345CF"/>
    <w:rsid w:val="00534798"/>
    <w:rsid w:val="00534AB4"/>
    <w:rsid w:val="005362C3"/>
    <w:rsid w:val="00536BAD"/>
    <w:rsid w:val="00537141"/>
    <w:rsid w:val="005408F8"/>
    <w:rsid w:val="00543A1A"/>
    <w:rsid w:val="00543D1A"/>
    <w:rsid w:val="00545A63"/>
    <w:rsid w:val="00550A8B"/>
    <w:rsid w:val="00551ABE"/>
    <w:rsid w:val="00551F3F"/>
    <w:rsid w:val="00553C28"/>
    <w:rsid w:val="00555711"/>
    <w:rsid w:val="0055655B"/>
    <w:rsid w:val="005575EF"/>
    <w:rsid w:val="00557CAA"/>
    <w:rsid w:val="005610A7"/>
    <w:rsid w:val="00562097"/>
    <w:rsid w:val="00562642"/>
    <w:rsid w:val="00562653"/>
    <w:rsid w:val="00563B31"/>
    <w:rsid w:val="00564616"/>
    <w:rsid w:val="00565E25"/>
    <w:rsid w:val="00566512"/>
    <w:rsid w:val="005677A2"/>
    <w:rsid w:val="00571668"/>
    <w:rsid w:val="00573193"/>
    <w:rsid w:val="005736B2"/>
    <w:rsid w:val="0057643A"/>
    <w:rsid w:val="00580342"/>
    <w:rsid w:val="00582213"/>
    <w:rsid w:val="005901E1"/>
    <w:rsid w:val="005915F5"/>
    <w:rsid w:val="00591F58"/>
    <w:rsid w:val="00592834"/>
    <w:rsid w:val="00594FBF"/>
    <w:rsid w:val="0059693D"/>
    <w:rsid w:val="00597823"/>
    <w:rsid w:val="005A3405"/>
    <w:rsid w:val="005A5E6E"/>
    <w:rsid w:val="005A65D3"/>
    <w:rsid w:val="005A71BD"/>
    <w:rsid w:val="005A7C75"/>
    <w:rsid w:val="005B3CFB"/>
    <w:rsid w:val="005B4AA4"/>
    <w:rsid w:val="005B5C42"/>
    <w:rsid w:val="005B682A"/>
    <w:rsid w:val="005B705D"/>
    <w:rsid w:val="005C0054"/>
    <w:rsid w:val="005D0BCF"/>
    <w:rsid w:val="005D1D33"/>
    <w:rsid w:val="005D1E1A"/>
    <w:rsid w:val="005D2808"/>
    <w:rsid w:val="005D49DC"/>
    <w:rsid w:val="005D6EDB"/>
    <w:rsid w:val="005E4BD5"/>
    <w:rsid w:val="005E6D8D"/>
    <w:rsid w:val="005E7874"/>
    <w:rsid w:val="005F2C58"/>
    <w:rsid w:val="005F3CD8"/>
    <w:rsid w:val="005F6D4E"/>
    <w:rsid w:val="00601231"/>
    <w:rsid w:val="006015AA"/>
    <w:rsid w:val="006053A4"/>
    <w:rsid w:val="00610D91"/>
    <w:rsid w:val="0061143B"/>
    <w:rsid w:val="006173D9"/>
    <w:rsid w:val="006174D0"/>
    <w:rsid w:val="00617B19"/>
    <w:rsid w:val="00620E0C"/>
    <w:rsid w:val="0062507F"/>
    <w:rsid w:val="00626412"/>
    <w:rsid w:val="00627097"/>
    <w:rsid w:val="00627F07"/>
    <w:rsid w:val="00630701"/>
    <w:rsid w:val="00630A52"/>
    <w:rsid w:val="006314EC"/>
    <w:rsid w:val="006317D9"/>
    <w:rsid w:val="006319A4"/>
    <w:rsid w:val="006320EC"/>
    <w:rsid w:val="00632505"/>
    <w:rsid w:val="0063261C"/>
    <w:rsid w:val="00634E49"/>
    <w:rsid w:val="006404B8"/>
    <w:rsid w:val="00640732"/>
    <w:rsid w:val="00640CD1"/>
    <w:rsid w:val="006411FA"/>
    <w:rsid w:val="006468C4"/>
    <w:rsid w:val="00656322"/>
    <w:rsid w:val="0065656C"/>
    <w:rsid w:val="00662C9C"/>
    <w:rsid w:val="00664CCB"/>
    <w:rsid w:val="0066501C"/>
    <w:rsid w:val="00667847"/>
    <w:rsid w:val="00667E21"/>
    <w:rsid w:val="00672253"/>
    <w:rsid w:val="00672477"/>
    <w:rsid w:val="006803F2"/>
    <w:rsid w:val="00680EED"/>
    <w:rsid w:val="00683A32"/>
    <w:rsid w:val="00686C3A"/>
    <w:rsid w:val="0069751D"/>
    <w:rsid w:val="00697E3A"/>
    <w:rsid w:val="006A5A61"/>
    <w:rsid w:val="006A6C9D"/>
    <w:rsid w:val="006B06AF"/>
    <w:rsid w:val="006B3780"/>
    <w:rsid w:val="006B3913"/>
    <w:rsid w:val="006B5F0A"/>
    <w:rsid w:val="006B7B67"/>
    <w:rsid w:val="006C004B"/>
    <w:rsid w:val="006C09E3"/>
    <w:rsid w:val="006C12A2"/>
    <w:rsid w:val="006C1EAD"/>
    <w:rsid w:val="006C3056"/>
    <w:rsid w:val="006C3E9D"/>
    <w:rsid w:val="006C4608"/>
    <w:rsid w:val="006E29E7"/>
    <w:rsid w:val="006E3C5D"/>
    <w:rsid w:val="006E4C81"/>
    <w:rsid w:val="006F3D17"/>
    <w:rsid w:val="007010A6"/>
    <w:rsid w:val="007010E6"/>
    <w:rsid w:val="007013D6"/>
    <w:rsid w:val="00704877"/>
    <w:rsid w:val="007056DC"/>
    <w:rsid w:val="00707B0D"/>
    <w:rsid w:val="00707F33"/>
    <w:rsid w:val="00707FB8"/>
    <w:rsid w:val="00710E91"/>
    <w:rsid w:val="00712094"/>
    <w:rsid w:val="00712899"/>
    <w:rsid w:val="00716F04"/>
    <w:rsid w:val="007220FC"/>
    <w:rsid w:val="007224C8"/>
    <w:rsid w:val="00731F87"/>
    <w:rsid w:val="00734057"/>
    <w:rsid w:val="007347A9"/>
    <w:rsid w:val="00734A59"/>
    <w:rsid w:val="00737389"/>
    <w:rsid w:val="00740EA7"/>
    <w:rsid w:val="00741E7A"/>
    <w:rsid w:val="00743A79"/>
    <w:rsid w:val="00746374"/>
    <w:rsid w:val="0074694C"/>
    <w:rsid w:val="00750DC6"/>
    <w:rsid w:val="00751F36"/>
    <w:rsid w:val="00752ABA"/>
    <w:rsid w:val="007544B3"/>
    <w:rsid w:val="00754953"/>
    <w:rsid w:val="00755F4B"/>
    <w:rsid w:val="007569BF"/>
    <w:rsid w:val="00764F21"/>
    <w:rsid w:val="007650EA"/>
    <w:rsid w:val="00771225"/>
    <w:rsid w:val="007716E8"/>
    <w:rsid w:val="00771EE2"/>
    <w:rsid w:val="00772F61"/>
    <w:rsid w:val="007735D0"/>
    <w:rsid w:val="00776CE6"/>
    <w:rsid w:val="0077709D"/>
    <w:rsid w:val="0077725B"/>
    <w:rsid w:val="0078232E"/>
    <w:rsid w:val="007825BB"/>
    <w:rsid w:val="0078387C"/>
    <w:rsid w:val="007846BD"/>
    <w:rsid w:val="007852C4"/>
    <w:rsid w:val="00785C7C"/>
    <w:rsid w:val="00791072"/>
    <w:rsid w:val="00791620"/>
    <w:rsid w:val="00792C93"/>
    <w:rsid w:val="0079603B"/>
    <w:rsid w:val="00796119"/>
    <w:rsid w:val="00797F29"/>
    <w:rsid w:val="00797F99"/>
    <w:rsid w:val="007A3AD3"/>
    <w:rsid w:val="007A5486"/>
    <w:rsid w:val="007A59DE"/>
    <w:rsid w:val="007B10BC"/>
    <w:rsid w:val="007B2FBF"/>
    <w:rsid w:val="007B6549"/>
    <w:rsid w:val="007B7D18"/>
    <w:rsid w:val="007C065A"/>
    <w:rsid w:val="007C313C"/>
    <w:rsid w:val="007C5C10"/>
    <w:rsid w:val="007C5C4D"/>
    <w:rsid w:val="007D2547"/>
    <w:rsid w:val="007D3552"/>
    <w:rsid w:val="007D5303"/>
    <w:rsid w:val="007D6C61"/>
    <w:rsid w:val="007D7027"/>
    <w:rsid w:val="007E1D6E"/>
    <w:rsid w:val="007E60BB"/>
    <w:rsid w:val="007E66F0"/>
    <w:rsid w:val="007E6E71"/>
    <w:rsid w:val="007F0879"/>
    <w:rsid w:val="007F2072"/>
    <w:rsid w:val="007F7CC1"/>
    <w:rsid w:val="00801530"/>
    <w:rsid w:val="00803277"/>
    <w:rsid w:val="00803BC6"/>
    <w:rsid w:val="008044D7"/>
    <w:rsid w:val="00811BC8"/>
    <w:rsid w:val="00812181"/>
    <w:rsid w:val="0081385B"/>
    <w:rsid w:val="00816600"/>
    <w:rsid w:val="00821645"/>
    <w:rsid w:val="00822D2E"/>
    <w:rsid w:val="00827EA0"/>
    <w:rsid w:val="0083345E"/>
    <w:rsid w:val="00834EAE"/>
    <w:rsid w:val="00841403"/>
    <w:rsid w:val="0084190B"/>
    <w:rsid w:val="0084411B"/>
    <w:rsid w:val="00844951"/>
    <w:rsid w:val="00844D6E"/>
    <w:rsid w:val="00845A5D"/>
    <w:rsid w:val="008462FB"/>
    <w:rsid w:val="008465CD"/>
    <w:rsid w:val="0084663D"/>
    <w:rsid w:val="008515C0"/>
    <w:rsid w:val="00854873"/>
    <w:rsid w:val="00855E83"/>
    <w:rsid w:val="00856515"/>
    <w:rsid w:val="0086292A"/>
    <w:rsid w:val="00864FC6"/>
    <w:rsid w:val="00865B48"/>
    <w:rsid w:val="00872E7D"/>
    <w:rsid w:val="00874549"/>
    <w:rsid w:val="008756B7"/>
    <w:rsid w:val="008757B7"/>
    <w:rsid w:val="00880472"/>
    <w:rsid w:val="008813F9"/>
    <w:rsid w:val="0088144C"/>
    <w:rsid w:val="00881587"/>
    <w:rsid w:val="0088218C"/>
    <w:rsid w:val="00884060"/>
    <w:rsid w:val="00890796"/>
    <w:rsid w:val="0089321E"/>
    <w:rsid w:val="008933DF"/>
    <w:rsid w:val="00894C08"/>
    <w:rsid w:val="00895001"/>
    <w:rsid w:val="0089560E"/>
    <w:rsid w:val="008A0CBD"/>
    <w:rsid w:val="008A0D2A"/>
    <w:rsid w:val="008A1DEE"/>
    <w:rsid w:val="008A3970"/>
    <w:rsid w:val="008A5701"/>
    <w:rsid w:val="008B3DFF"/>
    <w:rsid w:val="008B3F28"/>
    <w:rsid w:val="008C49D3"/>
    <w:rsid w:val="008C5947"/>
    <w:rsid w:val="008C6DA1"/>
    <w:rsid w:val="008C72A6"/>
    <w:rsid w:val="008D3D94"/>
    <w:rsid w:val="008D618A"/>
    <w:rsid w:val="008E1DC0"/>
    <w:rsid w:val="008E30BF"/>
    <w:rsid w:val="008E35A0"/>
    <w:rsid w:val="008E3A25"/>
    <w:rsid w:val="008E5038"/>
    <w:rsid w:val="008F031C"/>
    <w:rsid w:val="008F1463"/>
    <w:rsid w:val="008F1F11"/>
    <w:rsid w:val="008F31C7"/>
    <w:rsid w:val="008F7358"/>
    <w:rsid w:val="008F7394"/>
    <w:rsid w:val="008F79D7"/>
    <w:rsid w:val="009006DF"/>
    <w:rsid w:val="00910153"/>
    <w:rsid w:val="00910A19"/>
    <w:rsid w:val="00910BDC"/>
    <w:rsid w:val="00910F4E"/>
    <w:rsid w:val="00911695"/>
    <w:rsid w:val="00911E55"/>
    <w:rsid w:val="00913F05"/>
    <w:rsid w:val="0091562C"/>
    <w:rsid w:val="009177B6"/>
    <w:rsid w:val="00917A27"/>
    <w:rsid w:val="00923CD3"/>
    <w:rsid w:val="00924202"/>
    <w:rsid w:val="00924E50"/>
    <w:rsid w:val="00925CC6"/>
    <w:rsid w:val="00926ABF"/>
    <w:rsid w:val="00927A26"/>
    <w:rsid w:val="00927D00"/>
    <w:rsid w:val="00930969"/>
    <w:rsid w:val="0093269F"/>
    <w:rsid w:val="00936433"/>
    <w:rsid w:val="009412CD"/>
    <w:rsid w:val="0095349A"/>
    <w:rsid w:val="00955204"/>
    <w:rsid w:val="00960CAB"/>
    <w:rsid w:val="00960CCB"/>
    <w:rsid w:val="00961359"/>
    <w:rsid w:val="00962A0B"/>
    <w:rsid w:val="00962C4D"/>
    <w:rsid w:val="00964D34"/>
    <w:rsid w:val="00966F72"/>
    <w:rsid w:val="0096757C"/>
    <w:rsid w:val="00967A23"/>
    <w:rsid w:val="00972946"/>
    <w:rsid w:val="00972E84"/>
    <w:rsid w:val="00974691"/>
    <w:rsid w:val="00976022"/>
    <w:rsid w:val="00976169"/>
    <w:rsid w:val="00976580"/>
    <w:rsid w:val="00977C3F"/>
    <w:rsid w:val="00977CC3"/>
    <w:rsid w:val="00980102"/>
    <w:rsid w:val="0098316D"/>
    <w:rsid w:val="00984D59"/>
    <w:rsid w:val="0098502F"/>
    <w:rsid w:val="00986D16"/>
    <w:rsid w:val="009910B5"/>
    <w:rsid w:val="009920AD"/>
    <w:rsid w:val="0099244A"/>
    <w:rsid w:val="009938B8"/>
    <w:rsid w:val="00994EB2"/>
    <w:rsid w:val="00995053"/>
    <w:rsid w:val="009A0735"/>
    <w:rsid w:val="009A25E2"/>
    <w:rsid w:val="009A37CD"/>
    <w:rsid w:val="009A4C36"/>
    <w:rsid w:val="009B1FF8"/>
    <w:rsid w:val="009B42EF"/>
    <w:rsid w:val="009B4E7E"/>
    <w:rsid w:val="009B5EED"/>
    <w:rsid w:val="009C20D3"/>
    <w:rsid w:val="009C37BF"/>
    <w:rsid w:val="009C6EE6"/>
    <w:rsid w:val="009C7333"/>
    <w:rsid w:val="009C7979"/>
    <w:rsid w:val="009D0966"/>
    <w:rsid w:val="009D0B0C"/>
    <w:rsid w:val="009D22E5"/>
    <w:rsid w:val="009D4B7E"/>
    <w:rsid w:val="009D5E13"/>
    <w:rsid w:val="009D71F1"/>
    <w:rsid w:val="009E015C"/>
    <w:rsid w:val="009E0909"/>
    <w:rsid w:val="009E37B1"/>
    <w:rsid w:val="009E3E05"/>
    <w:rsid w:val="009E5780"/>
    <w:rsid w:val="009E5D72"/>
    <w:rsid w:val="009E6EC4"/>
    <w:rsid w:val="009F01E1"/>
    <w:rsid w:val="009F2F5E"/>
    <w:rsid w:val="009F3B2F"/>
    <w:rsid w:val="009F42ED"/>
    <w:rsid w:val="009F60D9"/>
    <w:rsid w:val="00A01456"/>
    <w:rsid w:val="00A01B5E"/>
    <w:rsid w:val="00A02A20"/>
    <w:rsid w:val="00A03301"/>
    <w:rsid w:val="00A05E3C"/>
    <w:rsid w:val="00A0769D"/>
    <w:rsid w:val="00A07925"/>
    <w:rsid w:val="00A101E8"/>
    <w:rsid w:val="00A10455"/>
    <w:rsid w:val="00A1132C"/>
    <w:rsid w:val="00A1168E"/>
    <w:rsid w:val="00A11DCF"/>
    <w:rsid w:val="00A11EE6"/>
    <w:rsid w:val="00A1213C"/>
    <w:rsid w:val="00A14C01"/>
    <w:rsid w:val="00A1556E"/>
    <w:rsid w:val="00A169DC"/>
    <w:rsid w:val="00A20C10"/>
    <w:rsid w:val="00A22308"/>
    <w:rsid w:val="00A22EC9"/>
    <w:rsid w:val="00A25ED3"/>
    <w:rsid w:val="00A264B5"/>
    <w:rsid w:val="00A26E1A"/>
    <w:rsid w:val="00A27D67"/>
    <w:rsid w:val="00A317E0"/>
    <w:rsid w:val="00A37208"/>
    <w:rsid w:val="00A373FE"/>
    <w:rsid w:val="00A37744"/>
    <w:rsid w:val="00A4126B"/>
    <w:rsid w:val="00A431C8"/>
    <w:rsid w:val="00A47E8E"/>
    <w:rsid w:val="00A50183"/>
    <w:rsid w:val="00A50E52"/>
    <w:rsid w:val="00A512D9"/>
    <w:rsid w:val="00A52488"/>
    <w:rsid w:val="00A52EF8"/>
    <w:rsid w:val="00A52F87"/>
    <w:rsid w:val="00A550F0"/>
    <w:rsid w:val="00A55F4D"/>
    <w:rsid w:val="00A56DFC"/>
    <w:rsid w:val="00A607D6"/>
    <w:rsid w:val="00A65ACF"/>
    <w:rsid w:val="00A71725"/>
    <w:rsid w:val="00A730D4"/>
    <w:rsid w:val="00A75160"/>
    <w:rsid w:val="00A80107"/>
    <w:rsid w:val="00A80270"/>
    <w:rsid w:val="00A81E1C"/>
    <w:rsid w:val="00A82C07"/>
    <w:rsid w:val="00A8654F"/>
    <w:rsid w:val="00A921C2"/>
    <w:rsid w:val="00A93040"/>
    <w:rsid w:val="00A9331E"/>
    <w:rsid w:val="00A96C90"/>
    <w:rsid w:val="00AA1C5D"/>
    <w:rsid w:val="00AA207A"/>
    <w:rsid w:val="00AA672A"/>
    <w:rsid w:val="00AA7717"/>
    <w:rsid w:val="00AA7A7D"/>
    <w:rsid w:val="00AA7BA4"/>
    <w:rsid w:val="00AB24DF"/>
    <w:rsid w:val="00AB2639"/>
    <w:rsid w:val="00AB41F5"/>
    <w:rsid w:val="00AB534D"/>
    <w:rsid w:val="00AB6C48"/>
    <w:rsid w:val="00AB7F2E"/>
    <w:rsid w:val="00AC00B4"/>
    <w:rsid w:val="00AC26EA"/>
    <w:rsid w:val="00AC2702"/>
    <w:rsid w:val="00AC5E52"/>
    <w:rsid w:val="00AC75F2"/>
    <w:rsid w:val="00AD0D0C"/>
    <w:rsid w:val="00AD28A1"/>
    <w:rsid w:val="00AD39D3"/>
    <w:rsid w:val="00AD6CA7"/>
    <w:rsid w:val="00AF04EA"/>
    <w:rsid w:val="00AF1B9D"/>
    <w:rsid w:val="00AF2D9F"/>
    <w:rsid w:val="00AF4146"/>
    <w:rsid w:val="00B01E1E"/>
    <w:rsid w:val="00B04E52"/>
    <w:rsid w:val="00B064E0"/>
    <w:rsid w:val="00B0681C"/>
    <w:rsid w:val="00B06DF0"/>
    <w:rsid w:val="00B125E7"/>
    <w:rsid w:val="00B17733"/>
    <w:rsid w:val="00B17A2D"/>
    <w:rsid w:val="00B238A2"/>
    <w:rsid w:val="00B24199"/>
    <w:rsid w:val="00B2684F"/>
    <w:rsid w:val="00B30708"/>
    <w:rsid w:val="00B30B1C"/>
    <w:rsid w:val="00B32557"/>
    <w:rsid w:val="00B40A36"/>
    <w:rsid w:val="00B421B9"/>
    <w:rsid w:val="00B43070"/>
    <w:rsid w:val="00B43FAA"/>
    <w:rsid w:val="00B46946"/>
    <w:rsid w:val="00B52319"/>
    <w:rsid w:val="00B5524B"/>
    <w:rsid w:val="00B60374"/>
    <w:rsid w:val="00B624DE"/>
    <w:rsid w:val="00B631C4"/>
    <w:rsid w:val="00B648B6"/>
    <w:rsid w:val="00B65453"/>
    <w:rsid w:val="00B669BA"/>
    <w:rsid w:val="00B67E11"/>
    <w:rsid w:val="00B75280"/>
    <w:rsid w:val="00B81D39"/>
    <w:rsid w:val="00B82D37"/>
    <w:rsid w:val="00B879EB"/>
    <w:rsid w:val="00B87A14"/>
    <w:rsid w:val="00B87A48"/>
    <w:rsid w:val="00B91A45"/>
    <w:rsid w:val="00BA398E"/>
    <w:rsid w:val="00BA58F0"/>
    <w:rsid w:val="00BA6D3B"/>
    <w:rsid w:val="00BA7453"/>
    <w:rsid w:val="00BB0336"/>
    <w:rsid w:val="00BB0FA2"/>
    <w:rsid w:val="00BB2223"/>
    <w:rsid w:val="00BB2B7B"/>
    <w:rsid w:val="00BB2E6B"/>
    <w:rsid w:val="00BC0C20"/>
    <w:rsid w:val="00BC508C"/>
    <w:rsid w:val="00BC79D7"/>
    <w:rsid w:val="00BD1389"/>
    <w:rsid w:val="00BD41E9"/>
    <w:rsid w:val="00BD51C6"/>
    <w:rsid w:val="00BD7908"/>
    <w:rsid w:val="00BE057A"/>
    <w:rsid w:val="00BE2D96"/>
    <w:rsid w:val="00BE520A"/>
    <w:rsid w:val="00BE5A23"/>
    <w:rsid w:val="00BE6705"/>
    <w:rsid w:val="00BE7FAD"/>
    <w:rsid w:val="00BF03C1"/>
    <w:rsid w:val="00BF0DAF"/>
    <w:rsid w:val="00BF0E76"/>
    <w:rsid w:val="00BF1E08"/>
    <w:rsid w:val="00BF2EB6"/>
    <w:rsid w:val="00BF7A0C"/>
    <w:rsid w:val="00C063C0"/>
    <w:rsid w:val="00C06DB4"/>
    <w:rsid w:val="00C0756A"/>
    <w:rsid w:val="00C12BE9"/>
    <w:rsid w:val="00C13786"/>
    <w:rsid w:val="00C14FCB"/>
    <w:rsid w:val="00C15A0C"/>
    <w:rsid w:val="00C15FE3"/>
    <w:rsid w:val="00C2443D"/>
    <w:rsid w:val="00C24999"/>
    <w:rsid w:val="00C25A3F"/>
    <w:rsid w:val="00C2616B"/>
    <w:rsid w:val="00C26E45"/>
    <w:rsid w:val="00C318C2"/>
    <w:rsid w:val="00C35769"/>
    <w:rsid w:val="00C405C9"/>
    <w:rsid w:val="00C40FE1"/>
    <w:rsid w:val="00C434BA"/>
    <w:rsid w:val="00C44BCE"/>
    <w:rsid w:val="00C46EAD"/>
    <w:rsid w:val="00C51140"/>
    <w:rsid w:val="00C536A9"/>
    <w:rsid w:val="00C56A2B"/>
    <w:rsid w:val="00C57A7D"/>
    <w:rsid w:val="00C57DD2"/>
    <w:rsid w:val="00C6039F"/>
    <w:rsid w:val="00C61FE7"/>
    <w:rsid w:val="00C64B7C"/>
    <w:rsid w:val="00C673DF"/>
    <w:rsid w:val="00C75A94"/>
    <w:rsid w:val="00C77A24"/>
    <w:rsid w:val="00C77AA8"/>
    <w:rsid w:val="00C804FA"/>
    <w:rsid w:val="00C82D91"/>
    <w:rsid w:val="00C82E68"/>
    <w:rsid w:val="00C862B3"/>
    <w:rsid w:val="00C87690"/>
    <w:rsid w:val="00C87B3D"/>
    <w:rsid w:val="00C92F00"/>
    <w:rsid w:val="00C936E3"/>
    <w:rsid w:val="00C93DA5"/>
    <w:rsid w:val="00C9452A"/>
    <w:rsid w:val="00C94FA3"/>
    <w:rsid w:val="00C9774D"/>
    <w:rsid w:val="00CA00CA"/>
    <w:rsid w:val="00CA0334"/>
    <w:rsid w:val="00CA2884"/>
    <w:rsid w:val="00CA2953"/>
    <w:rsid w:val="00CA3206"/>
    <w:rsid w:val="00CA348C"/>
    <w:rsid w:val="00CA4CD5"/>
    <w:rsid w:val="00CA68AA"/>
    <w:rsid w:val="00CB12D2"/>
    <w:rsid w:val="00CB3280"/>
    <w:rsid w:val="00CB3F09"/>
    <w:rsid w:val="00CB4283"/>
    <w:rsid w:val="00CB4873"/>
    <w:rsid w:val="00CB57BD"/>
    <w:rsid w:val="00CB618B"/>
    <w:rsid w:val="00CC1A9F"/>
    <w:rsid w:val="00CC1C9A"/>
    <w:rsid w:val="00CC252A"/>
    <w:rsid w:val="00CC4493"/>
    <w:rsid w:val="00CC44BA"/>
    <w:rsid w:val="00CC47DB"/>
    <w:rsid w:val="00CC5D81"/>
    <w:rsid w:val="00CC7B84"/>
    <w:rsid w:val="00CD275C"/>
    <w:rsid w:val="00CD4231"/>
    <w:rsid w:val="00CD4AF0"/>
    <w:rsid w:val="00CD7B4A"/>
    <w:rsid w:val="00CE3A30"/>
    <w:rsid w:val="00CE4050"/>
    <w:rsid w:val="00CE4F1D"/>
    <w:rsid w:val="00CE602D"/>
    <w:rsid w:val="00CE65F8"/>
    <w:rsid w:val="00CE792C"/>
    <w:rsid w:val="00CE7DD4"/>
    <w:rsid w:val="00CF59F8"/>
    <w:rsid w:val="00CF615A"/>
    <w:rsid w:val="00CF745F"/>
    <w:rsid w:val="00D0047C"/>
    <w:rsid w:val="00D01366"/>
    <w:rsid w:val="00D0265F"/>
    <w:rsid w:val="00D03403"/>
    <w:rsid w:val="00D046B8"/>
    <w:rsid w:val="00D12693"/>
    <w:rsid w:val="00D1359A"/>
    <w:rsid w:val="00D22FAB"/>
    <w:rsid w:val="00D258FD"/>
    <w:rsid w:val="00D26687"/>
    <w:rsid w:val="00D2689C"/>
    <w:rsid w:val="00D26B80"/>
    <w:rsid w:val="00D30EE3"/>
    <w:rsid w:val="00D329C5"/>
    <w:rsid w:val="00D3321C"/>
    <w:rsid w:val="00D337F6"/>
    <w:rsid w:val="00D35580"/>
    <w:rsid w:val="00D356EA"/>
    <w:rsid w:val="00D401A6"/>
    <w:rsid w:val="00D409EF"/>
    <w:rsid w:val="00D40B26"/>
    <w:rsid w:val="00D453E0"/>
    <w:rsid w:val="00D5328E"/>
    <w:rsid w:val="00D54F1A"/>
    <w:rsid w:val="00D565F5"/>
    <w:rsid w:val="00D567DA"/>
    <w:rsid w:val="00D577DB"/>
    <w:rsid w:val="00D57E1A"/>
    <w:rsid w:val="00D608B9"/>
    <w:rsid w:val="00D61861"/>
    <w:rsid w:val="00D622CD"/>
    <w:rsid w:val="00D62567"/>
    <w:rsid w:val="00D66575"/>
    <w:rsid w:val="00D70550"/>
    <w:rsid w:val="00D80FD3"/>
    <w:rsid w:val="00D82784"/>
    <w:rsid w:val="00D8528C"/>
    <w:rsid w:val="00D87357"/>
    <w:rsid w:val="00D93C90"/>
    <w:rsid w:val="00D97E72"/>
    <w:rsid w:val="00DA0B4C"/>
    <w:rsid w:val="00DA116F"/>
    <w:rsid w:val="00DA25E7"/>
    <w:rsid w:val="00DA56E9"/>
    <w:rsid w:val="00DA71CC"/>
    <w:rsid w:val="00DB0579"/>
    <w:rsid w:val="00DB697C"/>
    <w:rsid w:val="00DB727B"/>
    <w:rsid w:val="00DB7622"/>
    <w:rsid w:val="00DB7E9D"/>
    <w:rsid w:val="00DC26C6"/>
    <w:rsid w:val="00DC277E"/>
    <w:rsid w:val="00DC3027"/>
    <w:rsid w:val="00DC383B"/>
    <w:rsid w:val="00DC3D1F"/>
    <w:rsid w:val="00DD13E3"/>
    <w:rsid w:val="00DD2ED9"/>
    <w:rsid w:val="00DD33A6"/>
    <w:rsid w:val="00DD4A45"/>
    <w:rsid w:val="00DD63D1"/>
    <w:rsid w:val="00DE0362"/>
    <w:rsid w:val="00DE222A"/>
    <w:rsid w:val="00DE34C7"/>
    <w:rsid w:val="00DE3DF8"/>
    <w:rsid w:val="00DE5E9E"/>
    <w:rsid w:val="00DE7D44"/>
    <w:rsid w:val="00DF0E81"/>
    <w:rsid w:val="00DF1196"/>
    <w:rsid w:val="00DF73D5"/>
    <w:rsid w:val="00E006A4"/>
    <w:rsid w:val="00E01733"/>
    <w:rsid w:val="00E041AA"/>
    <w:rsid w:val="00E0726C"/>
    <w:rsid w:val="00E12C8B"/>
    <w:rsid w:val="00E13696"/>
    <w:rsid w:val="00E15607"/>
    <w:rsid w:val="00E15BD9"/>
    <w:rsid w:val="00E20153"/>
    <w:rsid w:val="00E213C3"/>
    <w:rsid w:val="00E24AF7"/>
    <w:rsid w:val="00E2637A"/>
    <w:rsid w:val="00E31555"/>
    <w:rsid w:val="00E31DCB"/>
    <w:rsid w:val="00E3267B"/>
    <w:rsid w:val="00E350B1"/>
    <w:rsid w:val="00E355CF"/>
    <w:rsid w:val="00E355D3"/>
    <w:rsid w:val="00E37A69"/>
    <w:rsid w:val="00E40E68"/>
    <w:rsid w:val="00E420DA"/>
    <w:rsid w:val="00E432BC"/>
    <w:rsid w:val="00E452FF"/>
    <w:rsid w:val="00E46A23"/>
    <w:rsid w:val="00E471B1"/>
    <w:rsid w:val="00E47253"/>
    <w:rsid w:val="00E52FB0"/>
    <w:rsid w:val="00E5543F"/>
    <w:rsid w:val="00E61183"/>
    <w:rsid w:val="00E61800"/>
    <w:rsid w:val="00E62303"/>
    <w:rsid w:val="00E658A8"/>
    <w:rsid w:val="00E668DA"/>
    <w:rsid w:val="00E676D9"/>
    <w:rsid w:val="00E71800"/>
    <w:rsid w:val="00E73BE6"/>
    <w:rsid w:val="00E73BEC"/>
    <w:rsid w:val="00E73D9E"/>
    <w:rsid w:val="00E73E25"/>
    <w:rsid w:val="00E74949"/>
    <w:rsid w:val="00E74A8E"/>
    <w:rsid w:val="00E76AD5"/>
    <w:rsid w:val="00E82224"/>
    <w:rsid w:val="00E87A83"/>
    <w:rsid w:val="00E96C97"/>
    <w:rsid w:val="00EA09A8"/>
    <w:rsid w:val="00EA3E32"/>
    <w:rsid w:val="00EA6D61"/>
    <w:rsid w:val="00EA704E"/>
    <w:rsid w:val="00EA7F7C"/>
    <w:rsid w:val="00EB2913"/>
    <w:rsid w:val="00EB42BD"/>
    <w:rsid w:val="00EB642C"/>
    <w:rsid w:val="00EC2475"/>
    <w:rsid w:val="00EC4E86"/>
    <w:rsid w:val="00EC5566"/>
    <w:rsid w:val="00EC69E9"/>
    <w:rsid w:val="00ED12A0"/>
    <w:rsid w:val="00ED2D4B"/>
    <w:rsid w:val="00ED4F9C"/>
    <w:rsid w:val="00ED55F8"/>
    <w:rsid w:val="00ED5689"/>
    <w:rsid w:val="00ED697B"/>
    <w:rsid w:val="00ED70F4"/>
    <w:rsid w:val="00EE0B69"/>
    <w:rsid w:val="00EE0F9A"/>
    <w:rsid w:val="00EE1A69"/>
    <w:rsid w:val="00EE5547"/>
    <w:rsid w:val="00EE7CE2"/>
    <w:rsid w:val="00EF6DB6"/>
    <w:rsid w:val="00EF6EF4"/>
    <w:rsid w:val="00F00091"/>
    <w:rsid w:val="00F005E7"/>
    <w:rsid w:val="00F01476"/>
    <w:rsid w:val="00F0190B"/>
    <w:rsid w:val="00F0202B"/>
    <w:rsid w:val="00F02302"/>
    <w:rsid w:val="00F03454"/>
    <w:rsid w:val="00F0494D"/>
    <w:rsid w:val="00F04A09"/>
    <w:rsid w:val="00F05D9E"/>
    <w:rsid w:val="00F06492"/>
    <w:rsid w:val="00F07ED0"/>
    <w:rsid w:val="00F10121"/>
    <w:rsid w:val="00F1264F"/>
    <w:rsid w:val="00F12882"/>
    <w:rsid w:val="00F1424F"/>
    <w:rsid w:val="00F1577A"/>
    <w:rsid w:val="00F21581"/>
    <w:rsid w:val="00F22362"/>
    <w:rsid w:val="00F24C6B"/>
    <w:rsid w:val="00F26850"/>
    <w:rsid w:val="00F274AF"/>
    <w:rsid w:val="00F308B0"/>
    <w:rsid w:val="00F3163A"/>
    <w:rsid w:val="00F3402B"/>
    <w:rsid w:val="00F365E1"/>
    <w:rsid w:val="00F3673E"/>
    <w:rsid w:val="00F400D9"/>
    <w:rsid w:val="00F40471"/>
    <w:rsid w:val="00F43778"/>
    <w:rsid w:val="00F43A25"/>
    <w:rsid w:val="00F44207"/>
    <w:rsid w:val="00F442EF"/>
    <w:rsid w:val="00F44932"/>
    <w:rsid w:val="00F471C7"/>
    <w:rsid w:val="00F509D2"/>
    <w:rsid w:val="00F53E92"/>
    <w:rsid w:val="00F554B2"/>
    <w:rsid w:val="00F579EE"/>
    <w:rsid w:val="00F57BC9"/>
    <w:rsid w:val="00F60225"/>
    <w:rsid w:val="00F61A0A"/>
    <w:rsid w:val="00F61AD6"/>
    <w:rsid w:val="00F641D8"/>
    <w:rsid w:val="00F64532"/>
    <w:rsid w:val="00F66627"/>
    <w:rsid w:val="00F711EC"/>
    <w:rsid w:val="00F71E61"/>
    <w:rsid w:val="00F75713"/>
    <w:rsid w:val="00F75AB0"/>
    <w:rsid w:val="00F75C73"/>
    <w:rsid w:val="00F81536"/>
    <w:rsid w:val="00F85169"/>
    <w:rsid w:val="00F85239"/>
    <w:rsid w:val="00F8527D"/>
    <w:rsid w:val="00F8540D"/>
    <w:rsid w:val="00F90548"/>
    <w:rsid w:val="00F922EF"/>
    <w:rsid w:val="00F937BD"/>
    <w:rsid w:val="00F962DC"/>
    <w:rsid w:val="00FA07CF"/>
    <w:rsid w:val="00FA2F0E"/>
    <w:rsid w:val="00FA4ABC"/>
    <w:rsid w:val="00FA51C6"/>
    <w:rsid w:val="00FA5D2F"/>
    <w:rsid w:val="00FB11E7"/>
    <w:rsid w:val="00FB7C96"/>
    <w:rsid w:val="00FC1F97"/>
    <w:rsid w:val="00FC460B"/>
    <w:rsid w:val="00FC56B8"/>
    <w:rsid w:val="00FC5F20"/>
    <w:rsid w:val="00FC69AF"/>
    <w:rsid w:val="00FC7B5E"/>
    <w:rsid w:val="00FD079E"/>
    <w:rsid w:val="00FD0B41"/>
    <w:rsid w:val="00FD20A0"/>
    <w:rsid w:val="00FD4991"/>
    <w:rsid w:val="00FE0113"/>
    <w:rsid w:val="00FE0A00"/>
    <w:rsid w:val="00FE0D2A"/>
    <w:rsid w:val="00FE417B"/>
    <w:rsid w:val="00FE6AF1"/>
    <w:rsid w:val="00FE7A2E"/>
    <w:rsid w:val="00FF1392"/>
    <w:rsid w:val="00FF2D63"/>
    <w:rsid w:val="00FF403E"/>
    <w:rsid w:val="00FF6ACF"/>
    <w:rsid w:val="00FF7157"/>
    <w:rsid w:val="01086012"/>
    <w:rsid w:val="012F23D2"/>
    <w:rsid w:val="01353E46"/>
    <w:rsid w:val="013D20EF"/>
    <w:rsid w:val="013D4C8F"/>
    <w:rsid w:val="0141555F"/>
    <w:rsid w:val="01425A17"/>
    <w:rsid w:val="01542AFA"/>
    <w:rsid w:val="015E6630"/>
    <w:rsid w:val="016C75C7"/>
    <w:rsid w:val="018D524F"/>
    <w:rsid w:val="019036D8"/>
    <w:rsid w:val="01A01767"/>
    <w:rsid w:val="01A66FAC"/>
    <w:rsid w:val="01BD4FDC"/>
    <w:rsid w:val="01C42B8B"/>
    <w:rsid w:val="01CE3A0A"/>
    <w:rsid w:val="01E941AE"/>
    <w:rsid w:val="01ED256A"/>
    <w:rsid w:val="01FE504C"/>
    <w:rsid w:val="02201D8C"/>
    <w:rsid w:val="0221105C"/>
    <w:rsid w:val="02240E71"/>
    <w:rsid w:val="022F6268"/>
    <w:rsid w:val="0230144B"/>
    <w:rsid w:val="023E2A8F"/>
    <w:rsid w:val="023F01AC"/>
    <w:rsid w:val="02497F02"/>
    <w:rsid w:val="025C7268"/>
    <w:rsid w:val="025D37A6"/>
    <w:rsid w:val="02630A21"/>
    <w:rsid w:val="027520D7"/>
    <w:rsid w:val="02910656"/>
    <w:rsid w:val="029452C8"/>
    <w:rsid w:val="0299330C"/>
    <w:rsid w:val="029E3E12"/>
    <w:rsid w:val="02AE2F1E"/>
    <w:rsid w:val="02B07476"/>
    <w:rsid w:val="02B12263"/>
    <w:rsid w:val="02B34262"/>
    <w:rsid w:val="02BA6D6B"/>
    <w:rsid w:val="02BC6761"/>
    <w:rsid w:val="02C30781"/>
    <w:rsid w:val="02C32A89"/>
    <w:rsid w:val="02EB23C8"/>
    <w:rsid w:val="02ED4254"/>
    <w:rsid w:val="02F54A67"/>
    <w:rsid w:val="02FB586B"/>
    <w:rsid w:val="032764F6"/>
    <w:rsid w:val="03355FAD"/>
    <w:rsid w:val="03357A15"/>
    <w:rsid w:val="033F6615"/>
    <w:rsid w:val="034A4B76"/>
    <w:rsid w:val="035B2F02"/>
    <w:rsid w:val="03604B36"/>
    <w:rsid w:val="03646BB0"/>
    <w:rsid w:val="036A455B"/>
    <w:rsid w:val="03700AD7"/>
    <w:rsid w:val="03881BEB"/>
    <w:rsid w:val="03B07722"/>
    <w:rsid w:val="03B94246"/>
    <w:rsid w:val="03C9092D"/>
    <w:rsid w:val="03C947DD"/>
    <w:rsid w:val="03CD0376"/>
    <w:rsid w:val="03E73921"/>
    <w:rsid w:val="03E868D9"/>
    <w:rsid w:val="03EB0F95"/>
    <w:rsid w:val="03F1290E"/>
    <w:rsid w:val="04002E0B"/>
    <w:rsid w:val="040F03FA"/>
    <w:rsid w:val="0412438A"/>
    <w:rsid w:val="04136717"/>
    <w:rsid w:val="041D2A27"/>
    <w:rsid w:val="04332546"/>
    <w:rsid w:val="04533461"/>
    <w:rsid w:val="048D54DF"/>
    <w:rsid w:val="04B51F1A"/>
    <w:rsid w:val="04BD0338"/>
    <w:rsid w:val="04C56D31"/>
    <w:rsid w:val="04CF0F22"/>
    <w:rsid w:val="04D7542D"/>
    <w:rsid w:val="04DD163F"/>
    <w:rsid w:val="04E452F2"/>
    <w:rsid w:val="04E82F5F"/>
    <w:rsid w:val="05084E1A"/>
    <w:rsid w:val="0536624A"/>
    <w:rsid w:val="05476ED2"/>
    <w:rsid w:val="05507187"/>
    <w:rsid w:val="05547F50"/>
    <w:rsid w:val="05586D81"/>
    <w:rsid w:val="056775E0"/>
    <w:rsid w:val="05812096"/>
    <w:rsid w:val="05A174D0"/>
    <w:rsid w:val="05A31C11"/>
    <w:rsid w:val="05A54A82"/>
    <w:rsid w:val="05B6570E"/>
    <w:rsid w:val="05B719DB"/>
    <w:rsid w:val="05D411B5"/>
    <w:rsid w:val="05DC03BC"/>
    <w:rsid w:val="05E03755"/>
    <w:rsid w:val="05E05D39"/>
    <w:rsid w:val="05EE025B"/>
    <w:rsid w:val="05FB2E46"/>
    <w:rsid w:val="06274DE9"/>
    <w:rsid w:val="0643158D"/>
    <w:rsid w:val="06606ACF"/>
    <w:rsid w:val="06632C8A"/>
    <w:rsid w:val="066C44D0"/>
    <w:rsid w:val="06780BE4"/>
    <w:rsid w:val="067D77AC"/>
    <w:rsid w:val="0688298E"/>
    <w:rsid w:val="06A978A6"/>
    <w:rsid w:val="06BA577F"/>
    <w:rsid w:val="06C373A0"/>
    <w:rsid w:val="06CA61EA"/>
    <w:rsid w:val="06CE3AAD"/>
    <w:rsid w:val="06D3256B"/>
    <w:rsid w:val="06E93094"/>
    <w:rsid w:val="07142FC9"/>
    <w:rsid w:val="0716354A"/>
    <w:rsid w:val="071A113A"/>
    <w:rsid w:val="071A5532"/>
    <w:rsid w:val="073F7F68"/>
    <w:rsid w:val="07433326"/>
    <w:rsid w:val="074D1200"/>
    <w:rsid w:val="07701435"/>
    <w:rsid w:val="078057A6"/>
    <w:rsid w:val="0791006E"/>
    <w:rsid w:val="07A93817"/>
    <w:rsid w:val="07AA51F7"/>
    <w:rsid w:val="07C16E32"/>
    <w:rsid w:val="07C956F1"/>
    <w:rsid w:val="07DE071F"/>
    <w:rsid w:val="07E724F1"/>
    <w:rsid w:val="07F54B10"/>
    <w:rsid w:val="080D2DB2"/>
    <w:rsid w:val="08236132"/>
    <w:rsid w:val="0824157E"/>
    <w:rsid w:val="082A5712"/>
    <w:rsid w:val="08365D8B"/>
    <w:rsid w:val="083932FD"/>
    <w:rsid w:val="083C1D74"/>
    <w:rsid w:val="08664D5B"/>
    <w:rsid w:val="087338E5"/>
    <w:rsid w:val="087E552F"/>
    <w:rsid w:val="08935065"/>
    <w:rsid w:val="08994E2C"/>
    <w:rsid w:val="089E0248"/>
    <w:rsid w:val="08AA7F40"/>
    <w:rsid w:val="08AC09F8"/>
    <w:rsid w:val="08AF1C74"/>
    <w:rsid w:val="08B76FB8"/>
    <w:rsid w:val="08EC3C9C"/>
    <w:rsid w:val="08EF4818"/>
    <w:rsid w:val="08F26284"/>
    <w:rsid w:val="08F57B11"/>
    <w:rsid w:val="08F617F2"/>
    <w:rsid w:val="08F64252"/>
    <w:rsid w:val="08F94C8C"/>
    <w:rsid w:val="08FD0C7A"/>
    <w:rsid w:val="09027DBF"/>
    <w:rsid w:val="090F109A"/>
    <w:rsid w:val="09151314"/>
    <w:rsid w:val="09263609"/>
    <w:rsid w:val="092E2FE0"/>
    <w:rsid w:val="093E5BC8"/>
    <w:rsid w:val="0953633D"/>
    <w:rsid w:val="095867F9"/>
    <w:rsid w:val="09697733"/>
    <w:rsid w:val="09953804"/>
    <w:rsid w:val="099A0675"/>
    <w:rsid w:val="099C034D"/>
    <w:rsid w:val="09A71810"/>
    <w:rsid w:val="09AF52BC"/>
    <w:rsid w:val="09B20FEF"/>
    <w:rsid w:val="09C556F2"/>
    <w:rsid w:val="09C9680A"/>
    <w:rsid w:val="09E33DCA"/>
    <w:rsid w:val="09EA33AB"/>
    <w:rsid w:val="09EA6668"/>
    <w:rsid w:val="0A0501E5"/>
    <w:rsid w:val="0A075D0B"/>
    <w:rsid w:val="0A0A57FB"/>
    <w:rsid w:val="0A193C90"/>
    <w:rsid w:val="0A1A77A1"/>
    <w:rsid w:val="0A3E3D26"/>
    <w:rsid w:val="0A4834F8"/>
    <w:rsid w:val="0A6173D2"/>
    <w:rsid w:val="0A682231"/>
    <w:rsid w:val="0A6825A9"/>
    <w:rsid w:val="0A781198"/>
    <w:rsid w:val="0AAC10E4"/>
    <w:rsid w:val="0AB07E4A"/>
    <w:rsid w:val="0AC93B72"/>
    <w:rsid w:val="0ACA6D38"/>
    <w:rsid w:val="0AD53C26"/>
    <w:rsid w:val="0ADD3B4A"/>
    <w:rsid w:val="0AEE775A"/>
    <w:rsid w:val="0AFF5154"/>
    <w:rsid w:val="0B0260FA"/>
    <w:rsid w:val="0B127FA5"/>
    <w:rsid w:val="0B187C06"/>
    <w:rsid w:val="0B462863"/>
    <w:rsid w:val="0B4B3360"/>
    <w:rsid w:val="0B6153F6"/>
    <w:rsid w:val="0B6C4BE2"/>
    <w:rsid w:val="0B895D1E"/>
    <w:rsid w:val="0B903157"/>
    <w:rsid w:val="0B9335CE"/>
    <w:rsid w:val="0BA653BF"/>
    <w:rsid w:val="0BAC6F99"/>
    <w:rsid w:val="0BCD1EAC"/>
    <w:rsid w:val="0BCF142C"/>
    <w:rsid w:val="0BDC319A"/>
    <w:rsid w:val="0BFB783E"/>
    <w:rsid w:val="0BFD5373"/>
    <w:rsid w:val="0BFD6481"/>
    <w:rsid w:val="0C0F0CD9"/>
    <w:rsid w:val="0C631998"/>
    <w:rsid w:val="0C6821F6"/>
    <w:rsid w:val="0C8170B4"/>
    <w:rsid w:val="0C990787"/>
    <w:rsid w:val="0C992D4F"/>
    <w:rsid w:val="0CAE3A50"/>
    <w:rsid w:val="0CBF15FF"/>
    <w:rsid w:val="0CC20F4F"/>
    <w:rsid w:val="0CD8398F"/>
    <w:rsid w:val="0CD91857"/>
    <w:rsid w:val="0CDA4E4E"/>
    <w:rsid w:val="0CF258A4"/>
    <w:rsid w:val="0D212A41"/>
    <w:rsid w:val="0D214045"/>
    <w:rsid w:val="0D215F2C"/>
    <w:rsid w:val="0D314FE6"/>
    <w:rsid w:val="0D330BC5"/>
    <w:rsid w:val="0D540C02"/>
    <w:rsid w:val="0D571C0F"/>
    <w:rsid w:val="0D637F0E"/>
    <w:rsid w:val="0D645222"/>
    <w:rsid w:val="0D6A5410"/>
    <w:rsid w:val="0D794CB6"/>
    <w:rsid w:val="0D8324ED"/>
    <w:rsid w:val="0D8F059D"/>
    <w:rsid w:val="0D8F5855"/>
    <w:rsid w:val="0D936D15"/>
    <w:rsid w:val="0D9827E5"/>
    <w:rsid w:val="0DAF3D29"/>
    <w:rsid w:val="0DC466B9"/>
    <w:rsid w:val="0DC54945"/>
    <w:rsid w:val="0DF25BA4"/>
    <w:rsid w:val="0DFD573A"/>
    <w:rsid w:val="0DFE1012"/>
    <w:rsid w:val="0E0B029F"/>
    <w:rsid w:val="0E230373"/>
    <w:rsid w:val="0E2A41ED"/>
    <w:rsid w:val="0E30302E"/>
    <w:rsid w:val="0E351EED"/>
    <w:rsid w:val="0E397874"/>
    <w:rsid w:val="0E461B92"/>
    <w:rsid w:val="0E6059EA"/>
    <w:rsid w:val="0E632208"/>
    <w:rsid w:val="0E8142F0"/>
    <w:rsid w:val="0E844468"/>
    <w:rsid w:val="0E9E135B"/>
    <w:rsid w:val="0EA44F43"/>
    <w:rsid w:val="0EA62844"/>
    <w:rsid w:val="0EC2669E"/>
    <w:rsid w:val="0ED75315"/>
    <w:rsid w:val="0ED756CF"/>
    <w:rsid w:val="0EE34A0A"/>
    <w:rsid w:val="0EEF23A4"/>
    <w:rsid w:val="0F2500FF"/>
    <w:rsid w:val="0F2A7DB7"/>
    <w:rsid w:val="0F2D61D9"/>
    <w:rsid w:val="0F43254D"/>
    <w:rsid w:val="0F45451E"/>
    <w:rsid w:val="0F5372FC"/>
    <w:rsid w:val="0F543C48"/>
    <w:rsid w:val="0F54568B"/>
    <w:rsid w:val="0F6801CF"/>
    <w:rsid w:val="0F7F71A8"/>
    <w:rsid w:val="0F851480"/>
    <w:rsid w:val="0F9B0554"/>
    <w:rsid w:val="0FAF5422"/>
    <w:rsid w:val="0FAF5990"/>
    <w:rsid w:val="0FB271E8"/>
    <w:rsid w:val="0FB3423F"/>
    <w:rsid w:val="0FB73D2F"/>
    <w:rsid w:val="0FBF1392"/>
    <w:rsid w:val="0FD84D52"/>
    <w:rsid w:val="0FD93801"/>
    <w:rsid w:val="0FDC41E3"/>
    <w:rsid w:val="0FE95EB3"/>
    <w:rsid w:val="100C40A0"/>
    <w:rsid w:val="10131FB5"/>
    <w:rsid w:val="10176676"/>
    <w:rsid w:val="1031732E"/>
    <w:rsid w:val="10327E3A"/>
    <w:rsid w:val="10374301"/>
    <w:rsid w:val="10394E9C"/>
    <w:rsid w:val="103A764D"/>
    <w:rsid w:val="103B6EC4"/>
    <w:rsid w:val="10457DEF"/>
    <w:rsid w:val="10482BD9"/>
    <w:rsid w:val="104A6951"/>
    <w:rsid w:val="105628E7"/>
    <w:rsid w:val="105A27E6"/>
    <w:rsid w:val="108120DC"/>
    <w:rsid w:val="108950E7"/>
    <w:rsid w:val="109135C4"/>
    <w:rsid w:val="10A4426E"/>
    <w:rsid w:val="10B656D8"/>
    <w:rsid w:val="10BB6F68"/>
    <w:rsid w:val="10C37A22"/>
    <w:rsid w:val="10C556C7"/>
    <w:rsid w:val="10C55FD8"/>
    <w:rsid w:val="10F772EF"/>
    <w:rsid w:val="11017A58"/>
    <w:rsid w:val="11023D17"/>
    <w:rsid w:val="110F34C8"/>
    <w:rsid w:val="11491151"/>
    <w:rsid w:val="1159543F"/>
    <w:rsid w:val="116230D1"/>
    <w:rsid w:val="116A7E05"/>
    <w:rsid w:val="11722460"/>
    <w:rsid w:val="117A4F14"/>
    <w:rsid w:val="119D6F55"/>
    <w:rsid w:val="119E54E9"/>
    <w:rsid w:val="11CB1987"/>
    <w:rsid w:val="11D529F0"/>
    <w:rsid w:val="11DC5FC8"/>
    <w:rsid w:val="11E71072"/>
    <w:rsid w:val="11F55D84"/>
    <w:rsid w:val="11F95233"/>
    <w:rsid w:val="11FE73E1"/>
    <w:rsid w:val="1206271C"/>
    <w:rsid w:val="120839F3"/>
    <w:rsid w:val="120E39AF"/>
    <w:rsid w:val="12114BE2"/>
    <w:rsid w:val="121911ED"/>
    <w:rsid w:val="12261816"/>
    <w:rsid w:val="122816CA"/>
    <w:rsid w:val="1231523F"/>
    <w:rsid w:val="12392AE3"/>
    <w:rsid w:val="12421044"/>
    <w:rsid w:val="127A5380"/>
    <w:rsid w:val="12957C2C"/>
    <w:rsid w:val="1298079E"/>
    <w:rsid w:val="12AD5EBA"/>
    <w:rsid w:val="12B10442"/>
    <w:rsid w:val="12C319F0"/>
    <w:rsid w:val="12CB7F7B"/>
    <w:rsid w:val="12D57B5A"/>
    <w:rsid w:val="12D60970"/>
    <w:rsid w:val="12DA74FD"/>
    <w:rsid w:val="130354DD"/>
    <w:rsid w:val="13160E95"/>
    <w:rsid w:val="131D4A08"/>
    <w:rsid w:val="132A077A"/>
    <w:rsid w:val="132B4874"/>
    <w:rsid w:val="13365D96"/>
    <w:rsid w:val="133833D9"/>
    <w:rsid w:val="13401CF4"/>
    <w:rsid w:val="13474541"/>
    <w:rsid w:val="13597FDE"/>
    <w:rsid w:val="13610A7C"/>
    <w:rsid w:val="1370511E"/>
    <w:rsid w:val="138A2CF3"/>
    <w:rsid w:val="139600FA"/>
    <w:rsid w:val="139B1B3C"/>
    <w:rsid w:val="13AC7923"/>
    <w:rsid w:val="13BB36C2"/>
    <w:rsid w:val="13C163E4"/>
    <w:rsid w:val="13CF69C3"/>
    <w:rsid w:val="13E63AA6"/>
    <w:rsid w:val="13EB21F9"/>
    <w:rsid w:val="13F175F7"/>
    <w:rsid w:val="13F85DC5"/>
    <w:rsid w:val="13FC3073"/>
    <w:rsid w:val="14002DA6"/>
    <w:rsid w:val="141601C0"/>
    <w:rsid w:val="14183270"/>
    <w:rsid w:val="141D447E"/>
    <w:rsid w:val="141D6B0B"/>
    <w:rsid w:val="142D6F89"/>
    <w:rsid w:val="144554E0"/>
    <w:rsid w:val="144C2ACB"/>
    <w:rsid w:val="14515DD5"/>
    <w:rsid w:val="145908CD"/>
    <w:rsid w:val="146975C2"/>
    <w:rsid w:val="14720C9B"/>
    <w:rsid w:val="148617D9"/>
    <w:rsid w:val="149258A7"/>
    <w:rsid w:val="149321EC"/>
    <w:rsid w:val="14A979BF"/>
    <w:rsid w:val="14AA6C47"/>
    <w:rsid w:val="14AD74AF"/>
    <w:rsid w:val="14B81325"/>
    <w:rsid w:val="14BB5770"/>
    <w:rsid w:val="14CA4494"/>
    <w:rsid w:val="14DD13B5"/>
    <w:rsid w:val="14DF1102"/>
    <w:rsid w:val="14E74E80"/>
    <w:rsid w:val="14FB05D3"/>
    <w:rsid w:val="14FB1DB1"/>
    <w:rsid w:val="1507775C"/>
    <w:rsid w:val="15082EFA"/>
    <w:rsid w:val="15107A3E"/>
    <w:rsid w:val="15214D63"/>
    <w:rsid w:val="1531629A"/>
    <w:rsid w:val="153E6FE7"/>
    <w:rsid w:val="15535F3F"/>
    <w:rsid w:val="155C3CBE"/>
    <w:rsid w:val="15697093"/>
    <w:rsid w:val="15760076"/>
    <w:rsid w:val="157E5DA4"/>
    <w:rsid w:val="159B3036"/>
    <w:rsid w:val="159F6FD6"/>
    <w:rsid w:val="15A5462A"/>
    <w:rsid w:val="15B01BBF"/>
    <w:rsid w:val="15EC3B3E"/>
    <w:rsid w:val="15F1786F"/>
    <w:rsid w:val="15F46C2A"/>
    <w:rsid w:val="16121567"/>
    <w:rsid w:val="16175528"/>
    <w:rsid w:val="162D4D4B"/>
    <w:rsid w:val="16343F81"/>
    <w:rsid w:val="163948ED"/>
    <w:rsid w:val="164275F4"/>
    <w:rsid w:val="164717FA"/>
    <w:rsid w:val="1654148B"/>
    <w:rsid w:val="165710DF"/>
    <w:rsid w:val="16573B76"/>
    <w:rsid w:val="165B71D5"/>
    <w:rsid w:val="16673318"/>
    <w:rsid w:val="16700A7A"/>
    <w:rsid w:val="16734728"/>
    <w:rsid w:val="167D1103"/>
    <w:rsid w:val="1683572D"/>
    <w:rsid w:val="169E0BEA"/>
    <w:rsid w:val="16AF7EFC"/>
    <w:rsid w:val="16DD2BAC"/>
    <w:rsid w:val="16F70EB5"/>
    <w:rsid w:val="17197085"/>
    <w:rsid w:val="172460AC"/>
    <w:rsid w:val="172660C8"/>
    <w:rsid w:val="172B1987"/>
    <w:rsid w:val="173054B2"/>
    <w:rsid w:val="17424EAD"/>
    <w:rsid w:val="174C1699"/>
    <w:rsid w:val="17544559"/>
    <w:rsid w:val="175E7E76"/>
    <w:rsid w:val="1763479D"/>
    <w:rsid w:val="178667F0"/>
    <w:rsid w:val="178A4C4F"/>
    <w:rsid w:val="17942AA9"/>
    <w:rsid w:val="17987255"/>
    <w:rsid w:val="179928AA"/>
    <w:rsid w:val="17A70B2D"/>
    <w:rsid w:val="17A739C7"/>
    <w:rsid w:val="17BF3122"/>
    <w:rsid w:val="17C212EB"/>
    <w:rsid w:val="17C42121"/>
    <w:rsid w:val="17D82A95"/>
    <w:rsid w:val="17EE3962"/>
    <w:rsid w:val="17F86D1A"/>
    <w:rsid w:val="17FB6C91"/>
    <w:rsid w:val="18053F1E"/>
    <w:rsid w:val="18085749"/>
    <w:rsid w:val="180B6D06"/>
    <w:rsid w:val="181A3262"/>
    <w:rsid w:val="181C3FF8"/>
    <w:rsid w:val="18365CFA"/>
    <w:rsid w:val="184114A1"/>
    <w:rsid w:val="18425C49"/>
    <w:rsid w:val="186969E3"/>
    <w:rsid w:val="188C7694"/>
    <w:rsid w:val="18BE3F0D"/>
    <w:rsid w:val="18C140E3"/>
    <w:rsid w:val="18CD6371"/>
    <w:rsid w:val="18DA0A8E"/>
    <w:rsid w:val="18DC03A2"/>
    <w:rsid w:val="18E11EA5"/>
    <w:rsid w:val="18FA4C8D"/>
    <w:rsid w:val="19054750"/>
    <w:rsid w:val="19083037"/>
    <w:rsid w:val="19092828"/>
    <w:rsid w:val="19103908"/>
    <w:rsid w:val="1933462F"/>
    <w:rsid w:val="19390D64"/>
    <w:rsid w:val="19554C37"/>
    <w:rsid w:val="19566DB3"/>
    <w:rsid w:val="196279A1"/>
    <w:rsid w:val="198040A4"/>
    <w:rsid w:val="198C37FE"/>
    <w:rsid w:val="19A941C1"/>
    <w:rsid w:val="19AE5ACF"/>
    <w:rsid w:val="19AF5A77"/>
    <w:rsid w:val="19B3071D"/>
    <w:rsid w:val="19B675DA"/>
    <w:rsid w:val="19C57049"/>
    <w:rsid w:val="19C637E5"/>
    <w:rsid w:val="19C721FB"/>
    <w:rsid w:val="19CE5CD8"/>
    <w:rsid w:val="19F02EFF"/>
    <w:rsid w:val="1A052165"/>
    <w:rsid w:val="1A063EF5"/>
    <w:rsid w:val="1A0F3AD5"/>
    <w:rsid w:val="1A0F6516"/>
    <w:rsid w:val="1A0F7374"/>
    <w:rsid w:val="1A142D27"/>
    <w:rsid w:val="1A1816AF"/>
    <w:rsid w:val="1A302494"/>
    <w:rsid w:val="1A330E88"/>
    <w:rsid w:val="1A60672B"/>
    <w:rsid w:val="1A630F50"/>
    <w:rsid w:val="1A6732FB"/>
    <w:rsid w:val="1A7929A3"/>
    <w:rsid w:val="1A7B4669"/>
    <w:rsid w:val="1A870B38"/>
    <w:rsid w:val="1A8C5DB8"/>
    <w:rsid w:val="1A8C6CF6"/>
    <w:rsid w:val="1A9417D9"/>
    <w:rsid w:val="1AA572B8"/>
    <w:rsid w:val="1AA70EB7"/>
    <w:rsid w:val="1AAA4949"/>
    <w:rsid w:val="1AB31D2F"/>
    <w:rsid w:val="1AC00AAF"/>
    <w:rsid w:val="1ACE55DA"/>
    <w:rsid w:val="1ACE6054"/>
    <w:rsid w:val="1ACE6D27"/>
    <w:rsid w:val="1AE0038B"/>
    <w:rsid w:val="1B397563"/>
    <w:rsid w:val="1B403FA5"/>
    <w:rsid w:val="1B450A9E"/>
    <w:rsid w:val="1B481CDF"/>
    <w:rsid w:val="1B4B17D0"/>
    <w:rsid w:val="1B524326"/>
    <w:rsid w:val="1B55168B"/>
    <w:rsid w:val="1B63458F"/>
    <w:rsid w:val="1B645069"/>
    <w:rsid w:val="1B7D1BE7"/>
    <w:rsid w:val="1B7D1D15"/>
    <w:rsid w:val="1B8637EA"/>
    <w:rsid w:val="1B966EEF"/>
    <w:rsid w:val="1BDD1B28"/>
    <w:rsid w:val="1BE57F51"/>
    <w:rsid w:val="1C022610"/>
    <w:rsid w:val="1C037CCC"/>
    <w:rsid w:val="1C085913"/>
    <w:rsid w:val="1C0876C1"/>
    <w:rsid w:val="1C2F4A48"/>
    <w:rsid w:val="1C37598E"/>
    <w:rsid w:val="1C400DCC"/>
    <w:rsid w:val="1C4A3D51"/>
    <w:rsid w:val="1C550B58"/>
    <w:rsid w:val="1C6062B5"/>
    <w:rsid w:val="1C656B00"/>
    <w:rsid w:val="1C657709"/>
    <w:rsid w:val="1C6D522B"/>
    <w:rsid w:val="1C762201"/>
    <w:rsid w:val="1C87757C"/>
    <w:rsid w:val="1C911F05"/>
    <w:rsid w:val="1C9232F2"/>
    <w:rsid w:val="1C943E77"/>
    <w:rsid w:val="1C993860"/>
    <w:rsid w:val="1CB517E1"/>
    <w:rsid w:val="1CBF5FD1"/>
    <w:rsid w:val="1CC07FCD"/>
    <w:rsid w:val="1CCD060E"/>
    <w:rsid w:val="1CD4109A"/>
    <w:rsid w:val="1CDE3631"/>
    <w:rsid w:val="1CE814D1"/>
    <w:rsid w:val="1CFE11B3"/>
    <w:rsid w:val="1D00167E"/>
    <w:rsid w:val="1D01132A"/>
    <w:rsid w:val="1D022EEB"/>
    <w:rsid w:val="1D2C5B34"/>
    <w:rsid w:val="1D3444B7"/>
    <w:rsid w:val="1D3A1AFC"/>
    <w:rsid w:val="1D3F2887"/>
    <w:rsid w:val="1D413DD6"/>
    <w:rsid w:val="1D442082"/>
    <w:rsid w:val="1D494085"/>
    <w:rsid w:val="1D6104E9"/>
    <w:rsid w:val="1D6D5E73"/>
    <w:rsid w:val="1D6E2EA0"/>
    <w:rsid w:val="1D7C0366"/>
    <w:rsid w:val="1D90430C"/>
    <w:rsid w:val="1DA228F6"/>
    <w:rsid w:val="1DA26C67"/>
    <w:rsid w:val="1DB571C9"/>
    <w:rsid w:val="1DBF6F58"/>
    <w:rsid w:val="1DFC5003"/>
    <w:rsid w:val="1E2527AC"/>
    <w:rsid w:val="1E2A3F9F"/>
    <w:rsid w:val="1E371F29"/>
    <w:rsid w:val="1E65546D"/>
    <w:rsid w:val="1E7B6900"/>
    <w:rsid w:val="1E933E22"/>
    <w:rsid w:val="1EB60A31"/>
    <w:rsid w:val="1EC6457D"/>
    <w:rsid w:val="1EC7170B"/>
    <w:rsid w:val="1EC7534C"/>
    <w:rsid w:val="1ECD7160"/>
    <w:rsid w:val="1ED34F83"/>
    <w:rsid w:val="1ED641E3"/>
    <w:rsid w:val="1EED4935"/>
    <w:rsid w:val="1EF15FC6"/>
    <w:rsid w:val="1F196F16"/>
    <w:rsid w:val="1F1F544D"/>
    <w:rsid w:val="1F294330"/>
    <w:rsid w:val="1F2A3EE6"/>
    <w:rsid w:val="1F5164BE"/>
    <w:rsid w:val="1F530AFF"/>
    <w:rsid w:val="1F550636"/>
    <w:rsid w:val="1F6725BD"/>
    <w:rsid w:val="1F6F0182"/>
    <w:rsid w:val="1F751014"/>
    <w:rsid w:val="1F7A16FF"/>
    <w:rsid w:val="1F841E94"/>
    <w:rsid w:val="1F86410F"/>
    <w:rsid w:val="1F987D78"/>
    <w:rsid w:val="1FAD0B55"/>
    <w:rsid w:val="1FB57B5F"/>
    <w:rsid w:val="1FBA786C"/>
    <w:rsid w:val="1FC55FF4"/>
    <w:rsid w:val="1FDF7221"/>
    <w:rsid w:val="1FE07DD2"/>
    <w:rsid w:val="1FF72B1D"/>
    <w:rsid w:val="2000702C"/>
    <w:rsid w:val="201952D2"/>
    <w:rsid w:val="2020109E"/>
    <w:rsid w:val="20220096"/>
    <w:rsid w:val="202816B6"/>
    <w:rsid w:val="20352DB6"/>
    <w:rsid w:val="204E725A"/>
    <w:rsid w:val="205050F3"/>
    <w:rsid w:val="20665891"/>
    <w:rsid w:val="208241B4"/>
    <w:rsid w:val="208F5999"/>
    <w:rsid w:val="20B05494"/>
    <w:rsid w:val="20BD4F1E"/>
    <w:rsid w:val="20D109C9"/>
    <w:rsid w:val="20EE5770"/>
    <w:rsid w:val="2107261C"/>
    <w:rsid w:val="21147FEE"/>
    <w:rsid w:val="2132760F"/>
    <w:rsid w:val="213F7E47"/>
    <w:rsid w:val="21592FEC"/>
    <w:rsid w:val="215B2DFE"/>
    <w:rsid w:val="215C5CD9"/>
    <w:rsid w:val="215F2E6D"/>
    <w:rsid w:val="218B2E3C"/>
    <w:rsid w:val="219E13DD"/>
    <w:rsid w:val="21B5456C"/>
    <w:rsid w:val="21C0289A"/>
    <w:rsid w:val="21C314C7"/>
    <w:rsid w:val="21CB366A"/>
    <w:rsid w:val="21DE51C9"/>
    <w:rsid w:val="21E53DD4"/>
    <w:rsid w:val="21FE67C3"/>
    <w:rsid w:val="21FF567A"/>
    <w:rsid w:val="220019CB"/>
    <w:rsid w:val="22080E1D"/>
    <w:rsid w:val="222E4A4B"/>
    <w:rsid w:val="224564ED"/>
    <w:rsid w:val="225B1C1A"/>
    <w:rsid w:val="22655D1C"/>
    <w:rsid w:val="227A5579"/>
    <w:rsid w:val="227B3EC3"/>
    <w:rsid w:val="22AC6E9D"/>
    <w:rsid w:val="22AF6B28"/>
    <w:rsid w:val="22BF1959"/>
    <w:rsid w:val="22FE3A70"/>
    <w:rsid w:val="23007343"/>
    <w:rsid w:val="230A1D1E"/>
    <w:rsid w:val="230F3D0A"/>
    <w:rsid w:val="232E3EB1"/>
    <w:rsid w:val="23341448"/>
    <w:rsid w:val="23385650"/>
    <w:rsid w:val="23425BAE"/>
    <w:rsid w:val="23517B9F"/>
    <w:rsid w:val="23531B69"/>
    <w:rsid w:val="235C6C70"/>
    <w:rsid w:val="237F04EF"/>
    <w:rsid w:val="23841437"/>
    <w:rsid w:val="238A3CA3"/>
    <w:rsid w:val="23AF4708"/>
    <w:rsid w:val="23C16A9A"/>
    <w:rsid w:val="23C465C3"/>
    <w:rsid w:val="23E66003"/>
    <w:rsid w:val="23F80076"/>
    <w:rsid w:val="23FE2FB7"/>
    <w:rsid w:val="23FE3AF7"/>
    <w:rsid w:val="241B7142"/>
    <w:rsid w:val="24452007"/>
    <w:rsid w:val="244802C7"/>
    <w:rsid w:val="244C0B39"/>
    <w:rsid w:val="245A32E7"/>
    <w:rsid w:val="24635935"/>
    <w:rsid w:val="24660E6A"/>
    <w:rsid w:val="24665559"/>
    <w:rsid w:val="24691825"/>
    <w:rsid w:val="248E0BEE"/>
    <w:rsid w:val="249222CA"/>
    <w:rsid w:val="24B056E4"/>
    <w:rsid w:val="24CC572F"/>
    <w:rsid w:val="24CF65FC"/>
    <w:rsid w:val="24D258A5"/>
    <w:rsid w:val="24DA6A74"/>
    <w:rsid w:val="24DB4BCD"/>
    <w:rsid w:val="24F602A0"/>
    <w:rsid w:val="250025A0"/>
    <w:rsid w:val="25296C9F"/>
    <w:rsid w:val="25401D76"/>
    <w:rsid w:val="2544236B"/>
    <w:rsid w:val="25453733"/>
    <w:rsid w:val="256C3562"/>
    <w:rsid w:val="257F6C45"/>
    <w:rsid w:val="258C736F"/>
    <w:rsid w:val="25977271"/>
    <w:rsid w:val="259B2D68"/>
    <w:rsid w:val="259D0E7A"/>
    <w:rsid w:val="259E7D45"/>
    <w:rsid w:val="25A6077B"/>
    <w:rsid w:val="25A941CC"/>
    <w:rsid w:val="25A97E1E"/>
    <w:rsid w:val="25B40CD0"/>
    <w:rsid w:val="25BF4424"/>
    <w:rsid w:val="25C17AFA"/>
    <w:rsid w:val="25C251DB"/>
    <w:rsid w:val="25E00E0C"/>
    <w:rsid w:val="25EF379B"/>
    <w:rsid w:val="260C11C1"/>
    <w:rsid w:val="261049C1"/>
    <w:rsid w:val="261E645E"/>
    <w:rsid w:val="26383109"/>
    <w:rsid w:val="2641214D"/>
    <w:rsid w:val="26597FFC"/>
    <w:rsid w:val="26697AAB"/>
    <w:rsid w:val="266D2F42"/>
    <w:rsid w:val="2673065B"/>
    <w:rsid w:val="26746071"/>
    <w:rsid w:val="267839D3"/>
    <w:rsid w:val="26802C75"/>
    <w:rsid w:val="268423E1"/>
    <w:rsid w:val="26890627"/>
    <w:rsid w:val="26937CAB"/>
    <w:rsid w:val="26A43060"/>
    <w:rsid w:val="26BB1EFF"/>
    <w:rsid w:val="26BB2001"/>
    <w:rsid w:val="26C467F8"/>
    <w:rsid w:val="26E35358"/>
    <w:rsid w:val="270E00FE"/>
    <w:rsid w:val="270E298C"/>
    <w:rsid w:val="270E29F5"/>
    <w:rsid w:val="271512D2"/>
    <w:rsid w:val="272A0E33"/>
    <w:rsid w:val="272A2D2F"/>
    <w:rsid w:val="274020AE"/>
    <w:rsid w:val="27446B6F"/>
    <w:rsid w:val="274F752C"/>
    <w:rsid w:val="27520933"/>
    <w:rsid w:val="27584657"/>
    <w:rsid w:val="275E5A93"/>
    <w:rsid w:val="27736226"/>
    <w:rsid w:val="27755DA7"/>
    <w:rsid w:val="277C7F9A"/>
    <w:rsid w:val="279D2924"/>
    <w:rsid w:val="27A52E1A"/>
    <w:rsid w:val="27AC7A9A"/>
    <w:rsid w:val="27C53958"/>
    <w:rsid w:val="27D36D37"/>
    <w:rsid w:val="27DA4B73"/>
    <w:rsid w:val="27E61F25"/>
    <w:rsid w:val="27EC31BB"/>
    <w:rsid w:val="27ED2CBD"/>
    <w:rsid w:val="27F63DA6"/>
    <w:rsid w:val="27FA5CB6"/>
    <w:rsid w:val="280D34EA"/>
    <w:rsid w:val="281466B1"/>
    <w:rsid w:val="281713B7"/>
    <w:rsid w:val="281824A7"/>
    <w:rsid w:val="28312BBF"/>
    <w:rsid w:val="283B7736"/>
    <w:rsid w:val="285F673E"/>
    <w:rsid w:val="28644CCA"/>
    <w:rsid w:val="28687E65"/>
    <w:rsid w:val="28732D83"/>
    <w:rsid w:val="288F6949"/>
    <w:rsid w:val="28911AF2"/>
    <w:rsid w:val="289151CA"/>
    <w:rsid w:val="28A10C81"/>
    <w:rsid w:val="28A2680F"/>
    <w:rsid w:val="28CE313A"/>
    <w:rsid w:val="28DF17A9"/>
    <w:rsid w:val="28EB31BC"/>
    <w:rsid w:val="28EB583C"/>
    <w:rsid w:val="28EC2844"/>
    <w:rsid w:val="28F402DA"/>
    <w:rsid w:val="28FC78BE"/>
    <w:rsid w:val="29000A40"/>
    <w:rsid w:val="290F29AF"/>
    <w:rsid w:val="292D0766"/>
    <w:rsid w:val="293634F4"/>
    <w:rsid w:val="29600B3C"/>
    <w:rsid w:val="29606D8E"/>
    <w:rsid w:val="29671ECA"/>
    <w:rsid w:val="29770361"/>
    <w:rsid w:val="2985201E"/>
    <w:rsid w:val="29C55899"/>
    <w:rsid w:val="29D3130E"/>
    <w:rsid w:val="29F2147C"/>
    <w:rsid w:val="2A0C4A40"/>
    <w:rsid w:val="2A0D3DED"/>
    <w:rsid w:val="2A104310"/>
    <w:rsid w:val="2A134AF4"/>
    <w:rsid w:val="2A255C2B"/>
    <w:rsid w:val="2A2B7BC9"/>
    <w:rsid w:val="2A3A5DF9"/>
    <w:rsid w:val="2A4926C2"/>
    <w:rsid w:val="2A4B107A"/>
    <w:rsid w:val="2A4D2BFD"/>
    <w:rsid w:val="2A530EDF"/>
    <w:rsid w:val="2A574428"/>
    <w:rsid w:val="2A5F6992"/>
    <w:rsid w:val="2A7949E3"/>
    <w:rsid w:val="2A80647C"/>
    <w:rsid w:val="2A8E62B6"/>
    <w:rsid w:val="2A9572CC"/>
    <w:rsid w:val="2AA9206F"/>
    <w:rsid w:val="2AD81233"/>
    <w:rsid w:val="2AE63EFE"/>
    <w:rsid w:val="2B053749"/>
    <w:rsid w:val="2B195446"/>
    <w:rsid w:val="2B2E227F"/>
    <w:rsid w:val="2B2F07C6"/>
    <w:rsid w:val="2B3404E2"/>
    <w:rsid w:val="2B363CF4"/>
    <w:rsid w:val="2B3A7305"/>
    <w:rsid w:val="2B425FD0"/>
    <w:rsid w:val="2B4268A6"/>
    <w:rsid w:val="2B536BAA"/>
    <w:rsid w:val="2B8C79C6"/>
    <w:rsid w:val="2B9B40AD"/>
    <w:rsid w:val="2B9B4F58"/>
    <w:rsid w:val="2BA3696C"/>
    <w:rsid w:val="2BAA0794"/>
    <w:rsid w:val="2BB67A51"/>
    <w:rsid w:val="2BB769EE"/>
    <w:rsid w:val="2BB8130D"/>
    <w:rsid w:val="2BBA40FF"/>
    <w:rsid w:val="2BC058C2"/>
    <w:rsid w:val="2BC1223D"/>
    <w:rsid w:val="2BC40014"/>
    <w:rsid w:val="2BC51B34"/>
    <w:rsid w:val="2BDE3F9A"/>
    <w:rsid w:val="2BE07D12"/>
    <w:rsid w:val="2BF95140"/>
    <w:rsid w:val="2BFD3988"/>
    <w:rsid w:val="2C063C1D"/>
    <w:rsid w:val="2C0B194E"/>
    <w:rsid w:val="2C1A4F62"/>
    <w:rsid w:val="2C3447BE"/>
    <w:rsid w:val="2C3C07B5"/>
    <w:rsid w:val="2C3D3C75"/>
    <w:rsid w:val="2C4B420E"/>
    <w:rsid w:val="2C56006A"/>
    <w:rsid w:val="2C5F50DB"/>
    <w:rsid w:val="2C660165"/>
    <w:rsid w:val="2C6619D7"/>
    <w:rsid w:val="2C6A0BA3"/>
    <w:rsid w:val="2C6E17C2"/>
    <w:rsid w:val="2C8A76F4"/>
    <w:rsid w:val="2C931BC6"/>
    <w:rsid w:val="2CA45E14"/>
    <w:rsid w:val="2CB43679"/>
    <w:rsid w:val="2CB62CA6"/>
    <w:rsid w:val="2CD40261"/>
    <w:rsid w:val="2CEE34EF"/>
    <w:rsid w:val="2CF605F7"/>
    <w:rsid w:val="2D016FE9"/>
    <w:rsid w:val="2D14362B"/>
    <w:rsid w:val="2D2E304F"/>
    <w:rsid w:val="2D3C07FE"/>
    <w:rsid w:val="2D4C0AD5"/>
    <w:rsid w:val="2D5756FC"/>
    <w:rsid w:val="2D5D5591"/>
    <w:rsid w:val="2D74743A"/>
    <w:rsid w:val="2D7C11D4"/>
    <w:rsid w:val="2D7F4766"/>
    <w:rsid w:val="2D8D3A62"/>
    <w:rsid w:val="2DAF3E40"/>
    <w:rsid w:val="2DBE7F60"/>
    <w:rsid w:val="2DF6381D"/>
    <w:rsid w:val="2DF6788C"/>
    <w:rsid w:val="2E0D1588"/>
    <w:rsid w:val="2E3944B7"/>
    <w:rsid w:val="2E4749F8"/>
    <w:rsid w:val="2E4C1B78"/>
    <w:rsid w:val="2E73313B"/>
    <w:rsid w:val="2E866E5E"/>
    <w:rsid w:val="2E9077CD"/>
    <w:rsid w:val="2EA916B2"/>
    <w:rsid w:val="2EB46A04"/>
    <w:rsid w:val="2EB84F76"/>
    <w:rsid w:val="2EC62DA5"/>
    <w:rsid w:val="2ECB7077"/>
    <w:rsid w:val="2EED318E"/>
    <w:rsid w:val="2EFE3F3B"/>
    <w:rsid w:val="2F0F1794"/>
    <w:rsid w:val="2F176141"/>
    <w:rsid w:val="2F1A0856"/>
    <w:rsid w:val="2F2B5B05"/>
    <w:rsid w:val="2F475C7E"/>
    <w:rsid w:val="2F486024"/>
    <w:rsid w:val="2F523B34"/>
    <w:rsid w:val="2F5E78CC"/>
    <w:rsid w:val="2F681310"/>
    <w:rsid w:val="2F6C283B"/>
    <w:rsid w:val="2F743B89"/>
    <w:rsid w:val="2F7E2877"/>
    <w:rsid w:val="2F8567D8"/>
    <w:rsid w:val="2F8B5040"/>
    <w:rsid w:val="2F9107C4"/>
    <w:rsid w:val="2F961B57"/>
    <w:rsid w:val="2FDC6A42"/>
    <w:rsid w:val="2FE65B09"/>
    <w:rsid w:val="2FFF53A8"/>
    <w:rsid w:val="30047098"/>
    <w:rsid w:val="30077F63"/>
    <w:rsid w:val="30115CE5"/>
    <w:rsid w:val="30135C1F"/>
    <w:rsid w:val="30191760"/>
    <w:rsid w:val="3028092A"/>
    <w:rsid w:val="302F54E7"/>
    <w:rsid w:val="304863A9"/>
    <w:rsid w:val="30726790"/>
    <w:rsid w:val="30801AC4"/>
    <w:rsid w:val="30823D65"/>
    <w:rsid w:val="30831C53"/>
    <w:rsid w:val="308E438B"/>
    <w:rsid w:val="30A43A04"/>
    <w:rsid w:val="30C87FB8"/>
    <w:rsid w:val="30CB1DAF"/>
    <w:rsid w:val="30E90E2B"/>
    <w:rsid w:val="30ED02EA"/>
    <w:rsid w:val="30FF267A"/>
    <w:rsid w:val="310A2A14"/>
    <w:rsid w:val="310F59F0"/>
    <w:rsid w:val="31395BA8"/>
    <w:rsid w:val="3141666D"/>
    <w:rsid w:val="31480833"/>
    <w:rsid w:val="314B14BF"/>
    <w:rsid w:val="3158219E"/>
    <w:rsid w:val="316D537E"/>
    <w:rsid w:val="31716348"/>
    <w:rsid w:val="317355F2"/>
    <w:rsid w:val="3185517F"/>
    <w:rsid w:val="3185793C"/>
    <w:rsid w:val="319475D5"/>
    <w:rsid w:val="31975317"/>
    <w:rsid w:val="31A87524"/>
    <w:rsid w:val="31B06C89"/>
    <w:rsid w:val="31B91778"/>
    <w:rsid w:val="31C2569E"/>
    <w:rsid w:val="31C96BD0"/>
    <w:rsid w:val="31D04385"/>
    <w:rsid w:val="31D9377A"/>
    <w:rsid w:val="31E15891"/>
    <w:rsid w:val="31F043F4"/>
    <w:rsid w:val="32170EE1"/>
    <w:rsid w:val="325066A8"/>
    <w:rsid w:val="32563FE3"/>
    <w:rsid w:val="325D3410"/>
    <w:rsid w:val="3260226B"/>
    <w:rsid w:val="327652E9"/>
    <w:rsid w:val="327A5FF1"/>
    <w:rsid w:val="32A55CC0"/>
    <w:rsid w:val="32A937D2"/>
    <w:rsid w:val="32C95971"/>
    <w:rsid w:val="32CF5928"/>
    <w:rsid w:val="32E41009"/>
    <w:rsid w:val="32E9078F"/>
    <w:rsid w:val="32ED34FF"/>
    <w:rsid w:val="330856D0"/>
    <w:rsid w:val="33316646"/>
    <w:rsid w:val="333A06E2"/>
    <w:rsid w:val="33462B8C"/>
    <w:rsid w:val="33491C13"/>
    <w:rsid w:val="335E45B2"/>
    <w:rsid w:val="33680D19"/>
    <w:rsid w:val="33691E57"/>
    <w:rsid w:val="336E025D"/>
    <w:rsid w:val="33735D99"/>
    <w:rsid w:val="33736E76"/>
    <w:rsid w:val="337570A4"/>
    <w:rsid w:val="33833CFC"/>
    <w:rsid w:val="33A269EC"/>
    <w:rsid w:val="33A856B1"/>
    <w:rsid w:val="33A930DF"/>
    <w:rsid w:val="33AB2922"/>
    <w:rsid w:val="33B73314"/>
    <w:rsid w:val="33C50B9E"/>
    <w:rsid w:val="33D30EC6"/>
    <w:rsid w:val="33D867E1"/>
    <w:rsid w:val="33D976B3"/>
    <w:rsid w:val="33DB2EFB"/>
    <w:rsid w:val="33DC6CF8"/>
    <w:rsid w:val="33EE36D1"/>
    <w:rsid w:val="33F54490"/>
    <w:rsid w:val="33F85833"/>
    <w:rsid w:val="33F94458"/>
    <w:rsid w:val="34071B8D"/>
    <w:rsid w:val="340B1EAD"/>
    <w:rsid w:val="34111989"/>
    <w:rsid w:val="341266A4"/>
    <w:rsid w:val="3429350C"/>
    <w:rsid w:val="343C76C2"/>
    <w:rsid w:val="343D0166"/>
    <w:rsid w:val="343D6C24"/>
    <w:rsid w:val="345873A9"/>
    <w:rsid w:val="347C5D20"/>
    <w:rsid w:val="348C4EDB"/>
    <w:rsid w:val="34997F68"/>
    <w:rsid w:val="34AF7CC9"/>
    <w:rsid w:val="34B14942"/>
    <w:rsid w:val="34E526B4"/>
    <w:rsid w:val="34F03DC0"/>
    <w:rsid w:val="34FE7262"/>
    <w:rsid w:val="352407FC"/>
    <w:rsid w:val="352612DF"/>
    <w:rsid w:val="35284201"/>
    <w:rsid w:val="35322B1F"/>
    <w:rsid w:val="3535498A"/>
    <w:rsid w:val="35471E10"/>
    <w:rsid w:val="354F3660"/>
    <w:rsid w:val="355004C3"/>
    <w:rsid w:val="3556146D"/>
    <w:rsid w:val="355724F0"/>
    <w:rsid w:val="356533A4"/>
    <w:rsid w:val="356B5D07"/>
    <w:rsid w:val="35810326"/>
    <w:rsid w:val="358C5E8C"/>
    <w:rsid w:val="358D7C9B"/>
    <w:rsid w:val="358E2186"/>
    <w:rsid w:val="35AA4C6A"/>
    <w:rsid w:val="35B90B5D"/>
    <w:rsid w:val="35C81F43"/>
    <w:rsid w:val="35CC1726"/>
    <w:rsid w:val="35DE239E"/>
    <w:rsid w:val="35E06512"/>
    <w:rsid w:val="35E33F92"/>
    <w:rsid w:val="36010FB1"/>
    <w:rsid w:val="360212D1"/>
    <w:rsid w:val="360C7B72"/>
    <w:rsid w:val="360E2480"/>
    <w:rsid w:val="361327DB"/>
    <w:rsid w:val="361F1CFE"/>
    <w:rsid w:val="36371201"/>
    <w:rsid w:val="363720E3"/>
    <w:rsid w:val="3639711B"/>
    <w:rsid w:val="363E765D"/>
    <w:rsid w:val="36592830"/>
    <w:rsid w:val="36632356"/>
    <w:rsid w:val="367409D2"/>
    <w:rsid w:val="367B56C5"/>
    <w:rsid w:val="367C5173"/>
    <w:rsid w:val="36915D46"/>
    <w:rsid w:val="36985DB9"/>
    <w:rsid w:val="36B81FB7"/>
    <w:rsid w:val="36CA31B0"/>
    <w:rsid w:val="36D20797"/>
    <w:rsid w:val="36E65B3A"/>
    <w:rsid w:val="36FF3742"/>
    <w:rsid w:val="370346A6"/>
    <w:rsid w:val="37113475"/>
    <w:rsid w:val="37252E94"/>
    <w:rsid w:val="37296474"/>
    <w:rsid w:val="373227C5"/>
    <w:rsid w:val="37405833"/>
    <w:rsid w:val="374101FF"/>
    <w:rsid w:val="375869AC"/>
    <w:rsid w:val="375B253A"/>
    <w:rsid w:val="37666B6B"/>
    <w:rsid w:val="37675674"/>
    <w:rsid w:val="376B1978"/>
    <w:rsid w:val="37940CA8"/>
    <w:rsid w:val="37D848CF"/>
    <w:rsid w:val="37DA41AF"/>
    <w:rsid w:val="37DB157C"/>
    <w:rsid w:val="37DB3C7D"/>
    <w:rsid w:val="37EE7D30"/>
    <w:rsid w:val="37F62976"/>
    <w:rsid w:val="37F77F19"/>
    <w:rsid w:val="38042FDA"/>
    <w:rsid w:val="381C3F20"/>
    <w:rsid w:val="3822692C"/>
    <w:rsid w:val="38343F2A"/>
    <w:rsid w:val="38490F9C"/>
    <w:rsid w:val="384C1631"/>
    <w:rsid w:val="38542754"/>
    <w:rsid w:val="386C03A0"/>
    <w:rsid w:val="386D6DD1"/>
    <w:rsid w:val="38850AD8"/>
    <w:rsid w:val="38B10FD7"/>
    <w:rsid w:val="38B2326B"/>
    <w:rsid w:val="38BD498D"/>
    <w:rsid w:val="38D81B11"/>
    <w:rsid w:val="38ED2653"/>
    <w:rsid w:val="38FC71A8"/>
    <w:rsid w:val="38FD1F03"/>
    <w:rsid w:val="39020983"/>
    <w:rsid w:val="39037F6C"/>
    <w:rsid w:val="39214610"/>
    <w:rsid w:val="39317DFF"/>
    <w:rsid w:val="39464964"/>
    <w:rsid w:val="395224D9"/>
    <w:rsid w:val="39535FC7"/>
    <w:rsid w:val="395601FC"/>
    <w:rsid w:val="397B4E62"/>
    <w:rsid w:val="39972B1A"/>
    <w:rsid w:val="399A1410"/>
    <w:rsid w:val="39C47D94"/>
    <w:rsid w:val="39CD1539"/>
    <w:rsid w:val="39CD5D32"/>
    <w:rsid w:val="39DA1DFA"/>
    <w:rsid w:val="39DC71EB"/>
    <w:rsid w:val="39DD5D2E"/>
    <w:rsid w:val="39E01A69"/>
    <w:rsid w:val="3A045F91"/>
    <w:rsid w:val="3A076679"/>
    <w:rsid w:val="3A0A0953"/>
    <w:rsid w:val="3A211C22"/>
    <w:rsid w:val="3A2C4127"/>
    <w:rsid w:val="3A4F0AA8"/>
    <w:rsid w:val="3A543DA5"/>
    <w:rsid w:val="3A5576B6"/>
    <w:rsid w:val="3A682780"/>
    <w:rsid w:val="3A697EB7"/>
    <w:rsid w:val="3A7F0311"/>
    <w:rsid w:val="3A8538B6"/>
    <w:rsid w:val="3A884EF1"/>
    <w:rsid w:val="3A8C5141"/>
    <w:rsid w:val="3AA52853"/>
    <w:rsid w:val="3AA648FE"/>
    <w:rsid w:val="3AAA7D3D"/>
    <w:rsid w:val="3AD117FB"/>
    <w:rsid w:val="3AD4138A"/>
    <w:rsid w:val="3AD72904"/>
    <w:rsid w:val="3AD75A09"/>
    <w:rsid w:val="3ADC5AFD"/>
    <w:rsid w:val="3AE17BBC"/>
    <w:rsid w:val="3B007A89"/>
    <w:rsid w:val="3B031833"/>
    <w:rsid w:val="3B0F5ABD"/>
    <w:rsid w:val="3B2F4F75"/>
    <w:rsid w:val="3B31477D"/>
    <w:rsid w:val="3B315914"/>
    <w:rsid w:val="3B422101"/>
    <w:rsid w:val="3B4715CB"/>
    <w:rsid w:val="3B5008D7"/>
    <w:rsid w:val="3B7F15E2"/>
    <w:rsid w:val="3B8536A6"/>
    <w:rsid w:val="3B9F0C51"/>
    <w:rsid w:val="3BA00572"/>
    <w:rsid w:val="3BB1021B"/>
    <w:rsid w:val="3BE15B0C"/>
    <w:rsid w:val="3BE64EF0"/>
    <w:rsid w:val="3BF72A83"/>
    <w:rsid w:val="3C135790"/>
    <w:rsid w:val="3C1752F7"/>
    <w:rsid w:val="3C193171"/>
    <w:rsid w:val="3C1E3214"/>
    <w:rsid w:val="3C2528C6"/>
    <w:rsid w:val="3C371BD0"/>
    <w:rsid w:val="3C4F1FEA"/>
    <w:rsid w:val="3C5B6745"/>
    <w:rsid w:val="3C683B38"/>
    <w:rsid w:val="3C686571"/>
    <w:rsid w:val="3C6F5E3B"/>
    <w:rsid w:val="3C83525B"/>
    <w:rsid w:val="3C87375A"/>
    <w:rsid w:val="3C88531F"/>
    <w:rsid w:val="3C8D7A42"/>
    <w:rsid w:val="3C8E189D"/>
    <w:rsid w:val="3CA22EFE"/>
    <w:rsid w:val="3CB8043D"/>
    <w:rsid w:val="3CB94BCA"/>
    <w:rsid w:val="3CC35212"/>
    <w:rsid w:val="3CC50225"/>
    <w:rsid w:val="3CD967E3"/>
    <w:rsid w:val="3CDE231E"/>
    <w:rsid w:val="3D245A63"/>
    <w:rsid w:val="3D36346C"/>
    <w:rsid w:val="3D4269DA"/>
    <w:rsid w:val="3D430EA3"/>
    <w:rsid w:val="3D47560D"/>
    <w:rsid w:val="3D523BCD"/>
    <w:rsid w:val="3D645169"/>
    <w:rsid w:val="3D6933DE"/>
    <w:rsid w:val="3D7C3859"/>
    <w:rsid w:val="3D80607F"/>
    <w:rsid w:val="3D8F2120"/>
    <w:rsid w:val="3D8F30A0"/>
    <w:rsid w:val="3D990E61"/>
    <w:rsid w:val="3DA327E5"/>
    <w:rsid w:val="3DB01C7C"/>
    <w:rsid w:val="3DB334D8"/>
    <w:rsid w:val="3DBA1ADA"/>
    <w:rsid w:val="3DC355A6"/>
    <w:rsid w:val="3DC42D6E"/>
    <w:rsid w:val="3DD009EA"/>
    <w:rsid w:val="3DD122A2"/>
    <w:rsid w:val="3DD64752"/>
    <w:rsid w:val="3DD80DF7"/>
    <w:rsid w:val="3DE17E96"/>
    <w:rsid w:val="3DE26317"/>
    <w:rsid w:val="3DEB1B40"/>
    <w:rsid w:val="3DFC4E7F"/>
    <w:rsid w:val="3E2D1C0D"/>
    <w:rsid w:val="3E352B5B"/>
    <w:rsid w:val="3E3A2755"/>
    <w:rsid w:val="3E463101"/>
    <w:rsid w:val="3E5717D0"/>
    <w:rsid w:val="3E5E04B0"/>
    <w:rsid w:val="3E5F4189"/>
    <w:rsid w:val="3E6C1A3F"/>
    <w:rsid w:val="3E734A16"/>
    <w:rsid w:val="3E752133"/>
    <w:rsid w:val="3E7A5DA4"/>
    <w:rsid w:val="3E953235"/>
    <w:rsid w:val="3EAA3B18"/>
    <w:rsid w:val="3EAA555F"/>
    <w:rsid w:val="3EBD0BAE"/>
    <w:rsid w:val="3EC3774B"/>
    <w:rsid w:val="3ECC3927"/>
    <w:rsid w:val="3ECD2095"/>
    <w:rsid w:val="3EEF22EE"/>
    <w:rsid w:val="3EF02AD3"/>
    <w:rsid w:val="3F024C1A"/>
    <w:rsid w:val="3F0D0FA0"/>
    <w:rsid w:val="3F21052E"/>
    <w:rsid w:val="3F330C34"/>
    <w:rsid w:val="3F3917F4"/>
    <w:rsid w:val="3F397A0D"/>
    <w:rsid w:val="3F4A39C9"/>
    <w:rsid w:val="3F625E8E"/>
    <w:rsid w:val="3F6A673B"/>
    <w:rsid w:val="3F8C2A74"/>
    <w:rsid w:val="3FA70307"/>
    <w:rsid w:val="3FA7458E"/>
    <w:rsid w:val="3FB22390"/>
    <w:rsid w:val="3FCF1529"/>
    <w:rsid w:val="3FDD2A57"/>
    <w:rsid w:val="3FE37E33"/>
    <w:rsid w:val="3FF027C2"/>
    <w:rsid w:val="3FF55C7D"/>
    <w:rsid w:val="3FF676AC"/>
    <w:rsid w:val="400E03CE"/>
    <w:rsid w:val="401171AD"/>
    <w:rsid w:val="40225AF1"/>
    <w:rsid w:val="403D5148"/>
    <w:rsid w:val="403D6B94"/>
    <w:rsid w:val="40507C98"/>
    <w:rsid w:val="40580367"/>
    <w:rsid w:val="4061657E"/>
    <w:rsid w:val="40767673"/>
    <w:rsid w:val="407707ED"/>
    <w:rsid w:val="40892318"/>
    <w:rsid w:val="408E0789"/>
    <w:rsid w:val="40A76FA9"/>
    <w:rsid w:val="40AC084A"/>
    <w:rsid w:val="40D05FDB"/>
    <w:rsid w:val="40DB515E"/>
    <w:rsid w:val="40E30197"/>
    <w:rsid w:val="40E63D94"/>
    <w:rsid w:val="40EA1367"/>
    <w:rsid w:val="40EB151F"/>
    <w:rsid w:val="40ED4F53"/>
    <w:rsid w:val="40F25A91"/>
    <w:rsid w:val="411C387B"/>
    <w:rsid w:val="41292B74"/>
    <w:rsid w:val="41406E31"/>
    <w:rsid w:val="414E3836"/>
    <w:rsid w:val="41592854"/>
    <w:rsid w:val="416E516B"/>
    <w:rsid w:val="418812BB"/>
    <w:rsid w:val="418D4040"/>
    <w:rsid w:val="419E7FFC"/>
    <w:rsid w:val="419F3079"/>
    <w:rsid w:val="41AE3A67"/>
    <w:rsid w:val="41C95125"/>
    <w:rsid w:val="41EA02ED"/>
    <w:rsid w:val="42075BA1"/>
    <w:rsid w:val="4215282E"/>
    <w:rsid w:val="42225E0B"/>
    <w:rsid w:val="42383FB6"/>
    <w:rsid w:val="423D7815"/>
    <w:rsid w:val="424F30C2"/>
    <w:rsid w:val="425E14DB"/>
    <w:rsid w:val="42621029"/>
    <w:rsid w:val="426B4382"/>
    <w:rsid w:val="42725710"/>
    <w:rsid w:val="427358D4"/>
    <w:rsid w:val="42736D87"/>
    <w:rsid w:val="427E086F"/>
    <w:rsid w:val="42826F4F"/>
    <w:rsid w:val="428B0580"/>
    <w:rsid w:val="429A4E70"/>
    <w:rsid w:val="429E14C4"/>
    <w:rsid w:val="42A26186"/>
    <w:rsid w:val="42A94EAA"/>
    <w:rsid w:val="42BA0E65"/>
    <w:rsid w:val="42C13D5C"/>
    <w:rsid w:val="42DD74CF"/>
    <w:rsid w:val="42DF3579"/>
    <w:rsid w:val="42E264C2"/>
    <w:rsid w:val="42E85CD3"/>
    <w:rsid w:val="42F54D63"/>
    <w:rsid w:val="43011E27"/>
    <w:rsid w:val="430D368B"/>
    <w:rsid w:val="430F20A0"/>
    <w:rsid w:val="43135F0F"/>
    <w:rsid w:val="431B6CC7"/>
    <w:rsid w:val="43225F65"/>
    <w:rsid w:val="435720D9"/>
    <w:rsid w:val="43615785"/>
    <w:rsid w:val="43732880"/>
    <w:rsid w:val="43865952"/>
    <w:rsid w:val="438F0BB0"/>
    <w:rsid w:val="43993170"/>
    <w:rsid w:val="43BF04EA"/>
    <w:rsid w:val="43C05A1E"/>
    <w:rsid w:val="43CF4932"/>
    <w:rsid w:val="43D22CDA"/>
    <w:rsid w:val="43D354DC"/>
    <w:rsid w:val="4405353A"/>
    <w:rsid w:val="44063CF3"/>
    <w:rsid w:val="44072973"/>
    <w:rsid w:val="44095C00"/>
    <w:rsid w:val="44117E2D"/>
    <w:rsid w:val="441822E7"/>
    <w:rsid w:val="442F13DF"/>
    <w:rsid w:val="44426345"/>
    <w:rsid w:val="444B2816"/>
    <w:rsid w:val="445279AA"/>
    <w:rsid w:val="4453331F"/>
    <w:rsid w:val="445F3A86"/>
    <w:rsid w:val="4478636B"/>
    <w:rsid w:val="447A0DB3"/>
    <w:rsid w:val="4481712B"/>
    <w:rsid w:val="44901E7E"/>
    <w:rsid w:val="449F54A7"/>
    <w:rsid w:val="44A1052F"/>
    <w:rsid w:val="44C93406"/>
    <w:rsid w:val="44D74994"/>
    <w:rsid w:val="44DD0E3B"/>
    <w:rsid w:val="44E67CEF"/>
    <w:rsid w:val="44F62875"/>
    <w:rsid w:val="451730A2"/>
    <w:rsid w:val="451955A3"/>
    <w:rsid w:val="45205199"/>
    <w:rsid w:val="45260B70"/>
    <w:rsid w:val="45357C2D"/>
    <w:rsid w:val="453A003B"/>
    <w:rsid w:val="45467C1A"/>
    <w:rsid w:val="45523E0A"/>
    <w:rsid w:val="45603F46"/>
    <w:rsid w:val="45784EE5"/>
    <w:rsid w:val="457C33A8"/>
    <w:rsid w:val="458804FE"/>
    <w:rsid w:val="458D57CB"/>
    <w:rsid w:val="4595726A"/>
    <w:rsid w:val="45C67177"/>
    <w:rsid w:val="45D048BE"/>
    <w:rsid w:val="45DE626C"/>
    <w:rsid w:val="45EB660D"/>
    <w:rsid w:val="45F13477"/>
    <w:rsid w:val="45FA688F"/>
    <w:rsid w:val="45FD7B3D"/>
    <w:rsid w:val="460A10C2"/>
    <w:rsid w:val="461A0599"/>
    <w:rsid w:val="46220C85"/>
    <w:rsid w:val="46230254"/>
    <w:rsid w:val="46244F73"/>
    <w:rsid w:val="46287B26"/>
    <w:rsid w:val="462A00B0"/>
    <w:rsid w:val="462D24EF"/>
    <w:rsid w:val="46427F4E"/>
    <w:rsid w:val="46534E0B"/>
    <w:rsid w:val="4670640B"/>
    <w:rsid w:val="46753897"/>
    <w:rsid w:val="467A71EB"/>
    <w:rsid w:val="46867477"/>
    <w:rsid w:val="468A02AD"/>
    <w:rsid w:val="468B3DD1"/>
    <w:rsid w:val="469043B7"/>
    <w:rsid w:val="46BF4C9C"/>
    <w:rsid w:val="46C936C8"/>
    <w:rsid w:val="46CB1893"/>
    <w:rsid w:val="46D87DE5"/>
    <w:rsid w:val="46E556A4"/>
    <w:rsid w:val="46E97F6B"/>
    <w:rsid w:val="46EA25E1"/>
    <w:rsid w:val="46EB1077"/>
    <w:rsid w:val="470C2558"/>
    <w:rsid w:val="471A1ED2"/>
    <w:rsid w:val="472127B7"/>
    <w:rsid w:val="472165B7"/>
    <w:rsid w:val="47277064"/>
    <w:rsid w:val="47323C17"/>
    <w:rsid w:val="4743767B"/>
    <w:rsid w:val="474E29C1"/>
    <w:rsid w:val="475569C5"/>
    <w:rsid w:val="475A49C5"/>
    <w:rsid w:val="475E44B5"/>
    <w:rsid w:val="476121D8"/>
    <w:rsid w:val="476A063C"/>
    <w:rsid w:val="477C748E"/>
    <w:rsid w:val="478A7058"/>
    <w:rsid w:val="47941208"/>
    <w:rsid w:val="47A101B2"/>
    <w:rsid w:val="47BF2852"/>
    <w:rsid w:val="47BF386C"/>
    <w:rsid w:val="47C3256A"/>
    <w:rsid w:val="47C95C6C"/>
    <w:rsid w:val="47EC7022"/>
    <w:rsid w:val="47FC7940"/>
    <w:rsid w:val="48030B33"/>
    <w:rsid w:val="48046015"/>
    <w:rsid w:val="4819316F"/>
    <w:rsid w:val="482F5E51"/>
    <w:rsid w:val="483F125D"/>
    <w:rsid w:val="48580B32"/>
    <w:rsid w:val="485B43A9"/>
    <w:rsid w:val="48635024"/>
    <w:rsid w:val="487B675C"/>
    <w:rsid w:val="48A95C04"/>
    <w:rsid w:val="48B22238"/>
    <w:rsid w:val="48B33076"/>
    <w:rsid w:val="48C4330A"/>
    <w:rsid w:val="48D55EB3"/>
    <w:rsid w:val="48DA0701"/>
    <w:rsid w:val="48DF324A"/>
    <w:rsid w:val="48E052EC"/>
    <w:rsid w:val="48E65AEE"/>
    <w:rsid w:val="48F80CE7"/>
    <w:rsid w:val="49096FCD"/>
    <w:rsid w:val="491D7C08"/>
    <w:rsid w:val="494625B6"/>
    <w:rsid w:val="49507E2D"/>
    <w:rsid w:val="49512BB1"/>
    <w:rsid w:val="495E0009"/>
    <w:rsid w:val="49641F5D"/>
    <w:rsid w:val="49666B6B"/>
    <w:rsid w:val="496F2CCC"/>
    <w:rsid w:val="498F64FC"/>
    <w:rsid w:val="49AD1724"/>
    <w:rsid w:val="49BE7E39"/>
    <w:rsid w:val="49C40005"/>
    <w:rsid w:val="49C65419"/>
    <w:rsid w:val="49D04BAB"/>
    <w:rsid w:val="49EA0282"/>
    <w:rsid w:val="49EA17C4"/>
    <w:rsid w:val="49EF440A"/>
    <w:rsid w:val="4A1A2F12"/>
    <w:rsid w:val="4A2622F2"/>
    <w:rsid w:val="4A2C7C77"/>
    <w:rsid w:val="4A321C6F"/>
    <w:rsid w:val="4A366D8C"/>
    <w:rsid w:val="4A375709"/>
    <w:rsid w:val="4A475BFC"/>
    <w:rsid w:val="4A4E1094"/>
    <w:rsid w:val="4A561717"/>
    <w:rsid w:val="4A606796"/>
    <w:rsid w:val="4A717D8F"/>
    <w:rsid w:val="4A7D0F83"/>
    <w:rsid w:val="4A834A22"/>
    <w:rsid w:val="4A8815D3"/>
    <w:rsid w:val="4A9454F9"/>
    <w:rsid w:val="4A972DF7"/>
    <w:rsid w:val="4A992274"/>
    <w:rsid w:val="4AA77F21"/>
    <w:rsid w:val="4AAA2276"/>
    <w:rsid w:val="4AB64534"/>
    <w:rsid w:val="4ABD14F2"/>
    <w:rsid w:val="4AC66642"/>
    <w:rsid w:val="4AC87549"/>
    <w:rsid w:val="4AD37353"/>
    <w:rsid w:val="4ADC6651"/>
    <w:rsid w:val="4AE2340C"/>
    <w:rsid w:val="4AE72A13"/>
    <w:rsid w:val="4AFF6999"/>
    <w:rsid w:val="4B0E61F2"/>
    <w:rsid w:val="4B21257E"/>
    <w:rsid w:val="4B290FE3"/>
    <w:rsid w:val="4B322207"/>
    <w:rsid w:val="4B3B5793"/>
    <w:rsid w:val="4B58050B"/>
    <w:rsid w:val="4B5A25F7"/>
    <w:rsid w:val="4B6A0768"/>
    <w:rsid w:val="4B6B0CBD"/>
    <w:rsid w:val="4B705719"/>
    <w:rsid w:val="4B7B47F9"/>
    <w:rsid w:val="4BA563FE"/>
    <w:rsid w:val="4BB77663"/>
    <w:rsid w:val="4BC54DE5"/>
    <w:rsid w:val="4BCB7306"/>
    <w:rsid w:val="4BD52968"/>
    <w:rsid w:val="4BD91D02"/>
    <w:rsid w:val="4BE2600E"/>
    <w:rsid w:val="4BE57820"/>
    <w:rsid w:val="4BF657A1"/>
    <w:rsid w:val="4BFB7B74"/>
    <w:rsid w:val="4C0457A1"/>
    <w:rsid w:val="4C3F2C78"/>
    <w:rsid w:val="4C42244E"/>
    <w:rsid w:val="4C437DCE"/>
    <w:rsid w:val="4C634123"/>
    <w:rsid w:val="4C6D3DA8"/>
    <w:rsid w:val="4C727CFA"/>
    <w:rsid w:val="4C88081B"/>
    <w:rsid w:val="4C8872A2"/>
    <w:rsid w:val="4C9C19F3"/>
    <w:rsid w:val="4CA47183"/>
    <w:rsid w:val="4CB7606E"/>
    <w:rsid w:val="4CB91CB1"/>
    <w:rsid w:val="4CF745DE"/>
    <w:rsid w:val="4CFC57E0"/>
    <w:rsid w:val="4D087B01"/>
    <w:rsid w:val="4D0B58BC"/>
    <w:rsid w:val="4D0C050F"/>
    <w:rsid w:val="4D0C2AD5"/>
    <w:rsid w:val="4D2059FA"/>
    <w:rsid w:val="4D2E3574"/>
    <w:rsid w:val="4D451B18"/>
    <w:rsid w:val="4D4D5AFE"/>
    <w:rsid w:val="4D502AF2"/>
    <w:rsid w:val="4D5C07F9"/>
    <w:rsid w:val="4D755736"/>
    <w:rsid w:val="4DAC0A3B"/>
    <w:rsid w:val="4DB92102"/>
    <w:rsid w:val="4DBA3E20"/>
    <w:rsid w:val="4DBC5B64"/>
    <w:rsid w:val="4DC679DB"/>
    <w:rsid w:val="4DE61D12"/>
    <w:rsid w:val="4DF1146E"/>
    <w:rsid w:val="4DF82017"/>
    <w:rsid w:val="4E0E661C"/>
    <w:rsid w:val="4E1E3790"/>
    <w:rsid w:val="4E2E44B5"/>
    <w:rsid w:val="4E4C57ED"/>
    <w:rsid w:val="4E5505A6"/>
    <w:rsid w:val="4E820BD8"/>
    <w:rsid w:val="4E8D729C"/>
    <w:rsid w:val="4E8E1C0C"/>
    <w:rsid w:val="4E9609D8"/>
    <w:rsid w:val="4E98004C"/>
    <w:rsid w:val="4EA5208F"/>
    <w:rsid w:val="4EAE617F"/>
    <w:rsid w:val="4EBD702F"/>
    <w:rsid w:val="4EC310A1"/>
    <w:rsid w:val="4EC818B0"/>
    <w:rsid w:val="4ECB59F9"/>
    <w:rsid w:val="4ECE1CAC"/>
    <w:rsid w:val="4EE414BB"/>
    <w:rsid w:val="4EE87B84"/>
    <w:rsid w:val="4EFF65C5"/>
    <w:rsid w:val="4F0052D1"/>
    <w:rsid w:val="4F014784"/>
    <w:rsid w:val="4F0431E6"/>
    <w:rsid w:val="4F1B712F"/>
    <w:rsid w:val="4F1C605F"/>
    <w:rsid w:val="4F254824"/>
    <w:rsid w:val="4F2658BE"/>
    <w:rsid w:val="4F4736A7"/>
    <w:rsid w:val="4F7914EF"/>
    <w:rsid w:val="4F9174FD"/>
    <w:rsid w:val="4F9402D2"/>
    <w:rsid w:val="4F9A6D4E"/>
    <w:rsid w:val="4FB10142"/>
    <w:rsid w:val="4FB82BD0"/>
    <w:rsid w:val="4FC643B6"/>
    <w:rsid w:val="4FD1578E"/>
    <w:rsid w:val="4FE10E76"/>
    <w:rsid w:val="4FEE2189"/>
    <w:rsid w:val="4FF71C3D"/>
    <w:rsid w:val="50016856"/>
    <w:rsid w:val="5008518B"/>
    <w:rsid w:val="500B32A2"/>
    <w:rsid w:val="502B6647"/>
    <w:rsid w:val="502B6EFE"/>
    <w:rsid w:val="50324E90"/>
    <w:rsid w:val="504C1B11"/>
    <w:rsid w:val="505F48A5"/>
    <w:rsid w:val="506472D4"/>
    <w:rsid w:val="50666C7A"/>
    <w:rsid w:val="507460A4"/>
    <w:rsid w:val="5094445D"/>
    <w:rsid w:val="509C0D4E"/>
    <w:rsid w:val="50A23A1E"/>
    <w:rsid w:val="50AC44E3"/>
    <w:rsid w:val="50B57EA9"/>
    <w:rsid w:val="50BC2B26"/>
    <w:rsid w:val="50BE1984"/>
    <w:rsid w:val="50D141C6"/>
    <w:rsid w:val="50D94FDD"/>
    <w:rsid w:val="50F115EA"/>
    <w:rsid w:val="50F72C9C"/>
    <w:rsid w:val="50FC0DB6"/>
    <w:rsid w:val="511107EA"/>
    <w:rsid w:val="511F2007"/>
    <w:rsid w:val="51271E2F"/>
    <w:rsid w:val="51342CAA"/>
    <w:rsid w:val="51366F32"/>
    <w:rsid w:val="51406A38"/>
    <w:rsid w:val="514B4E4E"/>
    <w:rsid w:val="516578E1"/>
    <w:rsid w:val="517174DB"/>
    <w:rsid w:val="518049FF"/>
    <w:rsid w:val="51932FAD"/>
    <w:rsid w:val="51A06E66"/>
    <w:rsid w:val="51AF590D"/>
    <w:rsid w:val="51B475E9"/>
    <w:rsid w:val="51C05FF6"/>
    <w:rsid w:val="51D135DE"/>
    <w:rsid w:val="51DF4444"/>
    <w:rsid w:val="51F65295"/>
    <w:rsid w:val="51F872B4"/>
    <w:rsid w:val="51FD3DB6"/>
    <w:rsid w:val="52097713"/>
    <w:rsid w:val="520C3BB6"/>
    <w:rsid w:val="52252174"/>
    <w:rsid w:val="52295AE6"/>
    <w:rsid w:val="522D0E7F"/>
    <w:rsid w:val="523E4D62"/>
    <w:rsid w:val="5243507E"/>
    <w:rsid w:val="525402A0"/>
    <w:rsid w:val="52554706"/>
    <w:rsid w:val="525F5585"/>
    <w:rsid w:val="528D41E4"/>
    <w:rsid w:val="52BF5C92"/>
    <w:rsid w:val="52C2167A"/>
    <w:rsid w:val="52C7794C"/>
    <w:rsid w:val="52D279CD"/>
    <w:rsid w:val="52D32ADF"/>
    <w:rsid w:val="52E45ACB"/>
    <w:rsid w:val="52E71802"/>
    <w:rsid w:val="52F47AFB"/>
    <w:rsid w:val="53071B37"/>
    <w:rsid w:val="530A5973"/>
    <w:rsid w:val="530C5CEE"/>
    <w:rsid w:val="531169F3"/>
    <w:rsid w:val="531348FB"/>
    <w:rsid w:val="53275D3D"/>
    <w:rsid w:val="533354CF"/>
    <w:rsid w:val="533407C0"/>
    <w:rsid w:val="53346B96"/>
    <w:rsid w:val="535D5DC8"/>
    <w:rsid w:val="537A3167"/>
    <w:rsid w:val="537D2360"/>
    <w:rsid w:val="53811E50"/>
    <w:rsid w:val="53B22465"/>
    <w:rsid w:val="53B72F65"/>
    <w:rsid w:val="53BE3989"/>
    <w:rsid w:val="53D83751"/>
    <w:rsid w:val="53D85151"/>
    <w:rsid w:val="53E844A9"/>
    <w:rsid w:val="53FD2AC2"/>
    <w:rsid w:val="5409404E"/>
    <w:rsid w:val="54134B75"/>
    <w:rsid w:val="54164746"/>
    <w:rsid w:val="541F238F"/>
    <w:rsid w:val="542E2ADC"/>
    <w:rsid w:val="543341B9"/>
    <w:rsid w:val="543415ED"/>
    <w:rsid w:val="5438608E"/>
    <w:rsid w:val="544B7F7E"/>
    <w:rsid w:val="54501D22"/>
    <w:rsid w:val="546146EB"/>
    <w:rsid w:val="54635433"/>
    <w:rsid w:val="54680D66"/>
    <w:rsid w:val="54685AA1"/>
    <w:rsid w:val="547D06FB"/>
    <w:rsid w:val="547D14B1"/>
    <w:rsid w:val="54857DDB"/>
    <w:rsid w:val="548C678B"/>
    <w:rsid w:val="54905199"/>
    <w:rsid w:val="54914216"/>
    <w:rsid w:val="549273A9"/>
    <w:rsid w:val="549405C7"/>
    <w:rsid w:val="549D6C55"/>
    <w:rsid w:val="54CA07F6"/>
    <w:rsid w:val="54E979F3"/>
    <w:rsid w:val="54EF0774"/>
    <w:rsid w:val="54F2448F"/>
    <w:rsid w:val="54FE2E33"/>
    <w:rsid w:val="550B2DC8"/>
    <w:rsid w:val="5540169E"/>
    <w:rsid w:val="55466588"/>
    <w:rsid w:val="5547793A"/>
    <w:rsid w:val="554C32B2"/>
    <w:rsid w:val="55501E76"/>
    <w:rsid w:val="55701D69"/>
    <w:rsid w:val="55731E3E"/>
    <w:rsid w:val="557A0272"/>
    <w:rsid w:val="557E29D7"/>
    <w:rsid w:val="558F2195"/>
    <w:rsid w:val="55900035"/>
    <w:rsid w:val="55AF798B"/>
    <w:rsid w:val="55CA70E8"/>
    <w:rsid w:val="55ED4967"/>
    <w:rsid w:val="55F350C4"/>
    <w:rsid w:val="561019A5"/>
    <w:rsid w:val="561B14C6"/>
    <w:rsid w:val="561B7A15"/>
    <w:rsid w:val="56247722"/>
    <w:rsid w:val="56342FDD"/>
    <w:rsid w:val="56467B64"/>
    <w:rsid w:val="565626F9"/>
    <w:rsid w:val="565671A2"/>
    <w:rsid w:val="56685CA8"/>
    <w:rsid w:val="56740DC7"/>
    <w:rsid w:val="56753961"/>
    <w:rsid w:val="5677558B"/>
    <w:rsid w:val="569C2904"/>
    <w:rsid w:val="56AA3219"/>
    <w:rsid w:val="56CF2574"/>
    <w:rsid w:val="56CF424D"/>
    <w:rsid w:val="56DE4C00"/>
    <w:rsid w:val="5707525A"/>
    <w:rsid w:val="570847EE"/>
    <w:rsid w:val="573270B5"/>
    <w:rsid w:val="57331689"/>
    <w:rsid w:val="57443B56"/>
    <w:rsid w:val="57614844"/>
    <w:rsid w:val="57664CC0"/>
    <w:rsid w:val="576A00D2"/>
    <w:rsid w:val="576A530D"/>
    <w:rsid w:val="57971A40"/>
    <w:rsid w:val="579E4D2D"/>
    <w:rsid w:val="57A24175"/>
    <w:rsid w:val="57B21314"/>
    <w:rsid w:val="57B75717"/>
    <w:rsid w:val="57C470D2"/>
    <w:rsid w:val="57C77E19"/>
    <w:rsid w:val="57CA488B"/>
    <w:rsid w:val="57DB3900"/>
    <w:rsid w:val="57DB47FB"/>
    <w:rsid w:val="580846BB"/>
    <w:rsid w:val="5816050F"/>
    <w:rsid w:val="581D5CC6"/>
    <w:rsid w:val="58205F1A"/>
    <w:rsid w:val="582468CD"/>
    <w:rsid w:val="582840C5"/>
    <w:rsid w:val="583074F9"/>
    <w:rsid w:val="583515AC"/>
    <w:rsid w:val="584B45E2"/>
    <w:rsid w:val="584C2587"/>
    <w:rsid w:val="585127AA"/>
    <w:rsid w:val="585D5314"/>
    <w:rsid w:val="58603D47"/>
    <w:rsid w:val="58743A0C"/>
    <w:rsid w:val="58BB3CCE"/>
    <w:rsid w:val="58CD3249"/>
    <w:rsid w:val="58DE0E81"/>
    <w:rsid w:val="59125866"/>
    <w:rsid w:val="5915352F"/>
    <w:rsid w:val="591B0458"/>
    <w:rsid w:val="59232E69"/>
    <w:rsid w:val="59304651"/>
    <w:rsid w:val="593E2965"/>
    <w:rsid w:val="594856C1"/>
    <w:rsid w:val="59486EBB"/>
    <w:rsid w:val="59493AFE"/>
    <w:rsid w:val="594C38F9"/>
    <w:rsid w:val="594C4A1E"/>
    <w:rsid w:val="59567838"/>
    <w:rsid w:val="59700D18"/>
    <w:rsid w:val="5970491E"/>
    <w:rsid w:val="597304CA"/>
    <w:rsid w:val="59794C92"/>
    <w:rsid w:val="597A0373"/>
    <w:rsid w:val="598803B1"/>
    <w:rsid w:val="59A5117A"/>
    <w:rsid w:val="59A937D5"/>
    <w:rsid w:val="59BA6CB3"/>
    <w:rsid w:val="59BA6CC4"/>
    <w:rsid w:val="59DB746A"/>
    <w:rsid w:val="59F2154E"/>
    <w:rsid w:val="59F9691A"/>
    <w:rsid w:val="5A012975"/>
    <w:rsid w:val="5A0233C6"/>
    <w:rsid w:val="5A097A39"/>
    <w:rsid w:val="5A112448"/>
    <w:rsid w:val="5A1E417A"/>
    <w:rsid w:val="5A266C4C"/>
    <w:rsid w:val="5A2D3B53"/>
    <w:rsid w:val="5A3B2434"/>
    <w:rsid w:val="5A6457FD"/>
    <w:rsid w:val="5A645A7F"/>
    <w:rsid w:val="5A653116"/>
    <w:rsid w:val="5A7035CD"/>
    <w:rsid w:val="5A873ECB"/>
    <w:rsid w:val="5A934A0F"/>
    <w:rsid w:val="5A957C98"/>
    <w:rsid w:val="5A9E6D6F"/>
    <w:rsid w:val="5AAC50E0"/>
    <w:rsid w:val="5AAD60EA"/>
    <w:rsid w:val="5AB61DE0"/>
    <w:rsid w:val="5ACB527F"/>
    <w:rsid w:val="5AD7761B"/>
    <w:rsid w:val="5B072DB6"/>
    <w:rsid w:val="5B19492B"/>
    <w:rsid w:val="5B233465"/>
    <w:rsid w:val="5B506B61"/>
    <w:rsid w:val="5B5F0F2E"/>
    <w:rsid w:val="5B667984"/>
    <w:rsid w:val="5B6B796C"/>
    <w:rsid w:val="5B7C0F56"/>
    <w:rsid w:val="5B910ABF"/>
    <w:rsid w:val="5B9808C1"/>
    <w:rsid w:val="5BB10CB2"/>
    <w:rsid w:val="5BC16A09"/>
    <w:rsid w:val="5C012CC6"/>
    <w:rsid w:val="5C3B496D"/>
    <w:rsid w:val="5C503DE0"/>
    <w:rsid w:val="5C5435D1"/>
    <w:rsid w:val="5C5C5BA5"/>
    <w:rsid w:val="5C8005D2"/>
    <w:rsid w:val="5C8C4702"/>
    <w:rsid w:val="5C936557"/>
    <w:rsid w:val="5C943DBC"/>
    <w:rsid w:val="5C997625"/>
    <w:rsid w:val="5CA57080"/>
    <w:rsid w:val="5CA77E21"/>
    <w:rsid w:val="5CAF0BE0"/>
    <w:rsid w:val="5CB458BA"/>
    <w:rsid w:val="5CDC782C"/>
    <w:rsid w:val="5CE23DAC"/>
    <w:rsid w:val="5CE73917"/>
    <w:rsid w:val="5D0A73AF"/>
    <w:rsid w:val="5D120F26"/>
    <w:rsid w:val="5D1F603D"/>
    <w:rsid w:val="5D376039"/>
    <w:rsid w:val="5D3E31E9"/>
    <w:rsid w:val="5D436E42"/>
    <w:rsid w:val="5D63667B"/>
    <w:rsid w:val="5D696565"/>
    <w:rsid w:val="5D6F2EDA"/>
    <w:rsid w:val="5D783847"/>
    <w:rsid w:val="5D83037A"/>
    <w:rsid w:val="5D885121"/>
    <w:rsid w:val="5D9941C1"/>
    <w:rsid w:val="5DA92832"/>
    <w:rsid w:val="5DAE502B"/>
    <w:rsid w:val="5DB466F3"/>
    <w:rsid w:val="5DB915F2"/>
    <w:rsid w:val="5DBC60F3"/>
    <w:rsid w:val="5DCB1D21"/>
    <w:rsid w:val="5DCD5A99"/>
    <w:rsid w:val="5DDA5440"/>
    <w:rsid w:val="5DDD5947"/>
    <w:rsid w:val="5DDF393D"/>
    <w:rsid w:val="5DDF6E4E"/>
    <w:rsid w:val="5DFA49E0"/>
    <w:rsid w:val="5E1D0F80"/>
    <w:rsid w:val="5E1F3B6D"/>
    <w:rsid w:val="5E224037"/>
    <w:rsid w:val="5E352C38"/>
    <w:rsid w:val="5E3E40FF"/>
    <w:rsid w:val="5E40706E"/>
    <w:rsid w:val="5E4C1080"/>
    <w:rsid w:val="5E4E1C8A"/>
    <w:rsid w:val="5E5D7A78"/>
    <w:rsid w:val="5E7833A1"/>
    <w:rsid w:val="5E8274BA"/>
    <w:rsid w:val="5EA06D09"/>
    <w:rsid w:val="5EA53C9A"/>
    <w:rsid w:val="5EB822A5"/>
    <w:rsid w:val="5EBC7F37"/>
    <w:rsid w:val="5ECE7D1A"/>
    <w:rsid w:val="5ED36C86"/>
    <w:rsid w:val="5EDA60B0"/>
    <w:rsid w:val="5EE35A57"/>
    <w:rsid w:val="5F1645A7"/>
    <w:rsid w:val="5F6A54DD"/>
    <w:rsid w:val="5F815969"/>
    <w:rsid w:val="5F8B4FA7"/>
    <w:rsid w:val="5F9B72D1"/>
    <w:rsid w:val="5FAB0A44"/>
    <w:rsid w:val="5FB17C29"/>
    <w:rsid w:val="5FB34738"/>
    <w:rsid w:val="5FB95E1C"/>
    <w:rsid w:val="5FC85F82"/>
    <w:rsid w:val="5FCB3FE5"/>
    <w:rsid w:val="5FDC5EDE"/>
    <w:rsid w:val="5FEB2206"/>
    <w:rsid w:val="5FED772C"/>
    <w:rsid w:val="5FF97EAE"/>
    <w:rsid w:val="60155C27"/>
    <w:rsid w:val="60162D11"/>
    <w:rsid w:val="601A6070"/>
    <w:rsid w:val="60226F8B"/>
    <w:rsid w:val="603B4F3C"/>
    <w:rsid w:val="60477ABF"/>
    <w:rsid w:val="604B06AE"/>
    <w:rsid w:val="60526566"/>
    <w:rsid w:val="607F756F"/>
    <w:rsid w:val="60917251"/>
    <w:rsid w:val="60982996"/>
    <w:rsid w:val="60C53D01"/>
    <w:rsid w:val="60C9018D"/>
    <w:rsid w:val="61012C93"/>
    <w:rsid w:val="61053FC5"/>
    <w:rsid w:val="610C088E"/>
    <w:rsid w:val="614A03E6"/>
    <w:rsid w:val="61531A50"/>
    <w:rsid w:val="61532201"/>
    <w:rsid w:val="61651210"/>
    <w:rsid w:val="61666018"/>
    <w:rsid w:val="616B46BB"/>
    <w:rsid w:val="616E5EB6"/>
    <w:rsid w:val="617526CF"/>
    <w:rsid w:val="618560EB"/>
    <w:rsid w:val="618E3791"/>
    <w:rsid w:val="619B5D77"/>
    <w:rsid w:val="61B10243"/>
    <w:rsid w:val="61BB2DD9"/>
    <w:rsid w:val="61C00B2F"/>
    <w:rsid w:val="61C3411F"/>
    <w:rsid w:val="61DD1B9A"/>
    <w:rsid w:val="61E136F6"/>
    <w:rsid w:val="61F4426B"/>
    <w:rsid w:val="61F83805"/>
    <w:rsid w:val="62022776"/>
    <w:rsid w:val="6205764C"/>
    <w:rsid w:val="62256C85"/>
    <w:rsid w:val="623600B0"/>
    <w:rsid w:val="62562501"/>
    <w:rsid w:val="6256299E"/>
    <w:rsid w:val="62574D95"/>
    <w:rsid w:val="62586747"/>
    <w:rsid w:val="626C60B7"/>
    <w:rsid w:val="62746498"/>
    <w:rsid w:val="62922E0D"/>
    <w:rsid w:val="62982A5C"/>
    <w:rsid w:val="62C924F0"/>
    <w:rsid w:val="62CB6D60"/>
    <w:rsid w:val="62E358B2"/>
    <w:rsid w:val="62EA49F7"/>
    <w:rsid w:val="62F154C5"/>
    <w:rsid w:val="62FD0A5D"/>
    <w:rsid w:val="63162338"/>
    <w:rsid w:val="632036E4"/>
    <w:rsid w:val="63232EB3"/>
    <w:rsid w:val="63267478"/>
    <w:rsid w:val="633D315E"/>
    <w:rsid w:val="63504ABF"/>
    <w:rsid w:val="63517786"/>
    <w:rsid w:val="637052D7"/>
    <w:rsid w:val="6388739F"/>
    <w:rsid w:val="6389099E"/>
    <w:rsid w:val="63954DAA"/>
    <w:rsid w:val="63C74AA3"/>
    <w:rsid w:val="63D87748"/>
    <w:rsid w:val="63DE2EEF"/>
    <w:rsid w:val="63E8362C"/>
    <w:rsid w:val="63F16145"/>
    <w:rsid w:val="64024CFF"/>
    <w:rsid w:val="641D22DD"/>
    <w:rsid w:val="64426DE8"/>
    <w:rsid w:val="645B3151"/>
    <w:rsid w:val="646A170C"/>
    <w:rsid w:val="64701038"/>
    <w:rsid w:val="64722EF6"/>
    <w:rsid w:val="64797A3F"/>
    <w:rsid w:val="647B4B09"/>
    <w:rsid w:val="647B6F79"/>
    <w:rsid w:val="64815AEE"/>
    <w:rsid w:val="648937A8"/>
    <w:rsid w:val="648B1BA9"/>
    <w:rsid w:val="648D0F64"/>
    <w:rsid w:val="649449E8"/>
    <w:rsid w:val="649D5D6D"/>
    <w:rsid w:val="64A9391A"/>
    <w:rsid w:val="64AF7CA6"/>
    <w:rsid w:val="64D77B16"/>
    <w:rsid w:val="64F953C5"/>
    <w:rsid w:val="651B533C"/>
    <w:rsid w:val="651E27DC"/>
    <w:rsid w:val="65206DF6"/>
    <w:rsid w:val="65291D8F"/>
    <w:rsid w:val="65570D94"/>
    <w:rsid w:val="655774EE"/>
    <w:rsid w:val="65795592"/>
    <w:rsid w:val="65A10F4D"/>
    <w:rsid w:val="65A93335"/>
    <w:rsid w:val="65BC5BDE"/>
    <w:rsid w:val="65D3678B"/>
    <w:rsid w:val="65DB69B9"/>
    <w:rsid w:val="65E142CF"/>
    <w:rsid w:val="65F16DEF"/>
    <w:rsid w:val="65FF5B93"/>
    <w:rsid w:val="660540EE"/>
    <w:rsid w:val="66081715"/>
    <w:rsid w:val="661673E0"/>
    <w:rsid w:val="661A1A97"/>
    <w:rsid w:val="661A3845"/>
    <w:rsid w:val="661B00EA"/>
    <w:rsid w:val="661D360B"/>
    <w:rsid w:val="66523C3F"/>
    <w:rsid w:val="66541F53"/>
    <w:rsid w:val="665C126F"/>
    <w:rsid w:val="6660647F"/>
    <w:rsid w:val="66613222"/>
    <w:rsid w:val="66820F47"/>
    <w:rsid w:val="668A782A"/>
    <w:rsid w:val="66AF1795"/>
    <w:rsid w:val="66B07CC1"/>
    <w:rsid w:val="66B14B24"/>
    <w:rsid w:val="66B27D18"/>
    <w:rsid w:val="66D1442C"/>
    <w:rsid w:val="66D47E7F"/>
    <w:rsid w:val="66D64E5B"/>
    <w:rsid w:val="66DD089D"/>
    <w:rsid w:val="66F0016C"/>
    <w:rsid w:val="66FA0812"/>
    <w:rsid w:val="66FB2BD0"/>
    <w:rsid w:val="66FC2971"/>
    <w:rsid w:val="670008EB"/>
    <w:rsid w:val="67103ED9"/>
    <w:rsid w:val="67262B05"/>
    <w:rsid w:val="672C7CD4"/>
    <w:rsid w:val="674E513F"/>
    <w:rsid w:val="674E6BDA"/>
    <w:rsid w:val="67610E75"/>
    <w:rsid w:val="676F0F89"/>
    <w:rsid w:val="677178CC"/>
    <w:rsid w:val="677977BA"/>
    <w:rsid w:val="67797A29"/>
    <w:rsid w:val="679D31F9"/>
    <w:rsid w:val="679D3BF4"/>
    <w:rsid w:val="679D472E"/>
    <w:rsid w:val="67A41618"/>
    <w:rsid w:val="67AE4749"/>
    <w:rsid w:val="67C56A11"/>
    <w:rsid w:val="67DC3A63"/>
    <w:rsid w:val="67E071EA"/>
    <w:rsid w:val="67FC4971"/>
    <w:rsid w:val="68221BAF"/>
    <w:rsid w:val="682D62D9"/>
    <w:rsid w:val="685143BC"/>
    <w:rsid w:val="68542A0A"/>
    <w:rsid w:val="68555296"/>
    <w:rsid w:val="686C1E80"/>
    <w:rsid w:val="689079C3"/>
    <w:rsid w:val="689A2A1B"/>
    <w:rsid w:val="68D46A71"/>
    <w:rsid w:val="68D56910"/>
    <w:rsid w:val="68EF70C5"/>
    <w:rsid w:val="68F22D9F"/>
    <w:rsid w:val="69162C86"/>
    <w:rsid w:val="69180AD7"/>
    <w:rsid w:val="69214083"/>
    <w:rsid w:val="69456B9A"/>
    <w:rsid w:val="69481344"/>
    <w:rsid w:val="695700E3"/>
    <w:rsid w:val="6980516E"/>
    <w:rsid w:val="698B51FD"/>
    <w:rsid w:val="69960468"/>
    <w:rsid w:val="69A109AD"/>
    <w:rsid w:val="69B875FD"/>
    <w:rsid w:val="69D5796F"/>
    <w:rsid w:val="69E00AE8"/>
    <w:rsid w:val="69E2467A"/>
    <w:rsid w:val="69F101EA"/>
    <w:rsid w:val="69F448E4"/>
    <w:rsid w:val="6A0606AA"/>
    <w:rsid w:val="6A090874"/>
    <w:rsid w:val="6A0F6D29"/>
    <w:rsid w:val="6A1231B1"/>
    <w:rsid w:val="6A1B780C"/>
    <w:rsid w:val="6A206086"/>
    <w:rsid w:val="6A3F0B90"/>
    <w:rsid w:val="6A3F71AB"/>
    <w:rsid w:val="6A407F9F"/>
    <w:rsid w:val="6A4620BF"/>
    <w:rsid w:val="6A4D5F32"/>
    <w:rsid w:val="6A5D65D9"/>
    <w:rsid w:val="6A6908F7"/>
    <w:rsid w:val="6A722F0B"/>
    <w:rsid w:val="6A7A4D5B"/>
    <w:rsid w:val="6A7E7518"/>
    <w:rsid w:val="6A825953"/>
    <w:rsid w:val="6A881C38"/>
    <w:rsid w:val="6A8A11E6"/>
    <w:rsid w:val="6A8B2F63"/>
    <w:rsid w:val="6A9C6F1F"/>
    <w:rsid w:val="6AC034F3"/>
    <w:rsid w:val="6AC96987"/>
    <w:rsid w:val="6AD24017"/>
    <w:rsid w:val="6AD42C61"/>
    <w:rsid w:val="6AE14092"/>
    <w:rsid w:val="6AEA323D"/>
    <w:rsid w:val="6AF07997"/>
    <w:rsid w:val="6AF5032D"/>
    <w:rsid w:val="6AFB2812"/>
    <w:rsid w:val="6AFF182D"/>
    <w:rsid w:val="6B032C8C"/>
    <w:rsid w:val="6B243303"/>
    <w:rsid w:val="6B3569BE"/>
    <w:rsid w:val="6B3A1CE8"/>
    <w:rsid w:val="6B3E4E41"/>
    <w:rsid w:val="6B4D49EF"/>
    <w:rsid w:val="6B556078"/>
    <w:rsid w:val="6B565CD0"/>
    <w:rsid w:val="6B68013D"/>
    <w:rsid w:val="6B7022D0"/>
    <w:rsid w:val="6B7B5422"/>
    <w:rsid w:val="6B852192"/>
    <w:rsid w:val="6B925A32"/>
    <w:rsid w:val="6B9C4F5E"/>
    <w:rsid w:val="6BA92B5A"/>
    <w:rsid w:val="6BB42760"/>
    <w:rsid w:val="6BD37065"/>
    <w:rsid w:val="6BE13B5E"/>
    <w:rsid w:val="6BE31674"/>
    <w:rsid w:val="6BE95EA9"/>
    <w:rsid w:val="6BEA6094"/>
    <w:rsid w:val="6C114575"/>
    <w:rsid w:val="6C3E2214"/>
    <w:rsid w:val="6C427652"/>
    <w:rsid w:val="6C4D48CD"/>
    <w:rsid w:val="6C8202CD"/>
    <w:rsid w:val="6C8639E2"/>
    <w:rsid w:val="6C961621"/>
    <w:rsid w:val="6C9D5038"/>
    <w:rsid w:val="6CBB7DE1"/>
    <w:rsid w:val="6CC445CB"/>
    <w:rsid w:val="6CD042ED"/>
    <w:rsid w:val="6CDA2357"/>
    <w:rsid w:val="6CE8212C"/>
    <w:rsid w:val="6CF01775"/>
    <w:rsid w:val="6CFB62C0"/>
    <w:rsid w:val="6CFD7CAA"/>
    <w:rsid w:val="6D026DE8"/>
    <w:rsid w:val="6D0316B2"/>
    <w:rsid w:val="6D087337"/>
    <w:rsid w:val="6D0E1321"/>
    <w:rsid w:val="6D104BE0"/>
    <w:rsid w:val="6D132371"/>
    <w:rsid w:val="6D1338DD"/>
    <w:rsid w:val="6D153789"/>
    <w:rsid w:val="6D3B4D97"/>
    <w:rsid w:val="6D487B73"/>
    <w:rsid w:val="6D4A2408"/>
    <w:rsid w:val="6D4B1E5A"/>
    <w:rsid w:val="6D5E70E9"/>
    <w:rsid w:val="6D6729D8"/>
    <w:rsid w:val="6D6E09F2"/>
    <w:rsid w:val="6D852386"/>
    <w:rsid w:val="6DBD67AE"/>
    <w:rsid w:val="6DCF3167"/>
    <w:rsid w:val="6DD54C21"/>
    <w:rsid w:val="6DF453C2"/>
    <w:rsid w:val="6DFC1EB9"/>
    <w:rsid w:val="6E25722B"/>
    <w:rsid w:val="6E3363CE"/>
    <w:rsid w:val="6E3C316F"/>
    <w:rsid w:val="6E453429"/>
    <w:rsid w:val="6E456275"/>
    <w:rsid w:val="6E4E36BD"/>
    <w:rsid w:val="6E6127F4"/>
    <w:rsid w:val="6E631ECC"/>
    <w:rsid w:val="6E860D5E"/>
    <w:rsid w:val="6E880670"/>
    <w:rsid w:val="6E9028F6"/>
    <w:rsid w:val="6EB7522E"/>
    <w:rsid w:val="6EC002E5"/>
    <w:rsid w:val="6EC64ECD"/>
    <w:rsid w:val="6EC71F62"/>
    <w:rsid w:val="6ECD2CED"/>
    <w:rsid w:val="6EE1422E"/>
    <w:rsid w:val="6EE449F0"/>
    <w:rsid w:val="6EF14DB2"/>
    <w:rsid w:val="6EFA06B8"/>
    <w:rsid w:val="6F046E40"/>
    <w:rsid w:val="6F1743AC"/>
    <w:rsid w:val="6F3E2352"/>
    <w:rsid w:val="6F4656AB"/>
    <w:rsid w:val="6F5C1867"/>
    <w:rsid w:val="6F5C3F48"/>
    <w:rsid w:val="6F61462B"/>
    <w:rsid w:val="6F6D6714"/>
    <w:rsid w:val="6F8561D3"/>
    <w:rsid w:val="6F926B42"/>
    <w:rsid w:val="6F9C2017"/>
    <w:rsid w:val="6FB37BE5"/>
    <w:rsid w:val="6FC2450B"/>
    <w:rsid w:val="6FC7059A"/>
    <w:rsid w:val="6FCA64CD"/>
    <w:rsid w:val="6FE112C4"/>
    <w:rsid w:val="6FF069FB"/>
    <w:rsid w:val="6FF36A80"/>
    <w:rsid w:val="6FFB0619"/>
    <w:rsid w:val="6FFD7D02"/>
    <w:rsid w:val="70020E6A"/>
    <w:rsid w:val="701A60AC"/>
    <w:rsid w:val="702149D3"/>
    <w:rsid w:val="7021684B"/>
    <w:rsid w:val="70217D0F"/>
    <w:rsid w:val="7045295A"/>
    <w:rsid w:val="7047527A"/>
    <w:rsid w:val="704E0CBB"/>
    <w:rsid w:val="7056241A"/>
    <w:rsid w:val="707B2CB1"/>
    <w:rsid w:val="70924B19"/>
    <w:rsid w:val="70952588"/>
    <w:rsid w:val="70A34833"/>
    <w:rsid w:val="70B75478"/>
    <w:rsid w:val="70BA7DE6"/>
    <w:rsid w:val="70BF74C3"/>
    <w:rsid w:val="70D56048"/>
    <w:rsid w:val="70DA3248"/>
    <w:rsid w:val="70FD1A16"/>
    <w:rsid w:val="71027F8C"/>
    <w:rsid w:val="712A4901"/>
    <w:rsid w:val="71391F94"/>
    <w:rsid w:val="7148395C"/>
    <w:rsid w:val="715D7335"/>
    <w:rsid w:val="717159EA"/>
    <w:rsid w:val="71777F8A"/>
    <w:rsid w:val="719340CC"/>
    <w:rsid w:val="71946BA2"/>
    <w:rsid w:val="71A412EF"/>
    <w:rsid w:val="71B106B0"/>
    <w:rsid w:val="71B61A42"/>
    <w:rsid w:val="71BB267E"/>
    <w:rsid w:val="71BE59CD"/>
    <w:rsid w:val="71C32243"/>
    <w:rsid w:val="71D94178"/>
    <w:rsid w:val="71E258E0"/>
    <w:rsid w:val="71E450CA"/>
    <w:rsid w:val="71EA7F5E"/>
    <w:rsid w:val="71EE0EE5"/>
    <w:rsid w:val="71F773F9"/>
    <w:rsid w:val="71FB452B"/>
    <w:rsid w:val="72025ED5"/>
    <w:rsid w:val="720A7322"/>
    <w:rsid w:val="72137E38"/>
    <w:rsid w:val="721E571E"/>
    <w:rsid w:val="721F7D69"/>
    <w:rsid w:val="7225336C"/>
    <w:rsid w:val="722E3E35"/>
    <w:rsid w:val="724A7260"/>
    <w:rsid w:val="724B68D9"/>
    <w:rsid w:val="72541E8D"/>
    <w:rsid w:val="725E62FA"/>
    <w:rsid w:val="72860473"/>
    <w:rsid w:val="7299364D"/>
    <w:rsid w:val="72C16C93"/>
    <w:rsid w:val="72D66A82"/>
    <w:rsid w:val="72D67597"/>
    <w:rsid w:val="72E43D31"/>
    <w:rsid w:val="72FF6E9B"/>
    <w:rsid w:val="73027148"/>
    <w:rsid w:val="7305147C"/>
    <w:rsid w:val="731A30F8"/>
    <w:rsid w:val="733A7EE8"/>
    <w:rsid w:val="734D11ED"/>
    <w:rsid w:val="735A55D3"/>
    <w:rsid w:val="73621B80"/>
    <w:rsid w:val="737361A2"/>
    <w:rsid w:val="7375174D"/>
    <w:rsid w:val="73795D83"/>
    <w:rsid w:val="737B6EF7"/>
    <w:rsid w:val="73850D73"/>
    <w:rsid w:val="738B56FD"/>
    <w:rsid w:val="738B5D82"/>
    <w:rsid w:val="73993FFB"/>
    <w:rsid w:val="739F2E93"/>
    <w:rsid w:val="73A60FE9"/>
    <w:rsid w:val="73B8143C"/>
    <w:rsid w:val="73C06788"/>
    <w:rsid w:val="73D813D5"/>
    <w:rsid w:val="73DB1F8F"/>
    <w:rsid w:val="73DE1B70"/>
    <w:rsid w:val="73E6120B"/>
    <w:rsid w:val="741378E4"/>
    <w:rsid w:val="74213FF1"/>
    <w:rsid w:val="743138C9"/>
    <w:rsid w:val="74497E8D"/>
    <w:rsid w:val="744F70D5"/>
    <w:rsid w:val="74542618"/>
    <w:rsid w:val="746B1062"/>
    <w:rsid w:val="74836A59"/>
    <w:rsid w:val="74890514"/>
    <w:rsid w:val="74957A1D"/>
    <w:rsid w:val="74976F8C"/>
    <w:rsid w:val="749C28D6"/>
    <w:rsid w:val="74AC2DBE"/>
    <w:rsid w:val="74B03CF2"/>
    <w:rsid w:val="74B4279D"/>
    <w:rsid w:val="74C959EF"/>
    <w:rsid w:val="74D13C69"/>
    <w:rsid w:val="74D226D8"/>
    <w:rsid w:val="74D951DD"/>
    <w:rsid w:val="74E36253"/>
    <w:rsid w:val="74F273DA"/>
    <w:rsid w:val="74F600B5"/>
    <w:rsid w:val="750C6A4F"/>
    <w:rsid w:val="751029E3"/>
    <w:rsid w:val="75102AF5"/>
    <w:rsid w:val="751C1B98"/>
    <w:rsid w:val="752E2E69"/>
    <w:rsid w:val="753F1C14"/>
    <w:rsid w:val="75404D65"/>
    <w:rsid w:val="75410DEE"/>
    <w:rsid w:val="754B45FC"/>
    <w:rsid w:val="754C4FE3"/>
    <w:rsid w:val="75780005"/>
    <w:rsid w:val="75846F2D"/>
    <w:rsid w:val="758E56B6"/>
    <w:rsid w:val="759D26FD"/>
    <w:rsid w:val="75BA7DC9"/>
    <w:rsid w:val="75C158E1"/>
    <w:rsid w:val="75D75BBF"/>
    <w:rsid w:val="75F25C45"/>
    <w:rsid w:val="75F8173D"/>
    <w:rsid w:val="75FE15A4"/>
    <w:rsid w:val="76087EFE"/>
    <w:rsid w:val="762F3987"/>
    <w:rsid w:val="763146BA"/>
    <w:rsid w:val="76373F9F"/>
    <w:rsid w:val="763C17CD"/>
    <w:rsid w:val="7651209F"/>
    <w:rsid w:val="765A396A"/>
    <w:rsid w:val="765B5EE0"/>
    <w:rsid w:val="76625186"/>
    <w:rsid w:val="76694515"/>
    <w:rsid w:val="7671183A"/>
    <w:rsid w:val="76795A9A"/>
    <w:rsid w:val="76850BE3"/>
    <w:rsid w:val="768E7AAD"/>
    <w:rsid w:val="769D37DC"/>
    <w:rsid w:val="76AD1FDF"/>
    <w:rsid w:val="76AF483A"/>
    <w:rsid w:val="76C37C6F"/>
    <w:rsid w:val="76C61386"/>
    <w:rsid w:val="76CF1D13"/>
    <w:rsid w:val="76D56664"/>
    <w:rsid w:val="76E81AE6"/>
    <w:rsid w:val="76FD0D45"/>
    <w:rsid w:val="77000835"/>
    <w:rsid w:val="770802F0"/>
    <w:rsid w:val="771025D4"/>
    <w:rsid w:val="77115FC5"/>
    <w:rsid w:val="77196438"/>
    <w:rsid w:val="77326AF1"/>
    <w:rsid w:val="77342D6F"/>
    <w:rsid w:val="77383B2B"/>
    <w:rsid w:val="773B467C"/>
    <w:rsid w:val="775B5775"/>
    <w:rsid w:val="775E0D1F"/>
    <w:rsid w:val="776655B0"/>
    <w:rsid w:val="77685B26"/>
    <w:rsid w:val="777B5097"/>
    <w:rsid w:val="777E55F4"/>
    <w:rsid w:val="777F79AC"/>
    <w:rsid w:val="77820DEB"/>
    <w:rsid w:val="7792671F"/>
    <w:rsid w:val="7797445D"/>
    <w:rsid w:val="77986D62"/>
    <w:rsid w:val="77A015C8"/>
    <w:rsid w:val="77A92E90"/>
    <w:rsid w:val="77B650A0"/>
    <w:rsid w:val="77CE0481"/>
    <w:rsid w:val="77E43CB3"/>
    <w:rsid w:val="77EC7456"/>
    <w:rsid w:val="77EE7D89"/>
    <w:rsid w:val="77EF0483"/>
    <w:rsid w:val="78131205"/>
    <w:rsid w:val="781911C5"/>
    <w:rsid w:val="781A279F"/>
    <w:rsid w:val="782500E0"/>
    <w:rsid w:val="782F5811"/>
    <w:rsid w:val="78384A59"/>
    <w:rsid w:val="783B343E"/>
    <w:rsid w:val="78491B75"/>
    <w:rsid w:val="784A2663"/>
    <w:rsid w:val="784A43B3"/>
    <w:rsid w:val="78511348"/>
    <w:rsid w:val="785250C1"/>
    <w:rsid w:val="78564BB1"/>
    <w:rsid w:val="78581051"/>
    <w:rsid w:val="786228CD"/>
    <w:rsid w:val="786F0FB8"/>
    <w:rsid w:val="78714DF4"/>
    <w:rsid w:val="78721CEF"/>
    <w:rsid w:val="787234C6"/>
    <w:rsid w:val="78756296"/>
    <w:rsid w:val="788334CC"/>
    <w:rsid w:val="78B20233"/>
    <w:rsid w:val="78D12FAA"/>
    <w:rsid w:val="78D855C6"/>
    <w:rsid w:val="78FC0536"/>
    <w:rsid w:val="78FE7954"/>
    <w:rsid w:val="79315979"/>
    <w:rsid w:val="79424F4F"/>
    <w:rsid w:val="795831E5"/>
    <w:rsid w:val="796E7E54"/>
    <w:rsid w:val="79756315"/>
    <w:rsid w:val="79765CDA"/>
    <w:rsid w:val="798B6ADC"/>
    <w:rsid w:val="79A47621"/>
    <w:rsid w:val="79AA18D2"/>
    <w:rsid w:val="79AB6836"/>
    <w:rsid w:val="79C56A19"/>
    <w:rsid w:val="79D957CA"/>
    <w:rsid w:val="79DA621C"/>
    <w:rsid w:val="79ED729C"/>
    <w:rsid w:val="7A0A78E3"/>
    <w:rsid w:val="7A2465E9"/>
    <w:rsid w:val="7A364577"/>
    <w:rsid w:val="7A54735F"/>
    <w:rsid w:val="7A581B3E"/>
    <w:rsid w:val="7A5A319C"/>
    <w:rsid w:val="7A5B64AE"/>
    <w:rsid w:val="7A5C5D83"/>
    <w:rsid w:val="7A681FA7"/>
    <w:rsid w:val="7A6963D8"/>
    <w:rsid w:val="7A8D6E37"/>
    <w:rsid w:val="7AA21823"/>
    <w:rsid w:val="7AA7070E"/>
    <w:rsid w:val="7AA900DE"/>
    <w:rsid w:val="7AA936C9"/>
    <w:rsid w:val="7AB12D4C"/>
    <w:rsid w:val="7AD37F76"/>
    <w:rsid w:val="7AF32BF3"/>
    <w:rsid w:val="7AF771AA"/>
    <w:rsid w:val="7B063D79"/>
    <w:rsid w:val="7B095F0A"/>
    <w:rsid w:val="7B116B6D"/>
    <w:rsid w:val="7B190BA4"/>
    <w:rsid w:val="7B334D35"/>
    <w:rsid w:val="7B36137C"/>
    <w:rsid w:val="7B3A2568"/>
    <w:rsid w:val="7B51165F"/>
    <w:rsid w:val="7B6F5B5B"/>
    <w:rsid w:val="7B7415FA"/>
    <w:rsid w:val="7B765886"/>
    <w:rsid w:val="7B7C4D25"/>
    <w:rsid w:val="7B893C25"/>
    <w:rsid w:val="7B8B5C40"/>
    <w:rsid w:val="7B90640C"/>
    <w:rsid w:val="7B922E29"/>
    <w:rsid w:val="7BAB0D70"/>
    <w:rsid w:val="7BBC11CF"/>
    <w:rsid w:val="7BBF79A8"/>
    <w:rsid w:val="7BC24F1F"/>
    <w:rsid w:val="7BE129E3"/>
    <w:rsid w:val="7BE23EB3"/>
    <w:rsid w:val="7BE91898"/>
    <w:rsid w:val="7BF72207"/>
    <w:rsid w:val="7C161B08"/>
    <w:rsid w:val="7C3A2FA7"/>
    <w:rsid w:val="7C541407"/>
    <w:rsid w:val="7C5840BF"/>
    <w:rsid w:val="7C6D071B"/>
    <w:rsid w:val="7C84107F"/>
    <w:rsid w:val="7C9909ED"/>
    <w:rsid w:val="7C9C2291"/>
    <w:rsid w:val="7CA46921"/>
    <w:rsid w:val="7CA56991"/>
    <w:rsid w:val="7CA71E0B"/>
    <w:rsid w:val="7CB85E09"/>
    <w:rsid w:val="7CFE3A42"/>
    <w:rsid w:val="7CFF1519"/>
    <w:rsid w:val="7D013878"/>
    <w:rsid w:val="7D0F508E"/>
    <w:rsid w:val="7D17450A"/>
    <w:rsid w:val="7D1943FF"/>
    <w:rsid w:val="7D2557AC"/>
    <w:rsid w:val="7D3F099E"/>
    <w:rsid w:val="7D4B01E2"/>
    <w:rsid w:val="7D533A52"/>
    <w:rsid w:val="7D5B43D0"/>
    <w:rsid w:val="7D6243C6"/>
    <w:rsid w:val="7D76523E"/>
    <w:rsid w:val="7D781E69"/>
    <w:rsid w:val="7D7B5075"/>
    <w:rsid w:val="7D832173"/>
    <w:rsid w:val="7D8A3C14"/>
    <w:rsid w:val="7D8C5B06"/>
    <w:rsid w:val="7D934401"/>
    <w:rsid w:val="7D953960"/>
    <w:rsid w:val="7D961406"/>
    <w:rsid w:val="7DA56991"/>
    <w:rsid w:val="7DA623C2"/>
    <w:rsid w:val="7DA737B9"/>
    <w:rsid w:val="7DB639FC"/>
    <w:rsid w:val="7DFF0E02"/>
    <w:rsid w:val="7E070C8C"/>
    <w:rsid w:val="7E0800A0"/>
    <w:rsid w:val="7E0C521E"/>
    <w:rsid w:val="7E0E7E19"/>
    <w:rsid w:val="7E1840CC"/>
    <w:rsid w:val="7E1964D0"/>
    <w:rsid w:val="7E303249"/>
    <w:rsid w:val="7E525E1A"/>
    <w:rsid w:val="7E555123"/>
    <w:rsid w:val="7E557656"/>
    <w:rsid w:val="7E7538B7"/>
    <w:rsid w:val="7E841CD2"/>
    <w:rsid w:val="7E844BCE"/>
    <w:rsid w:val="7E8D660B"/>
    <w:rsid w:val="7E9433D2"/>
    <w:rsid w:val="7E992085"/>
    <w:rsid w:val="7EB47F46"/>
    <w:rsid w:val="7EB94600"/>
    <w:rsid w:val="7ECF7C45"/>
    <w:rsid w:val="7ED82860"/>
    <w:rsid w:val="7EF45DB1"/>
    <w:rsid w:val="7EFD2358"/>
    <w:rsid w:val="7EFF5324"/>
    <w:rsid w:val="7F03165A"/>
    <w:rsid w:val="7F077A20"/>
    <w:rsid w:val="7F077BC2"/>
    <w:rsid w:val="7F09267A"/>
    <w:rsid w:val="7F2B23E6"/>
    <w:rsid w:val="7F2B4123"/>
    <w:rsid w:val="7F3426C9"/>
    <w:rsid w:val="7F3E0944"/>
    <w:rsid w:val="7F3E5DC7"/>
    <w:rsid w:val="7F5C2ED4"/>
    <w:rsid w:val="7F5E061E"/>
    <w:rsid w:val="7F643B5C"/>
    <w:rsid w:val="7F8A3D01"/>
    <w:rsid w:val="7F8B6823"/>
    <w:rsid w:val="7F9B25D3"/>
    <w:rsid w:val="7F9C4EBD"/>
    <w:rsid w:val="7FAD310E"/>
    <w:rsid w:val="7FCD6742"/>
    <w:rsid w:val="7FE44850"/>
    <w:rsid w:val="7FE546A7"/>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120"/>
    <w:qFormat/>
    <w:uiPriority w:val="0"/>
    <w:pPr>
      <w:keepNext/>
      <w:keepLines/>
      <w:spacing w:line="440" w:lineRule="exact"/>
      <w:jc w:val="center"/>
      <w:outlineLvl w:val="0"/>
    </w:pPr>
    <w:rPr>
      <w:b/>
      <w:bCs/>
      <w:kern w:val="44"/>
      <w:sz w:val="44"/>
      <w:szCs w:val="44"/>
    </w:rPr>
  </w:style>
  <w:style w:type="paragraph" w:styleId="7">
    <w:name w:val="heading 2"/>
    <w:basedOn w:val="1"/>
    <w:next w:val="1"/>
    <w:link w:val="197"/>
    <w:qFormat/>
    <w:uiPriority w:val="0"/>
    <w:pPr>
      <w:keepNext/>
      <w:keepLines/>
      <w:spacing w:line="440" w:lineRule="exact"/>
      <w:jc w:val="left"/>
      <w:outlineLvl w:val="1"/>
    </w:pPr>
    <w:rPr>
      <w:rFonts w:ascii="Arial" w:hAnsi="Arial" w:eastAsia="黑体"/>
      <w:b/>
      <w:bCs/>
      <w:szCs w:val="32"/>
    </w:rPr>
  </w:style>
  <w:style w:type="paragraph" w:styleId="8">
    <w:name w:val="heading 3"/>
    <w:basedOn w:val="1"/>
    <w:next w:val="1"/>
    <w:link w:val="153"/>
    <w:qFormat/>
    <w:uiPriority w:val="0"/>
    <w:pPr>
      <w:keepNext/>
      <w:keepLines/>
      <w:spacing w:line="415" w:lineRule="auto"/>
      <w:outlineLvl w:val="2"/>
    </w:pPr>
    <w:rPr>
      <w:b/>
      <w:bCs/>
      <w:kern w:val="0"/>
      <w:sz w:val="32"/>
      <w:szCs w:val="32"/>
    </w:rPr>
  </w:style>
  <w:style w:type="paragraph" w:styleId="9">
    <w:name w:val="heading 4"/>
    <w:basedOn w:val="1"/>
    <w:next w:val="1"/>
    <w:qFormat/>
    <w:uiPriority w:val="0"/>
    <w:pPr>
      <w:keepNext/>
      <w:keepLines/>
      <w:spacing w:line="374" w:lineRule="auto"/>
      <w:outlineLvl w:val="3"/>
    </w:pPr>
    <w:rPr>
      <w:rFonts w:ascii="Arial" w:hAnsi="Arial" w:eastAsia="黑体"/>
      <w:b/>
      <w:bCs/>
      <w:sz w:val="28"/>
      <w:szCs w:val="28"/>
    </w:rPr>
  </w:style>
  <w:style w:type="paragraph" w:styleId="10">
    <w:name w:val="heading 5"/>
    <w:basedOn w:val="1"/>
    <w:next w:val="1"/>
    <w:link w:val="129"/>
    <w:qFormat/>
    <w:uiPriority w:val="0"/>
    <w:pPr>
      <w:keepNext/>
      <w:keepLines/>
      <w:spacing w:line="376" w:lineRule="auto"/>
      <w:outlineLvl w:val="4"/>
    </w:pPr>
    <w:rPr>
      <w:b/>
      <w:bCs/>
      <w:sz w:val="28"/>
      <w:szCs w:val="28"/>
    </w:rPr>
  </w:style>
  <w:style w:type="paragraph" w:styleId="11">
    <w:name w:val="heading 6"/>
    <w:basedOn w:val="1"/>
    <w:next w:val="1"/>
    <w:qFormat/>
    <w:uiPriority w:val="0"/>
    <w:pPr>
      <w:keepNext/>
      <w:keepLines/>
      <w:widowControl/>
      <w:tabs>
        <w:tab w:val="left" w:pos="1440"/>
      </w:tabs>
      <w:spacing w:line="319" w:lineRule="auto"/>
      <w:ind w:left="1152" w:hanging="1152"/>
      <w:jc w:val="left"/>
      <w:outlineLvl w:val="5"/>
    </w:pPr>
    <w:rPr>
      <w:rFonts w:ascii="Arial" w:hAnsi="Arial" w:eastAsia="黑体"/>
      <w:b/>
      <w:bCs/>
      <w:kern w:val="0"/>
      <w:sz w:val="24"/>
    </w:rPr>
  </w:style>
  <w:style w:type="paragraph" w:styleId="12">
    <w:name w:val="heading 7"/>
    <w:basedOn w:val="1"/>
    <w:next w:val="1"/>
    <w:qFormat/>
    <w:uiPriority w:val="0"/>
    <w:pPr>
      <w:keepNext/>
      <w:keepLines/>
      <w:widowControl/>
      <w:tabs>
        <w:tab w:val="left" w:pos="2520"/>
      </w:tabs>
      <w:spacing w:line="319" w:lineRule="auto"/>
      <w:ind w:left="1296" w:hanging="1296"/>
      <w:jc w:val="left"/>
      <w:outlineLvl w:val="6"/>
    </w:pPr>
    <w:rPr>
      <w:b/>
      <w:bCs/>
      <w:kern w:val="0"/>
      <w:sz w:val="24"/>
    </w:rPr>
  </w:style>
  <w:style w:type="paragraph" w:styleId="13">
    <w:name w:val="heading 8"/>
    <w:basedOn w:val="1"/>
    <w:next w:val="1"/>
    <w:qFormat/>
    <w:uiPriority w:val="0"/>
    <w:pPr>
      <w:keepNext/>
      <w:keepLines/>
      <w:widowControl/>
      <w:tabs>
        <w:tab w:val="left" w:pos="1440"/>
      </w:tabs>
      <w:spacing w:line="319" w:lineRule="auto"/>
      <w:ind w:left="1440" w:hanging="1440"/>
      <w:jc w:val="left"/>
      <w:outlineLvl w:val="7"/>
    </w:pPr>
    <w:rPr>
      <w:rFonts w:ascii="Arial" w:hAnsi="Arial" w:eastAsia="黑体"/>
      <w:kern w:val="0"/>
      <w:sz w:val="24"/>
    </w:rPr>
  </w:style>
  <w:style w:type="paragraph" w:styleId="14">
    <w:name w:val="heading 9"/>
    <w:basedOn w:val="1"/>
    <w:next w:val="1"/>
    <w:qFormat/>
    <w:uiPriority w:val="0"/>
    <w:pPr>
      <w:keepNext/>
      <w:keepLines/>
      <w:widowControl/>
      <w:tabs>
        <w:tab w:val="left" w:pos="1584"/>
      </w:tabs>
      <w:spacing w:line="319" w:lineRule="auto"/>
      <w:ind w:left="1584" w:hanging="1584"/>
      <w:jc w:val="left"/>
      <w:outlineLvl w:val="8"/>
    </w:pPr>
    <w:rPr>
      <w:rFonts w:ascii="Arial" w:hAnsi="Arial" w:eastAsia="黑体"/>
      <w:kern w:val="0"/>
      <w:szCs w:val="21"/>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200" w:firstLineChars="200"/>
    </w:pPr>
    <w:rPr>
      <w:rFonts w:ascii="宋体"/>
      <w:szCs w:val="20"/>
    </w:rPr>
  </w:style>
  <w:style w:type="paragraph" w:styleId="3">
    <w:name w:val="Body Text Indent"/>
    <w:basedOn w:val="1"/>
    <w:next w:val="4"/>
    <w:qFormat/>
    <w:uiPriority w:val="0"/>
    <w:pPr>
      <w:ind w:left="42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qFormat/>
    <w:uiPriority w:val="39"/>
    <w:pPr>
      <w:ind w:left="1260"/>
      <w:jc w:val="left"/>
    </w:pPr>
    <w:rPr>
      <w:sz w:val="18"/>
      <w:szCs w:val="18"/>
    </w:rPr>
  </w:style>
  <w:style w:type="paragraph" w:styleId="15">
    <w:name w:val="table of authorities"/>
    <w:basedOn w:val="1"/>
    <w:next w:val="1"/>
    <w:unhideWhenUsed/>
    <w:qFormat/>
    <w:uiPriority w:val="0"/>
    <w:pPr>
      <w:ind w:left="420" w:leftChars="200"/>
    </w:pPr>
  </w:style>
  <w:style w:type="paragraph" w:styleId="16">
    <w:name w:val="Normal Indent"/>
    <w:basedOn w:val="1"/>
    <w:next w:val="2"/>
    <w:qFormat/>
    <w:uiPriority w:val="0"/>
    <w:pPr>
      <w:ind w:firstLine="420" w:firstLineChars="200"/>
    </w:pPr>
  </w:style>
  <w:style w:type="paragraph" w:styleId="17">
    <w:name w:val="Document Map"/>
    <w:basedOn w:val="1"/>
    <w:qFormat/>
    <w:uiPriority w:val="0"/>
    <w:pPr>
      <w:shd w:val="clear" w:color="auto" w:fill="000080"/>
    </w:pPr>
  </w:style>
  <w:style w:type="paragraph" w:styleId="18">
    <w:name w:val="annotation text"/>
    <w:basedOn w:val="1"/>
    <w:link w:val="112"/>
    <w:qFormat/>
    <w:uiPriority w:val="0"/>
    <w:pPr>
      <w:jc w:val="left"/>
    </w:pPr>
  </w:style>
  <w:style w:type="paragraph" w:styleId="19">
    <w:name w:val="Body Text 3"/>
    <w:basedOn w:val="1"/>
    <w:qFormat/>
    <w:uiPriority w:val="0"/>
    <w:rPr>
      <w:rFonts w:ascii="宋体"/>
      <w:sz w:val="24"/>
      <w:szCs w:val="20"/>
    </w:rPr>
  </w:style>
  <w:style w:type="paragraph" w:styleId="20">
    <w:name w:val="Body Text"/>
    <w:basedOn w:val="1"/>
    <w:link w:val="142"/>
    <w:qFormat/>
    <w:uiPriority w:val="0"/>
  </w:style>
  <w:style w:type="paragraph" w:styleId="21">
    <w:name w:val="Block Text"/>
    <w:basedOn w:val="1"/>
    <w:qFormat/>
    <w:uiPriority w:val="0"/>
    <w:pPr>
      <w:spacing w:line="400" w:lineRule="exact"/>
      <w:ind w:left="-359" w:leftChars="-171" w:right="31" w:rightChars="15" w:firstLine="980" w:firstLineChars="350"/>
    </w:pPr>
    <w:rPr>
      <w:rFonts w:ascii="宋体" w:hAnsi="宋体"/>
      <w:sz w:val="28"/>
      <w:szCs w:val="32"/>
    </w:rPr>
  </w:style>
  <w:style w:type="paragraph" w:styleId="22">
    <w:name w:val="toc 5"/>
    <w:basedOn w:val="1"/>
    <w:next w:val="1"/>
    <w:qFormat/>
    <w:uiPriority w:val="39"/>
    <w:pPr>
      <w:ind w:left="840"/>
      <w:jc w:val="left"/>
    </w:pPr>
    <w:rPr>
      <w:sz w:val="18"/>
      <w:szCs w:val="18"/>
    </w:rPr>
  </w:style>
  <w:style w:type="paragraph" w:styleId="23">
    <w:name w:val="toc 3"/>
    <w:basedOn w:val="1"/>
    <w:next w:val="1"/>
    <w:qFormat/>
    <w:uiPriority w:val="39"/>
    <w:pPr>
      <w:ind w:left="420"/>
      <w:jc w:val="left"/>
    </w:pPr>
    <w:rPr>
      <w:i/>
      <w:iCs/>
      <w:sz w:val="20"/>
      <w:szCs w:val="20"/>
    </w:rPr>
  </w:style>
  <w:style w:type="paragraph" w:styleId="24">
    <w:name w:val="Plain Text"/>
    <w:basedOn w:val="1"/>
    <w:next w:val="1"/>
    <w:link w:val="136"/>
    <w:qFormat/>
    <w:uiPriority w:val="0"/>
    <w:rPr>
      <w:rFonts w:ascii="Courier New" w:hAnsi="Courier New"/>
      <w:szCs w:val="20"/>
    </w:rPr>
  </w:style>
  <w:style w:type="paragraph" w:styleId="25">
    <w:name w:val="toc 8"/>
    <w:basedOn w:val="1"/>
    <w:next w:val="1"/>
    <w:qFormat/>
    <w:uiPriority w:val="39"/>
    <w:pPr>
      <w:ind w:left="1470"/>
      <w:jc w:val="left"/>
    </w:pPr>
    <w:rPr>
      <w:sz w:val="18"/>
      <w:szCs w:val="18"/>
    </w:rPr>
  </w:style>
  <w:style w:type="paragraph" w:styleId="26">
    <w:name w:val="Date"/>
    <w:basedOn w:val="1"/>
    <w:next w:val="1"/>
    <w:qFormat/>
    <w:uiPriority w:val="0"/>
    <w:rPr>
      <w:sz w:val="24"/>
      <w:szCs w:val="20"/>
    </w:rPr>
  </w:style>
  <w:style w:type="paragraph" w:styleId="27">
    <w:name w:val="Body Text Indent 2"/>
    <w:basedOn w:val="1"/>
    <w:qFormat/>
    <w:uiPriority w:val="0"/>
    <w:pPr>
      <w:spacing w:line="360" w:lineRule="exact"/>
      <w:ind w:firstLine="600" w:firstLineChars="250"/>
      <w:jc w:val="left"/>
    </w:pPr>
    <w:rPr>
      <w:sz w:val="24"/>
    </w:rPr>
  </w:style>
  <w:style w:type="paragraph" w:styleId="28">
    <w:name w:val="Balloon Text"/>
    <w:basedOn w:val="1"/>
    <w:qFormat/>
    <w:uiPriority w:val="0"/>
    <w:rPr>
      <w:sz w:val="18"/>
      <w:szCs w:val="18"/>
    </w:rPr>
  </w:style>
  <w:style w:type="paragraph" w:styleId="29">
    <w:name w:val="footer"/>
    <w:basedOn w:val="1"/>
    <w:next w:val="1"/>
    <w:qFormat/>
    <w:uiPriority w:val="0"/>
    <w:pPr>
      <w:tabs>
        <w:tab w:val="center" w:pos="4153"/>
        <w:tab w:val="right" w:pos="8306"/>
      </w:tabs>
      <w:snapToGrid w:val="0"/>
      <w:jc w:val="left"/>
    </w:pPr>
    <w:rPr>
      <w:sz w:val="18"/>
      <w:szCs w:val="18"/>
    </w:rPr>
  </w:style>
  <w:style w:type="paragraph" w:styleId="3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jc w:val="left"/>
    </w:pPr>
    <w:rPr>
      <w:b/>
      <w:bCs/>
      <w:caps/>
      <w:sz w:val="20"/>
      <w:szCs w:val="20"/>
    </w:rPr>
  </w:style>
  <w:style w:type="paragraph" w:styleId="32">
    <w:name w:val="toc 4"/>
    <w:basedOn w:val="1"/>
    <w:next w:val="1"/>
    <w:qFormat/>
    <w:uiPriority w:val="39"/>
    <w:pPr>
      <w:ind w:left="630"/>
      <w:jc w:val="left"/>
    </w:pPr>
    <w:rPr>
      <w:sz w:val="18"/>
      <w:szCs w:val="18"/>
    </w:rPr>
  </w:style>
  <w:style w:type="paragraph" w:styleId="33">
    <w:name w:val="List"/>
    <w:basedOn w:val="1"/>
    <w:qFormat/>
    <w:uiPriority w:val="0"/>
    <w:pPr>
      <w:ind w:left="420" w:hanging="420"/>
    </w:pPr>
  </w:style>
  <w:style w:type="paragraph" w:styleId="34">
    <w:name w:val="footnote text"/>
    <w:basedOn w:val="1"/>
    <w:qFormat/>
    <w:uiPriority w:val="0"/>
    <w:rPr>
      <w:sz w:val="20"/>
      <w:szCs w:val="20"/>
    </w:rPr>
  </w:style>
  <w:style w:type="paragraph" w:styleId="35">
    <w:name w:val="toc 6"/>
    <w:basedOn w:val="1"/>
    <w:next w:val="1"/>
    <w:qFormat/>
    <w:uiPriority w:val="39"/>
    <w:pPr>
      <w:ind w:left="1050"/>
      <w:jc w:val="left"/>
    </w:pPr>
    <w:rPr>
      <w:sz w:val="18"/>
      <w:szCs w:val="18"/>
    </w:rPr>
  </w:style>
  <w:style w:type="paragraph" w:styleId="36">
    <w:name w:val="Body Text Indent 3"/>
    <w:basedOn w:val="1"/>
    <w:qFormat/>
    <w:uiPriority w:val="0"/>
    <w:pPr>
      <w:ind w:left="420" w:leftChars="200"/>
    </w:pPr>
    <w:rPr>
      <w:sz w:val="16"/>
      <w:szCs w:val="16"/>
    </w:rPr>
  </w:style>
  <w:style w:type="paragraph" w:styleId="37">
    <w:name w:val="table of figures"/>
    <w:basedOn w:val="1"/>
    <w:next w:val="1"/>
    <w:qFormat/>
    <w:uiPriority w:val="0"/>
    <w:pPr>
      <w:ind w:left="200" w:leftChars="200" w:hanging="200" w:hangingChars="200"/>
    </w:pPr>
  </w:style>
  <w:style w:type="paragraph" w:styleId="38">
    <w:name w:val="toc 2"/>
    <w:basedOn w:val="1"/>
    <w:next w:val="1"/>
    <w:qFormat/>
    <w:uiPriority w:val="39"/>
    <w:pPr>
      <w:ind w:left="210"/>
      <w:jc w:val="left"/>
    </w:pPr>
    <w:rPr>
      <w:smallCaps/>
      <w:sz w:val="20"/>
      <w:szCs w:val="20"/>
    </w:rPr>
  </w:style>
  <w:style w:type="paragraph" w:styleId="39">
    <w:name w:val="toc 9"/>
    <w:basedOn w:val="1"/>
    <w:next w:val="1"/>
    <w:qFormat/>
    <w:uiPriority w:val="39"/>
    <w:pPr>
      <w:ind w:left="1680"/>
      <w:jc w:val="left"/>
    </w:pPr>
    <w:rPr>
      <w:sz w:val="18"/>
      <w:szCs w:val="18"/>
    </w:rPr>
  </w:style>
  <w:style w:type="paragraph" w:styleId="40">
    <w:name w:val="Body Text 2"/>
    <w:basedOn w:val="1"/>
    <w:qFormat/>
    <w:uiPriority w:val="0"/>
    <w:pPr>
      <w:spacing w:line="440" w:lineRule="exact"/>
    </w:pPr>
    <w:rPr>
      <w:sz w:val="28"/>
    </w:rPr>
  </w:style>
  <w:style w:type="paragraph" w:styleId="41">
    <w:name w:val="HTML Preformatted"/>
    <w:basedOn w:val="1"/>
    <w:link w:val="11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42">
    <w:name w:val="Normal (Web)"/>
    <w:basedOn w:val="1"/>
    <w:next w:val="43"/>
    <w:qFormat/>
    <w:uiPriority w:val="99"/>
    <w:pPr>
      <w:widowControl/>
      <w:spacing w:beforeAutospacing="1" w:afterAutospacing="1"/>
      <w:jc w:val="left"/>
    </w:pPr>
    <w:rPr>
      <w:rFonts w:ascii="宋体" w:hAnsi="宋体" w:cs="宋体"/>
      <w:kern w:val="0"/>
      <w:sz w:val="24"/>
    </w:rPr>
  </w:style>
  <w:style w:type="paragraph" w:customStyle="1" w:styleId="43">
    <w:name w:val="正文文字 8"/>
    <w:basedOn w:val="1"/>
    <w:next w:val="1"/>
    <w:qFormat/>
    <w:uiPriority w:val="0"/>
    <w:pPr>
      <w:ind w:left="240"/>
    </w:pPr>
    <w:rPr>
      <w:sz w:val="16"/>
    </w:rPr>
  </w:style>
  <w:style w:type="paragraph" w:styleId="44">
    <w:name w:val="Title"/>
    <w:basedOn w:val="1"/>
    <w:qFormat/>
    <w:uiPriority w:val="0"/>
    <w:pPr>
      <w:adjustRightInd w:val="0"/>
      <w:spacing w:line="420" w:lineRule="atLeast"/>
      <w:jc w:val="center"/>
      <w:textAlignment w:val="baseline"/>
      <w:outlineLvl w:val="0"/>
    </w:pPr>
    <w:rPr>
      <w:rFonts w:ascii="Arial" w:hAnsi="Arial"/>
      <w:b/>
      <w:kern w:val="0"/>
      <w:sz w:val="32"/>
      <w:szCs w:val="20"/>
    </w:rPr>
  </w:style>
  <w:style w:type="paragraph" w:styleId="45">
    <w:name w:val="annotation subject"/>
    <w:basedOn w:val="18"/>
    <w:next w:val="18"/>
    <w:qFormat/>
    <w:uiPriority w:val="0"/>
    <w:rPr>
      <w:b/>
      <w:bCs/>
    </w:rPr>
  </w:style>
  <w:style w:type="paragraph" w:styleId="46">
    <w:name w:val="Body Text First Indent"/>
    <w:basedOn w:val="20"/>
    <w:qFormat/>
    <w:uiPriority w:val="0"/>
    <w:pPr>
      <w:ind w:firstLine="420" w:firstLineChars="100"/>
    </w:pPr>
  </w:style>
  <w:style w:type="table" w:styleId="48">
    <w:name w:val="Table Grid"/>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basedOn w:val="49"/>
    <w:qFormat/>
    <w:uiPriority w:val="0"/>
    <w:rPr>
      <w:b/>
      <w:bCs/>
    </w:rPr>
  </w:style>
  <w:style w:type="character" w:styleId="51">
    <w:name w:val="page number"/>
    <w:basedOn w:val="49"/>
    <w:qFormat/>
    <w:uiPriority w:val="0"/>
  </w:style>
  <w:style w:type="character" w:styleId="52">
    <w:name w:val="FollowedHyperlink"/>
    <w:qFormat/>
    <w:uiPriority w:val="0"/>
    <w:rPr>
      <w:color w:val="333333"/>
      <w:u w:val="none"/>
    </w:rPr>
  </w:style>
  <w:style w:type="character" w:styleId="53">
    <w:name w:val="Emphasis"/>
    <w:qFormat/>
    <w:uiPriority w:val="0"/>
    <w:rPr>
      <w:color w:val="CC0033"/>
    </w:rPr>
  </w:style>
  <w:style w:type="character" w:styleId="54">
    <w:name w:val="HTML Definition"/>
    <w:qFormat/>
    <w:uiPriority w:val="0"/>
  </w:style>
  <w:style w:type="character" w:styleId="55">
    <w:name w:val="HTML Typewriter"/>
    <w:qFormat/>
    <w:uiPriority w:val="0"/>
    <w:rPr>
      <w:rFonts w:hint="default" w:ascii="monospace" w:hAnsi="monospace" w:eastAsia="monospace" w:cs="monospace"/>
      <w:sz w:val="20"/>
    </w:rPr>
  </w:style>
  <w:style w:type="character" w:styleId="56">
    <w:name w:val="HTML Acronym"/>
    <w:basedOn w:val="49"/>
    <w:qFormat/>
    <w:uiPriority w:val="0"/>
  </w:style>
  <w:style w:type="character" w:styleId="57">
    <w:name w:val="HTML Variable"/>
    <w:qFormat/>
    <w:uiPriority w:val="0"/>
  </w:style>
  <w:style w:type="character" w:styleId="58">
    <w:name w:val="Hyperlink"/>
    <w:basedOn w:val="49"/>
    <w:qFormat/>
    <w:uiPriority w:val="99"/>
    <w:rPr>
      <w:color w:val="333333"/>
      <w:u w:val="none"/>
    </w:rPr>
  </w:style>
  <w:style w:type="character" w:styleId="59">
    <w:name w:val="HTML Code"/>
    <w:qFormat/>
    <w:uiPriority w:val="0"/>
    <w:rPr>
      <w:rFonts w:hint="default" w:ascii="monospace" w:hAnsi="monospace" w:eastAsia="monospace" w:cs="monospace"/>
      <w:sz w:val="20"/>
    </w:rPr>
  </w:style>
  <w:style w:type="character" w:styleId="60">
    <w:name w:val="annotation reference"/>
    <w:qFormat/>
    <w:uiPriority w:val="0"/>
    <w:rPr>
      <w:sz w:val="21"/>
      <w:szCs w:val="21"/>
    </w:rPr>
  </w:style>
  <w:style w:type="character" w:styleId="61">
    <w:name w:val="HTML Cite"/>
    <w:qFormat/>
    <w:uiPriority w:val="0"/>
  </w:style>
  <w:style w:type="character" w:styleId="62">
    <w:name w:val="footnote reference"/>
    <w:qFormat/>
    <w:uiPriority w:val="0"/>
    <w:rPr>
      <w:vertAlign w:val="superscript"/>
    </w:rPr>
  </w:style>
  <w:style w:type="character" w:styleId="63">
    <w:name w:val="HTML Keyboard"/>
    <w:qFormat/>
    <w:uiPriority w:val="0"/>
    <w:rPr>
      <w:rFonts w:ascii="monospace" w:hAnsi="monospace" w:eastAsia="monospace" w:cs="monospace"/>
      <w:sz w:val="20"/>
    </w:rPr>
  </w:style>
  <w:style w:type="character" w:styleId="64">
    <w:name w:val="HTML Sample"/>
    <w:qFormat/>
    <w:uiPriority w:val="0"/>
    <w:rPr>
      <w:rFonts w:hint="default" w:ascii="monospace" w:hAnsi="monospace" w:eastAsia="monospace" w:cs="monospace"/>
    </w:rPr>
  </w:style>
  <w:style w:type="paragraph" w:styleId="65">
    <w:name w:val="List Paragraph"/>
    <w:basedOn w:val="1"/>
    <w:qFormat/>
    <w:uiPriority w:val="34"/>
    <w:pPr>
      <w:ind w:firstLine="420" w:firstLineChars="200"/>
    </w:pPr>
  </w:style>
  <w:style w:type="paragraph" w:customStyle="1" w:styleId="66">
    <w:name w:val="_Style 62"/>
    <w:basedOn w:val="1"/>
    <w:next w:val="1"/>
    <w:qFormat/>
    <w:uiPriority w:val="0"/>
    <w:pPr>
      <w:pBdr>
        <w:top w:val="single" w:color="auto" w:sz="6" w:space="1"/>
      </w:pBdr>
      <w:jc w:val="center"/>
    </w:pPr>
    <w:rPr>
      <w:rFonts w:ascii="Arial"/>
      <w:vanish/>
      <w:sz w:val="16"/>
    </w:rPr>
  </w:style>
  <w:style w:type="paragraph" w:customStyle="1" w:styleId="67">
    <w:name w:val="Blockquote"/>
    <w:basedOn w:val="1"/>
    <w:qFormat/>
    <w:uiPriority w:val="0"/>
    <w:pPr>
      <w:autoSpaceDE w:val="0"/>
      <w:autoSpaceDN w:val="0"/>
      <w:adjustRightInd w:val="0"/>
      <w:ind w:left="360" w:right="360"/>
      <w:jc w:val="left"/>
    </w:pPr>
    <w:rPr>
      <w:kern w:val="0"/>
      <w:sz w:val="24"/>
      <w:szCs w:val="20"/>
    </w:rPr>
  </w:style>
  <w:style w:type="paragraph" w:customStyle="1" w:styleId="68">
    <w:name w:val="表格"/>
    <w:basedOn w:val="1"/>
    <w:qFormat/>
    <w:uiPriority w:val="0"/>
    <w:pPr>
      <w:jc w:val="center"/>
      <w:textAlignment w:val="center"/>
    </w:pPr>
    <w:rPr>
      <w:rFonts w:ascii="华文细黑" w:hAnsi="华文细黑"/>
      <w:kern w:val="0"/>
      <w:szCs w:val="20"/>
    </w:rPr>
  </w:style>
  <w:style w:type="paragraph" w:customStyle="1" w:styleId="69">
    <w:name w:val="表格文字"/>
    <w:basedOn w:val="1"/>
    <w:qFormat/>
    <w:uiPriority w:val="0"/>
    <w:pPr>
      <w:adjustRightInd w:val="0"/>
      <w:spacing w:line="420" w:lineRule="atLeast"/>
      <w:jc w:val="left"/>
      <w:textAlignment w:val="baseline"/>
    </w:pPr>
    <w:rPr>
      <w:kern w:val="0"/>
      <w:szCs w:val="20"/>
    </w:rPr>
  </w:style>
  <w:style w:type="paragraph" w:customStyle="1" w:styleId="70">
    <w:name w:val="Char"/>
    <w:basedOn w:val="1"/>
    <w:next w:val="1"/>
    <w:qFormat/>
    <w:uiPriority w:val="0"/>
    <w:pPr>
      <w:widowControl/>
      <w:spacing w:line="360" w:lineRule="auto"/>
      <w:jc w:val="left"/>
    </w:pPr>
    <w:rPr>
      <w:kern w:val="0"/>
      <w:szCs w:val="20"/>
      <w:lang w:eastAsia="en-US"/>
    </w:rPr>
  </w:style>
  <w:style w:type="paragraph" w:customStyle="1" w:styleId="71">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72">
    <w:name w:val="样式2"/>
    <w:basedOn w:val="8"/>
    <w:qFormat/>
    <w:uiPriority w:val="0"/>
  </w:style>
  <w:style w:type="paragraph" w:customStyle="1" w:styleId="73">
    <w:name w:val="Default Paragraph Char Char Char Char"/>
    <w:basedOn w:val="1"/>
    <w:next w:val="1"/>
    <w:qFormat/>
    <w:uiPriority w:val="0"/>
    <w:pPr>
      <w:spacing w:line="360" w:lineRule="auto"/>
    </w:pPr>
    <w:rPr>
      <w:szCs w:val="20"/>
    </w:rPr>
  </w:style>
  <w:style w:type="paragraph" w:customStyle="1" w:styleId="74">
    <w:name w:val="节标题"/>
    <w:basedOn w:val="1"/>
    <w:next w:val="1"/>
    <w:qFormat/>
    <w:uiPriority w:val="0"/>
    <w:pPr>
      <w:widowControl/>
      <w:spacing w:line="289" w:lineRule="atLeast"/>
      <w:jc w:val="center"/>
      <w:textAlignment w:val="baseline"/>
    </w:pPr>
    <w:rPr>
      <w:color w:val="000000"/>
      <w:kern w:val="0"/>
      <w:sz w:val="28"/>
      <w:szCs w:val="20"/>
      <w:u w:color="000000"/>
    </w:rPr>
  </w:style>
  <w:style w:type="paragraph" w:customStyle="1" w:styleId="75">
    <w:name w:val="默认段落字体 Para Char Char Char Char"/>
    <w:basedOn w:val="1"/>
    <w:qFormat/>
    <w:uiPriority w:val="0"/>
  </w:style>
  <w:style w:type="paragraph" w:customStyle="1" w:styleId="76">
    <w:name w:val="样式 标题 1 + 黑体 五号"/>
    <w:basedOn w:val="6"/>
    <w:qFormat/>
    <w:uiPriority w:val="0"/>
    <w:pPr>
      <w:jc w:val="left"/>
    </w:pPr>
    <w:rPr>
      <w:rFonts w:ascii="黑体" w:hAnsi="黑体" w:eastAsia="黑体"/>
      <w:sz w:val="21"/>
    </w:rPr>
  </w:style>
  <w:style w:type="paragraph" w:customStyle="1" w:styleId="77">
    <w:name w:val="样式4"/>
    <w:basedOn w:val="8"/>
    <w:qFormat/>
    <w:uiPriority w:val="0"/>
    <w:rPr>
      <w:rFonts w:eastAsia="Arial"/>
    </w:rPr>
  </w:style>
  <w:style w:type="paragraph" w:customStyle="1" w:styleId="78">
    <w:name w:val="正文1"/>
    <w:qFormat/>
    <w:uiPriority w:val="0"/>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79">
    <w:name w:val="列出段落1"/>
    <w:basedOn w:val="1"/>
    <w:qFormat/>
    <w:uiPriority w:val="0"/>
    <w:pPr>
      <w:ind w:firstLine="200" w:firstLineChars="200"/>
    </w:pPr>
  </w:style>
  <w:style w:type="paragraph" w:customStyle="1" w:styleId="80">
    <w:name w:val="p0 New"/>
    <w:basedOn w:val="1"/>
    <w:qFormat/>
    <w:uiPriority w:val="0"/>
    <w:pPr>
      <w:widowControl/>
      <w:jc w:val="left"/>
    </w:pPr>
    <w:rPr>
      <w:rFonts w:ascii="宋体" w:hAnsi="宋体" w:cs="宋体"/>
      <w:kern w:val="0"/>
      <w:sz w:val="18"/>
      <w:szCs w:val="18"/>
    </w:rPr>
  </w:style>
  <w:style w:type="paragraph" w:customStyle="1" w:styleId="81">
    <w:name w:val="样式 标题 1 + 黑体 三号 非加粗 居中 段前: 6 磅 段后: 6 磅 行距: 固定值 20 磅"/>
    <w:basedOn w:val="6"/>
    <w:qFormat/>
    <w:uiPriority w:val="0"/>
    <w:pPr>
      <w:spacing w:line="400" w:lineRule="exact"/>
    </w:pPr>
    <w:rPr>
      <w:rFonts w:ascii="黑体" w:hAnsi="黑体" w:eastAsia="黑体" w:cs="宋体"/>
      <w:b w:val="0"/>
      <w:bCs w:val="0"/>
      <w:sz w:val="32"/>
      <w:szCs w:val="20"/>
    </w:rPr>
  </w:style>
  <w:style w:type="paragraph" w:customStyle="1" w:styleId="82">
    <w:name w:val="_Style 78"/>
    <w:basedOn w:val="6"/>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83">
    <w:name w:val="Char1"/>
    <w:basedOn w:val="1"/>
    <w:qFormat/>
    <w:uiPriority w:val="0"/>
    <w:pPr>
      <w:tabs>
        <w:tab w:val="left" w:pos="360"/>
      </w:tabs>
    </w:pPr>
    <w:rPr>
      <w:sz w:val="24"/>
    </w:rPr>
  </w:style>
  <w:style w:type="paragraph" w:customStyle="1" w:styleId="84">
    <w:name w:val="样式1"/>
    <w:basedOn w:val="8"/>
    <w:qFormat/>
    <w:uiPriority w:val="0"/>
    <w:rPr>
      <w:rFonts w:eastAsia="Arial"/>
    </w:rPr>
  </w:style>
  <w:style w:type="paragraph" w:customStyle="1" w:styleId="85">
    <w:name w:val="Char Char Char Char Char Char Char Char Char Char Char Char Char"/>
    <w:basedOn w:val="1"/>
    <w:qFormat/>
    <w:uiPriority w:val="0"/>
  </w:style>
  <w:style w:type="paragraph" w:customStyle="1" w:styleId="86">
    <w:name w:val="p"/>
    <w:basedOn w:val="1"/>
    <w:qFormat/>
    <w:uiPriority w:val="0"/>
    <w:rPr>
      <w:rFonts w:ascii="宋体"/>
      <w:sz w:val="24"/>
    </w:rPr>
  </w:style>
  <w:style w:type="paragraph" w:customStyle="1" w:styleId="87">
    <w:name w:val="Char Char Char Char"/>
    <w:basedOn w:val="1"/>
    <w:qFormat/>
    <w:uiPriority w:val="0"/>
  </w:style>
  <w:style w:type="paragraph" w:customStyle="1" w:styleId="88">
    <w:name w:val="_Style 84"/>
    <w:basedOn w:val="1"/>
    <w:next w:val="1"/>
    <w:qFormat/>
    <w:uiPriority w:val="0"/>
    <w:pPr>
      <w:pBdr>
        <w:bottom w:val="single" w:color="auto" w:sz="6" w:space="1"/>
      </w:pBdr>
      <w:jc w:val="center"/>
    </w:pPr>
    <w:rPr>
      <w:rFonts w:ascii="Arial"/>
      <w:vanish/>
      <w:sz w:val="16"/>
    </w:rPr>
  </w:style>
  <w:style w:type="paragraph" w:customStyle="1" w:styleId="89">
    <w:name w:val="1"/>
    <w:basedOn w:val="1"/>
    <w:next w:val="1"/>
    <w:qFormat/>
    <w:uiPriority w:val="0"/>
  </w:style>
  <w:style w:type="paragraph" w:customStyle="1" w:styleId="90">
    <w:name w:val="p15"/>
    <w:qFormat/>
    <w:uiPriority w:val="0"/>
    <w:pPr>
      <w:jc w:val="both"/>
    </w:pPr>
    <w:rPr>
      <w:rFonts w:ascii="宋体" w:hAnsi="Times New Roman" w:eastAsia="宋体" w:cs="宋体"/>
      <w:sz w:val="21"/>
      <w:szCs w:val="21"/>
      <w:lang w:val="en-US" w:eastAsia="zh-CN" w:bidi="ar-SA"/>
    </w:rPr>
  </w:style>
  <w:style w:type="paragraph" w:customStyle="1" w:styleId="91">
    <w:name w:val="样式 标题 2 + Times New Roman 四号 非加粗 段前: 5 磅 段后: 0 磅 行距: 固定值 20..."/>
    <w:basedOn w:val="7"/>
    <w:qFormat/>
    <w:uiPriority w:val="0"/>
    <w:pPr>
      <w:spacing w:line="400" w:lineRule="exact"/>
    </w:pPr>
    <w:rPr>
      <w:rFonts w:ascii="Times New Roman" w:hAnsi="Times New Roman" w:cs="宋体"/>
      <w:b w:val="0"/>
      <w:bCs w:val="0"/>
      <w:sz w:val="28"/>
      <w:szCs w:val="20"/>
    </w:rPr>
  </w:style>
  <w:style w:type="paragraph" w:customStyle="1" w:styleId="92">
    <w:name w:val="Table Paragraph"/>
    <w:basedOn w:val="1"/>
    <w:qFormat/>
    <w:uiPriority w:val="0"/>
    <w:pPr>
      <w:autoSpaceDE w:val="0"/>
      <w:autoSpaceDN w:val="0"/>
      <w:jc w:val="left"/>
    </w:pPr>
    <w:rPr>
      <w:rFonts w:ascii="宋体" w:hAnsi="宋体" w:cs="宋体"/>
      <w:kern w:val="0"/>
      <w:sz w:val="22"/>
      <w:szCs w:val="22"/>
      <w:lang w:val="zh-CN"/>
    </w:rPr>
  </w:style>
  <w:style w:type="paragraph" w:customStyle="1" w:styleId="93">
    <w:name w:val="p0"/>
    <w:basedOn w:val="1"/>
    <w:qFormat/>
    <w:uiPriority w:val="99"/>
    <w:pPr>
      <w:widowControl/>
    </w:pPr>
    <w:rPr>
      <w:kern w:val="0"/>
      <w:szCs w:val="21"/>
    </w:rPr>
  </w:style>
  <w:style w:type="paragraph" w:customStyle="1" w:styleId="94">
    <w:name w:val="样式3"/>
    <w:basedOn w:val="8"/>
    <w:qFormat/>
    <w:uiPriority w:val="0"/>
    <w:rPr>
      <w:rFonts w:eastAsia="Arial"/>
    </w:rPr>
  </w:style>
  <w:style w:type="paragraph" w:customStyle="1" w:styleId="95">
    <w:name w:val="样式 标题 3 + (中文) 黑体 小四 非加粗 段前: 7.8 磅 段后: 0 磅 行距: 固定值 20 磅"/>
    <w:basedOn w:val="8"/>
    <w:qFormat/>
    <w:uiPriority w:val="0"/>
    <w:pPr>
      <w:spacing w:line="400" w:lineRule="exact"/>
    </w:pPr>
    <w:rPr>
      <w:rFonts w:eastAsia="黑体" w:cs="宋体"/>
      <w:b w:val="0"/>
      <w:bCs w:val="0"/>
      <w:sz w:val="24"/>
      <w:szCs w:val="20"/>
    </w:rPr>
  </w:style>
  <w:style w:type="paragraph" w:customStyle="1" w:styleId="96">
    <w:name w:val="Char Char Char Char Char Char Char Char Char Char Char Char Char1"/>
    <w:basedOn w:val="1"/>
    <w:qFormat/>
    <w:uiPriority w:val="0"/>
  </w:style>
  <w:style w:type="paragraph" w:customStyle="1" w:styleId="97">
    <w:name w:val="Char4"/>
    <w:basedOn w:val="1"/>
    <w:qFormat/>
    <w:uiPriority w:val="0"/>
    <w:pPr>
      <w:widowControl/>
      <w:spacing w:line="360" w:lineRule="auto"/>
      <w:ind w:firstLine="200" w:firstLineChars="200"/>
      <w:textAlignment w:val="baseline"/>
    </w:pPr>
    <w:rPr>
      <w:color w:val="000000"/>
      <w:kern w:val="0"/>
      <w:szCs w:val="20"/>
      <w:u w:color="000000"/>
    </w:rPr>
  </w:style>
  <w:style w:type="paragraph" w:customStyle="1" w:styleId="98">
    <w:name w:val="正文2"/>
    <w:qFormat/>
    <w:uiPriority w:val="0"/>
    <w:pPr>
      <w:widowControl w:val="0"/>
      <w:jc w:val="both"/>
    </w:pPr>
    <w:rPr>
      <w:rFonts w:ascii="Times New Roman" w:hAnsi="Times New Roman" w:eastAsia="宋体" w:cs="Times New Roman"/>
      <w:lang w:val="en-US" w:eastAsia="zh-CN" w:bidi="ar-SA"/>
    </w:rPr>
  </w:style>
  <w:style w:type="character" w:customStyle="1" w:styleId="99">
    <w:name w:val="first-child"/>
    <w:basedOn w:val="49"/>
    <w:qFormat/>
    <w:uiPriority w:val="0"/>
  </w:style>
  <w:style w:type="character" w:customStyle="1" w:styleId="100">
    <w:name w:val="Char Char Char Char Char Char"/>
    <w:qFormat/>
    <w:uiPriority w:val="0"/>
    <w:rPr>
      <w:rFonts w:ascii="Arial" w:hAnsi="Arial" w:eastAsia="黑体"/>
      <w:b/>
      <w:bCs/>
      <w:kern w:val="2"/>
      <w:sz w:val="32"/>
      <w:szCs w:val="32"/>
      <w:lang w:val="en-US" w:eastAsia="zh-CN" w:bidi="ar-SA"/>
    </w:rPr>
  </w:style>
  <w:style w:type="character" w:customStyle="1" w:styleId="101">
    <w:name w:val="l11"/>
    <w:qFormat/>
    <w:uiPriority w:val="0"/>
    <w:rPr>
      <w:color w:val="999999"/>
    </w:rPr>
  </w:style>
  <w:style w:type="character" w:customStyle="1" w:styleId="102">
    <w:name w:val="Char Char"/>
    <w:qFormat/>
    <w:uiPriority w:val="0"/>
    <w:rPr>
      <w:rFonts w:ascii="Arial" w:hAnsi="Arial" w:eastAsia="黑体"/>
      <w:b/>
      <w:bCs/>
      <w:kern w:val="2"/>
      <w:sz w:val="32"/>
      <w:szCs w:val="32"/>
      <w:lang w:val="en-US" w:eastAsia="zh-CN" w:bidi="ar-SA"/>
    </w:rPr>
  </w:style>
  <w:style w:type="character" w:customStyle="1" w:styleId="103">
    <w:name w:val="Char Char5"/>
    <w:qFormat/>
    <w:uiPriority w:val="0"/>
    <w:rPr>
      <w:rFonts w:ascii="Arial" w:hAnsi="Arial" w:eastAsia="黑体"/>
      <w:b/>
      <w:bCs/>
      <w:kern w:val="2"/>
      <w:sz w:val="32"/>
      <w:szCs w:val="32"/>
    </w:rPr>
  </w:style>
  <w:style w:type="character" w:customStyle="1" w:styleId="104">
    <w:name w:val="msg-box28"/>
    <w:basedOn w:val="49"/>
    <w:qFormat/>
    <w:uiPriority w:val="0"/>
  </w:style>
  <w:style w:type="character" w:customStyle="1" w:styleId="105">
    <w:name w:val="img_title6"/>
    <w:qFormat/>
    <w:uiPriority w:val="0"/>
    <w:rPr>
      <w:vanish/>
    </w:rPr>
  </w:style>
  <w:style w:type="character" w:customStyle="1" w:styleId="106">
    <w:name w:val="tit12"/>
    <w:qFormat/>
    <w:uiPriority w:val="0"/>
    <w:rPr>
      <w:color w:val="04A06C"/>
    </w:rPr>
  </w:style>
  <w:style w:type="character" w:customStyle="1" w:styleId="107">
    <w:name w:val="Char Char2"/>
    <w:qFormat/>
    <w:uiPriority w:val="0"/>
    <w:rPr>
      <w:rFonts w:eastAsia="宋体"/>
      <w:kern w:val="2"/>
      <w:sz w:val="21"/>
      <w:szCs w:val="24"/>
      <w:lang w:val="en-US" w:eastAsia="zh-CN" w:bidi="ar-SA"/>
    </w:rPr>
  </w:style>
  <w:style w:type="character" w:customStyle="1" w:styleId="108">
    <w:name w:val="nostart"/>
    <w:qFormat/>
    <w:uiPriority w:val="0"/>
    <w:rPr>
      <w:color w:val="FF0000"/>
    </w:rPr>
  </w:style>
  <w:style w:type="character" w:customStyle="1" w:styleId="109">
    <w:name w:val="nostart3"/>
    <w:basedOn w:val="49"/>
    <w:qFormat/>
    <w:uiPriority w:val="0"/>
  </w:style>
  <w:style w:type="character" w:customStyle="1" w:styleId="110">
    <w:name w:val="img4"/>
    <w:basedOn w:val="49"/>
    <w:qFormat/>
    <w:uiPriority w:val="0"/>
  </w:style>
  <w:style w:type="character" w:customStyle="1" w:styleId="111">
    <w:name w:val="tit11"/>
    <w:qFormat/>
    <w:uiPriority w:val="0"/>
    <w:rPr>
      <w:color w:val="B60000"/>
    </w:rPr>
  </w:style>
  <w:style w:type="character" w:customStyle="1" w:styleId="112">
    <w:name w:val="批注文字 Char"/>
    <w:link w:val="18"/>
    <w:qFormat/>
    <w:uiPriority w:val="0"/>
    <w:rPr>
      <w:rFonts w:eastAsia="宋体"/>
      <w:kern w:val="2"/>
      <w:sz w:val="21"/>
      <w:szCs w:val="24"/>
      <w:lang w:val="en-US" w:eastAsia="zh-CN" w:bidi="ar-SA"/>
    </w:rPr>
  </w:style>
  <w:style w:type="character" w:customStyle="1" w:styleId="113">
    <w:name w:val="over"/>
    <w:qFormat/>
    <w:uiPriority w:val="0"/>
    <w:rPr>
      <w:color w:val="B60000"/>
    </w:rPr>
  </w:style>
  <w:style w:type="character" w:customStyle="1" w:styleId="114">
    <w:name w:val="HTML 预设格式 Char"/>
    <w:link w:val="41"/>
    <w:qFormat/>
    <w:uiPriority w:val="0"/>
    <w:rPr>
      <w:rFonts w:ascii="宋体" w:hAnsi="宋体" w:cs="宋体"/>
      <w:sz w:val="24"/>
      <w:szCs w:val="24"/>
    </w:rPr>
  </w:style>
  <w:style w:type="character" w:customStyle="1" w:styleId="115">
    <w:name w:val="l6"/>
    <w:qFormat/>
    <w:uiPriority w:val="0"/>
    <w:rPr>
      <w:color w:val="999999"/>
    </w:rPr>
  </w:style>
  <w:style w:type="character" w:customStyle="1" w:styleId="116">
    <w:name w:val="datetime"/>
    <w:qFormat/>
    <w:uiPriority w:val="0"/>
    <w:rPr>
      <w:rFonts w:hint="default" w:ascii="Arial" w:hAnsi="Arial" w:cs="Arial"/>
      <w:color w:val="999999"/>
      <w:sz w:val="21"/>
      <w:szCs w:val="21"/>
    </w:rPr>
  </w:style>
  <w:style w:type="character" w:customStyle="1" w:styleId="117">
    <w:name w:val="txt1"/>
    <w:basedOn w:val="49"/>
    <w:qFormat/>
    <w:uiPriority w:val="0"/>
  </w:style>
  <w:style w:type="character" w:customStyle="1" w:styleId="118">
    <w:name w:val="starting1"/>
    <w:qFormat/>
    <w:uiPriority w:val="0"/>
    <w:rPr>
      <w:color w:val="339900"/>
    </w:rPr>
  </w:style>
  <w:style w:type="character" w:customStyle="1" w:styleId="119">
    <w:name w:val="starting2"/>
    <w:qFormat/>
    <w:uiPriority w:val="0"/>
    <w:rPr>
      <w:color w:val="B60000"/>
    </w:rPr>
  </w:style>
  <w:style w:type="character" w:customStyle="1" w:styleId="120">
    <w:name w:val="标题 1 Char"/>
    <w:link w:val="6"/>
    <w:qFormat/>
    <w:uiPriority w:val="0"/>
    <w:rPr>
      <w:rFonts w:eastAsia="宋体"/>
      <w:b/>
      <w:bCs/>
      <w:kern w:val="44"/>
      <w:sz w:val="44"/>
      <w:szCs w:val="44"/>
      <w:lang w:val="en-US" w:eastAsia="zh-CN" w:bidi="ar-SA"/>
    </w:rPr>
  </w:style>
  <w:style w:type="character" w:customStyle="1" w:styleId="121">
    <w:name w:val="red"/>
    <w:qFormat/>
    <w:uiPriority w:val="0"/>
    <w:rPr>
      <w:rFonts w:hint="default" w:ascii="Arial" w:hAnsi="Arial" w:cs="Arial"/>
      <w:color w:val="E50000"/>
    </w:rPr>
  </w:style>
  <w:style w:type="character" w:customStyle="1" w:styleId="122">
    <w:name w:val="Char Char4"/>
    <w:qFormat/>
    <w:uiPriority w:val="0"/>
    <w:rPr>
      <w:rFonts w:eastAsia="宋体"/>
      <w:b/>
      <w:bCs/>
      <w:kern w:val="44"/>
      <w:sz w:val="44"/>
      <w:szCs w:val="44"/>
      <w:lang w:val="en-US" w:eastAsia="zh-CN" w:bidi="ar-SA"/>
    </w:rPr>
  </w:style>
  <w:style w:type="character" w:customStyle="1" w:styleId="123">
    <w:name w:val="font161"/>
    <w:qFormat/>
    <w:uiPriority w:val="0"/>
    <w:rPr>
      <w:b/>
      <w:bCs/>
      <w:sz w:val="32"/>
      <w:szCs w:val="32"/>
    </w:rPr>
  </w:style>
  <w:style w:type="character" w:customStyle="1" w:styleId="124">
    <w:name w:val="Char Char8"/>
    <w:qFormat/>
    <w:uiPriority w:val="0"/>
    <w:rPr>
      <w:rFonts w:ascii="Arial" w:hAnsi="Arial" w:eastAsia="黑体"/>
      <w:b/>
      <w:bCs/>
      <w:kern w:val="2"/>
      <w:sz w:val="32"/>
      <w:szCs w:val="32"/>
      <w:lang w:val="en-US" w:eastAsia="zh-CN" w:bidi="ar-SA"/>
    </w:rPr>
  </w:style>
  <w:style w:type="character" w:customStyle="1" w:styleId="125">
    <w:name w:val="msg-box29"/>
    <w:basedOn w:val="49"/>
    <w:qFormat/>
    <w:uiPriority w:val="0"/>
  </w:style>
  <w:style w:type="character" w:customStyle="1" w:styleId="126">
    <w:name w:val="over2"/>
    <w:qFormat/>
    <w:uiPriority w:val="0"/>
    <w:rPr>
      <w:color w:val="999999"/>
    </w:rPr>
  </w:style>
  <w:style w:type="character" w:customStyle="1" w:styleId="127">
    <w:name w:val="img_title7"/>
    <w:qFormat/>
    <w:uiPriority w:val="0"/>
    <w:rPr>
      <w:vanish/>
    </w:rPr>
  </w:style>
  <w:style w:type="character" w:customStyle="1" w:styleId="128">
    <w:name w:val="l7"/>
    <w:qFormat/>
    <w:uiPriority w:val="0"/>
    <w:rPr>
      <w:color w:val="999999"/>
    </w:rPr>
  </w:style>
  <w:style w:type="character" w:customStyle="1" w:styleId="129">
    <w:name w:val="标题 5 Char"/>
    <w:link w:val="10"/>
    <w:qFormat/>
    <w:uiPriority w:val="0"/>
    <w:rPr>
      <w:b/>
      <w:bCs/>
      <w:kern w:val="2"/>
      <w:sz w:val="28"/>
      <w:szCs w:val="28"/>
    </w:rPr>
  </w:style>
  <w:style w:type="character" w:customStyle="1" w:styleId="130">
    <w:name w:val="l51"/>
    <w:qFormat/>
    <w:uiPriority w:val="0"/>
    <w:rPr>
      <w:color w:val="999999"/>
    </w:rPr>
  </w:style>
  <w:style w:type="character" w:customStyle="1" w:styleId="131">
    <w:name w:val="num81"/>
    <w:basedOn w:val="49"/>
    <w:qFormat/>
    <w:uiPriority w:val="0"/>
  </w:style>
  <w:style w:type="character" w:customStyle="1" w:styleId="132">
    <w:name w:val="Char Char1"/>
    <w:qFormat/>
    <w:uiPriority w:val="0"/>
    <w:rPr>
      <w:rFonts w:eastAsia="宋体"/>
      <w:kern w:val="2"/>
      <w:sz w:val="21"/>
      <w:szCs w:val="24"/>
      <w:lang w:val="en-US" w:eastAsia="zh-CN" w:bidi="ar-SA"/>
    </w:rPr>
  </w:style>
  <w:style w:type="character" w:customStyle="1" w:styleId="133">
    <w:name w:val="zs"/>
    <w:qFormat/>
    <w:uiPriority w:val="0"/>
    <w:rPr>
      <w:color w:val="8D744B"/>
      <w:sz w:val="18"/>
      <w:szCs w:val="18"/>
    </w:rPr>
  </w:style>
  <w:style w:type="character" w:customStyle="1" w:styleId="134">
    <w:name w:val="bigfont"/>
    <w:basedOn w:val="49"/>
    <w:qFormat/>
    <w:uiPriority w:val="0"/>
  </w:style>
  <w:style w:type="character" w:customStyle="1" w:styleId="135">
    <w:name w:val="txt"/>
    <w:qFormat/>
    <w:uiPriority w:val="0"/>
    <w:rPr>
      <w:color w:val="C0C0C0"/>
    </w:rPr>
  </w:style>
  <w:style w:type="character" w:customStyle="1" w:styleId="136">
    <w:name w:val="纯文本 Char2"/>
    <w:link w:val="24"/>
    <w:qFormat/>
    <w:uiPriority w:val="0"/>
    <w:rPr>
      <w:rFonts w:ascii="Courier New" w:hAnsi="Courier New" w:eastAsia="宋体"/>
      <w:kern w:val="2"/>
      <w:sz w:val="21"/>
      <w:lang w:val="en-US" w:eastAsia="zh-CN" w:bidi="ar-SA"/>
    </w:rPr>
  </w:style>
  <w:style w:type="character" w:customStyle="1" w:styleId="137">
    <w:name w:val="jg"/>
    <w:basedOn w:val="49"/>
    <w:qFormat/>
    <w:uiPriority w:val="0"/>
  </w:style>
  <w:style w:type="character" w:customStyle="1" w:styleId="138">
    <w:name w:val="17"/>
    <w:qFormat/>
    <w:uiPriority w:val="0"/>
    <w:rPr>
      <w:rFonts w:ascii="仿宋_GB2312" w:eastAsia="仿宋_GB2312"/>
      <w:color w:val="auto"/>
      <w:sz w:val="28"/>
      <w:szCs w:val="28"/>
      <w:u w:val="single"/>
    </w:rPr>
  </w:style>
  <w:style w:type="character" w:customStyle="1" w:styleId="139">
    <w:name w:val="job"/>
    <w:basedOn w:val="49"/>
    <w:qFormat/>
    <w:uiPriority w:val="0"/>
  </w:style>
  <w:style w:type="character" w:customStyle="1" w:styleId="140">
    <w:name w:val="job1"/>
    <w:basedOn w:val="49"/>
    <w:qFormat/>
    <w:uiPriority w:val="0"/>
  </w:style>
  <w:style w:type="character" w:customStyle="1" w:styleId="141">
    <w:name w:val="标题 2 Char"/>
    <w:qFormat/>
    <w:uiPriority w:val="0"/>
    <w:rPr>
      <w:rFonts w:ascii="Arial" w:hAnsi="Arial" w:eastAsia="黑体"/>
      <w:b/>
      <w:bCs/>
      <w:kern w:val="2"/>
      <w:sz w:val="21"/>
      <w:szCs w:val="32"/>
      <w:lang w:val="en-US" w:eastAsia="zh-CN" w:bidi="ar-SA"/>
    </w:rPr>
  </w:style>
  <w:style w:type="character" w:customStyle="1" w:styleId="142">
    <w:name w:val="正文文本 Char"/>
    <w:link w:val="20"/>
    <w:qFormat/>
    <w:uiPriority w:val="0"/>
    <w:rPr>
      <w:rFonts w:eastAsia="宋体"/>
      <w:kern w:val="2"/>
      <w:sz w:val="21"/>
      <w:szCs w:val="24"/>
      <w:lang w:val="en-US" w:eastAsia="zh-CN" w:bidi="ar-SA"/>
    </w:rPr>
  </w:style>
  <w:style w:type="character" w:customStyle="1" w:styleId="143">
    <w:name w:val="p05"/>
    <w:basedOn w:val="49"/>
    <w:qFormat/>
    <w:uiPriority w:val="0"/>
  </w:style>
  <w:style w:type="character" w:customStyle="1" w:styleId="144">
    <w:name w:val="Char Char7"/>
    <w:qFormat/>
    <w:uiPriority w:val="0"/>
    <w:rPr>
      <w:rFonts w:ascii="Arial" w:hAnsi="Arial" w:eastAsia="黑体"/>
      <w:b/>
      <w:bCs/>
      <w:kern w:val="2"/>
      <w:sz w:val="32"/>
      <w:szCs w:val="32"/>
      <w:lang w:val="en-US" w:eastAsia="zh-CN" w:bidi="ar-SA"/>
    </w:rPr>
  </w:style>
  <w:style w:type="character" w:customStyle="1" w:styleId="145">
    <w:name w:val="over3"/>
    <w:basedOn w:val="49"/>
    <w:qFormat/>
    <w:uiPriority w:val="0"/>
  </w:style>
  <w:style w:type="character" w:customStyle="1" w:styleId="146">
    <w:name w:val="Char Char3"/>
    <w:qFormat/>
    <w:uiPriority w:val="0"/>
    <w:rPr>
      <w:rFonts w:ascii="Arial" w:hAnsi="Arial" w:eastAsia="黑体"/>
      <w:b/>
      <w:bCs/>
      <w:kern w:val="2"/>
      <w:sz w:val="32"/>
      <w:szCs w:val="32"/>
      <w:lang w:val="en-US" w:eastAsia="zh-CN" w:bidi="ar-SA"/>
    </w:rPr>
  </w:style>
  <w:style w:type="character" w:customStyle="1" w:styleId="147">
    <w:name w:val="Char Char71"/>
    <w:qFormat/>
    <w:uiPriority w:val="0"/>
    <w:rPr>
      <w:rFonts w:ascii="Arial" w:hAnsi="Arial" w:eastAsia="黑体"/>
      <w:b/>
      <w:bCs/>
      <w:kern w:val="2"/>
      <w:sz w:val="32"/>
      <w:szCs w:val="32"/>
      <w:lang w:val="en-US" w:eastAsia="zh-CN" w:bidi="ar-SA"/>
    </w:rPr>
  </w:style>
  <w:style w:type="character" w:customStyle="1" w:styleId="148">
    <w:name w:val="num51"/>
    <w:basedOn w:val="49"/>
    <w:qFormat/>
    <w:uiPriority w:val="0"/>
  </w:style>
  <w:style w:type="character" w:customStyle="1" w:styleId="149">
    <w:name w:val="Char Char Char"/>
    <w:qFormat/>
    <w:uiPriority w:val="0"/>
    <w:rPr>
      <w:rFonts w:eastAsia="宋体"/>
      <w:b/>
      <w:bCs/>
      <w:kern w:val="44"/>
      <w:sz w:val="44"/>
      <w:szCs w:val="44"/>
      <w:lang w:val="en-US" w:eastAsia="zh-CN" w:bidi="ar-SA"/>
    </w:rPr>
  </w:style>
  <w:style w:type="character" w:customStyle="1" w:styleId="150">
    <w:name w:val="msg-box31"/>
    <w:basedOn w:val="49"/>
    <w:qFormat/>
    <w:uiPriority w:val="0"/>
  </w:style>
  <w:style w:type="character" w:customStyle="1" w:styleId="151">
    <w:name w:val="msg-box30"/>
    <w:basedOn w:val="49"/>
    <w:qFormat/>
    <w:uiPriority w:val="0"/>
  </w:style>
  <w:style w:type="character" w:customStyle="1" w:styleId="152">
    <w:name w:val="标题 1 Char Char"/>
    <w:qFormat/>
    <w:uiPriority w:val="0"/>
    <w:rPr>
      <w:rFonts w:eastAsia="宋体"/>
      <w:b/>
      <w:bCs/>
      <w:kern w:val="44"/>
      <w:sz w:val="44"/>
      <w:szCs w:val="44"/>
      <w:lang w:val="en-US" w:eastAsia="zh-CN" w:bidi="ar-SA"/>
    </w:rPr>
  </w:style>
  <w:style w:type="character" w:customStyle="1" w:styleId="153">
    <w:name w:val="标题 3 Char"/>
    <w:link w:val="8"/>
    <w:qFormat/>
    <w:uiPriority w:val="0"/>
    <w:rPr>
      <w:b/>
      <w:bCs/>
      <w:sz w:val="32"/>
      <w:szCs w:val="32"/>
    </w:rPr>
  </w:style>
  <w:style w:type="character" w:customStyle="1" w:styleId="154">
    <w:name w:val="c1"/>
    <w:basedOn w:val="49"/>
    <w:qFormat/>
    <w:uiPriority w:val="0"/>
  </w:style>
  <w:style w:type="character" w:customStyle="1" w:styleId="155">
    <w:name w:val="纯文本 Char1"/>
    <w:qFormat/>
    <w:uiPriority w:val="0"/>
    <w:rPr>
      <w:rFonts w:ascii="Courier New" w:hAnsi="Courier New" w:eastAsia="宋体"/>
      <w:kern w:val="2"/>
      <w:sz w:val="21"/>
      <w:lang w:val="en-US" w:eastAsia="zh-CN" w:bidi="ar-SA"/>
    </w:rPr>
  </w:style>
  <w:style w:type="character" w:customStyle="1" w:styleId="156">
    <w:name w:val="Char Char Char1"/>
    <w:qFormat/>
    <w:uiPriority w:val="0"/>
    <w:rPr>
      <w:rFonts w:ascii="Arial" w:hAnsi="Arial" w:eastAsia="黑体"/>
      <w:b/>
      <w:bCs/>
      <w:kern w:val="2"/>
      <w:sz w:val="32"/>
      <w:szCs w:val="32"/>
      <w:lang w:val="en-US" w:eastAsia="zh-CN" w:bidi="ar-SA"/>
    </w:rPr>
  </w:style>
  <w:style w:type="character" w:customStyle="1" w:styleId="157">
    <w:name w:val="l3"/>
    <w:qFormat/>
    <w:uiPriority w:val="0"/>
    <w:rPr>
      <w:color w:val="999999"/>
    </w:rPr>
  </w:style>
  <w:style w:type="character" w:customStyle="1" w:styleId="158">
    <w:name w:val="tit14"/>
    <w:qFormat/>
    <w:uiPriority w:val="0"/>
    <w:rPr>
      <w:color w:val="B60000"/>
    </w:rPr>
  </w:style>
  <w:style w:type="character" w:customStyle="1" w:styleId="159">
    <w:name w:val="tit10"/>
    <w:qFormat/>
    <w:uiPriority w:val="0"/>
    <w:rPr>
      <w:color w:val="B60000"/>
    </w:rPr>
  </w:style>
  <w:style w:type="character" w:customStyle="1" w:styleId="160">
    <w:name w:val="l21"/>
    <w:qFormat/>
    <w:uiPriority w:val="0"/>
    <w:rPr>
      <w:color w:val="999999"/>
    </w:rPr>
  </w:style>
  <w:style w:type="character" w:customStyle="1" w:styleId="161">
    <w:name w:val="num71"/>
    <w:basedOn w:val="49"/>
    <w:qFormat/>
    <w:uiPriority w:val="0"/>
  </w:style>
  <w:style w:type="character" w:customStyle="1" w:styleId="162">
    <w:name w:val="标题 2 Char Char"/>
    <w:qFormat/>
    <w:uiPriority w:val="0"/>
    <w:rPr>
      <w:rFonts w:ascii="Arial" w:hAnsi="Arial" w:eastAsia="黑体"/>
      <w:b/>
      <w:bCs/>
      <w:kern w:val="2"/>
      <w:sz w:val="32"/>
      <w:szCs w:val="32"/>
      <w:lang w:val="en-US" w:eastAsia="zh-CN" w:bidi="ar-SA"/>
    </w:rPr>
  </w:style>
  <w:style w:type="character" w:customStyle="1" w:styleId="163">
    <w:name w:val="buvis"/>
    <w:qFormat/>
    <w:uiPriority w:val="0"/>
    <w:rPr>
      <w:color w:val="999999"/>
    </w:rPr>
  </w:style>
  <w:style w:type="character" w:customStyle="1" w:styleId="164">
    <w:name w:val="name"/>
    <w:qFormat/>
    <w:uiPriority w:val="0"/>
    <w:rPr>
      <w:color w:val="444444"/>
      <w:sz w:val="21"/>
      <w:szCs w:val="21"/>
    </w:rPr>
  </w:style>
  <w:style w:type="character" w:customStyle="1" w:styleId="165">
    <w:name w:val="layui-this"/>
    <w:qFormat/>
    <w:uiPriority w:val="0"/>
    <w:rPr>
      <w:bdr w:val="single" w:color="EEEEEE" w:sz="6" w:space="0"/>
      <w:shd w:val="clear" w:color="auto" w:fill="FFFFFF"/>
    </w:rPr>
  </w:style>
  <w:style w:type="character" w:customStyle="1" w:styleId="166">
    <w:name w:val="标题 2 Char1"/>
    <w:qFormat/>
    <w:uiPriority w:val="0"/>
    <w:rPr>
      <w:rFonts w:ascii="Arial" w:hAnsi="Arial" w:eastAsia="黑体"/>
      <w:b/>
      <w:bCs/>
      <w:kern w:val="2"/>
      <w:sz w:val="32"/>
      <w:szCs w:val="32"/>
      <w:lang w:val="en-US" w:eastAsia="zh-CN" w:bidi="ar-SA"/>
    </w:rPr>
  </w:style>
  <w:style w:type="character" w:customStyle="1" w:styleId="167">
    <w:name w:val="zw"/>
    <w:qFormat/>
    <w:uiPriority w:val="0"/>
    <w:rPr>
      <w:color w:val="BD1E22"/>
      <w:sz w:val="22"/>
      <w:szCs w:val="22"/>
    </w:rPr>
  </w:style>
  <w:style w:type="character" w:customStyle="1" w:styleId="168">
    <w:name w:val="name1"/>
    <w:qFormat/>
    <w:uiPriority w:val="0"/>
    <w:rPr>
      <w:color w:val="695435"/>
      <w:sz w:val="24"/>
      <w:szCs w:val="24"/>
    </w:rPr>
  </w:style>
  <w:style w:type="character" w:customStyle="1" w:styleId="169">
    <w:name w:val="num61"/>
    <w:basedOn w:val="49"/>
    <w:qFormat/>
    <w:uiPriority w:val="0"/>
  </w:style>
  <w:style w:type="character" w:customStyle="1" w:styleId="170">
    <w:name w:val="mesg-myd"/>
    <w:qFormat/>
    <w:uiPriority w:val="0"/>
    <w:rPr>
      <w:color w:val="EE0000"/>
    </w:rPr>
  </w:style>
  <w:style w:type="character" w:customStyle="1" w:styleId="171">
    <w:name w:val="c2"/>
    <w:basedOn w:val="49"/>
    <w:qFormat/>
    <w:uiPriority w:val="0"/>
  </w:style>
  <w:style w:type="character" w:customStyle="1" w:styleId="172">
    <w:name w:val="c3"/>
    <w:basedOn w:val="49"/>
    <w:qFormat/>
    <w:uiPriority w:val="0"/>
  </w:style>
  <w:style w:type="character" w:customStyle="1" w:styleId="173">
    <w:name w:val="over1"/>
    <w:qFormat/>
    <w:uiPriority w:val="0"/>
    <w:rPr>
      <w:color w:val="B60000"/>
    </w:rPr>
  </w:style>
  <w:style w:type="character" w:customStyle="1" w:styleId="174">
    <w:name w:val="tit13"/>
    <w:qFormat/>
    <w:uiPriority w:val="0"/>
    <w:rPr>
      <w:color w:val="FFFFFF"/>
    </w:rPr>
  </w:style>
  <w:style w:type="character" w:customStyle="1" w:styleId="175">
    <w:name w:val="Char Char21"/>
    <w:qFormat/>
    <w:uiPriority w:val="0"/>
    <w:rPr>
      <w:rFonts w:eastAsia="宋体"/>
      <w:kern w:val="2"/>
      <w:sz w:val="21"/>
      <w:szCs w:val="24"/>
      <w:lang w:val="en-US" w:eastAsia="zh-CN" w:bidi="ar-SA"/>
    </w:rPr>
  </w:style>
  <w:style w:type="character" w:customStyle="1" w:styleId="176">
    <w:name w:val="l41"/>
    <w:qFormat/>
    <w:uiPriority w:val="0"/>
    <w:rPr>
      <w:color w:val="999999"/>
    </w:rPr>
  </w:style>
  <w:style w:type="character" w:customStyle="1" w:styleId="177">
    <w:name w:val="16"/>
    <w:qFormat/>
    <w:uiPriority w:val="0"/>
    <w:rPr>
      <w:rFonts w:ascii="仿宋_GB2312" w:eastAsia="仿宋_GB2312"/>
      <w:color w:val="auto"/>
      <w:sz w:val="28"/>
      <w:szCs w:val="28"/>
    </w:rPr>
  </w:style>
  <w:style w:type="character" w:customStyle="1" w:styleId="178">
    <w:name w:val="num31"/>
    <w:basedOn w:val="49"/>
    <w:qFormat/>
    <w:uiPriority w:val="0"/>
  </w:style>
  <w:style w:type="character" w:customStyle="1" w:styleId="179">
    <w:name w:val="starting4"/>
    <w:basedOn w:val="49"/>
    <w:qFormat/>
    <w:uiPriority w:val="0"/>
  </w:style>
  <w:style w:type="character" w:customStyle="1" w:styleId="180">
    <w:name w:val="bsharetext"/>
    <w:basedOn w:val="49"/>
    <w:qFormat/>
    <w:uiPriority w:val="0"/>
  </w:style>
  <w:style w:type="character" w:customStyle="1" w:styleId="181">
    <w:name w:val="unit"/>
    <w:qFormat/>
    <w:uiPriority w:val="0"/>
    <w:rPr>
      <w:color w:val="999999"/>
    </w:rPr>
  </w:style>
  <w:style w:type="character" w:customStyle="1" w:styleId="182">
    <w:name w:val="nostart2"/>
    <w:qFormat/>
    <w:uiPriority w:val="0"/>
    <w:rPr>
      <w:color w:val="B60000"/>
    </w:rPr>
  </w:style>
  <w:style w:type="character" w:customStyle="1" w:styleId="183">
    <w:name w:val="纯文本 Char"/>
    <w:qFormat/>
    <w:uiPriority w:val="99"/>
    <w:rPr>
      <w:rFonts w:ascii="Courier New" w:hAnsi="Courier New" w:eastAsia="宋体"/>
      <w:kern w:val="2"/>
      <w:sz w:val="21"/>
      <w:lang w:val="en-US" w:eastAsia="zh-CN" w:bidi="ar-SA"/>
    </w:rPr>
  </w:style>
  <w:style w:type="character" w:customStyle="1" w:styleId="184">
    <w:name w:val="Char Char81"/>
    <w:qFormat/>
    <w:uiPriority w:val="0"/>
    <w:rPr>
      <w:rFonts w:ascii="Arial" w:hAnsi="Arial" w:eastAsia="黑体"/>
      <w:b/>
      <w:bCs/>
      <w:kern w:val="2"/>
      <w:sz w:val="32"/>
      <w:szCs w:val="32"/>
      <w:lang w:val="en-US" w:eastAsia="zh-CN" w:bidi="ar-SA"/>
    </w:rPr>
  </w:style>
  <w:style w:type="character" w:customStyle="1" w:styleId="185">
    <w:name w:val="starting"/>
    <w:qFormat/>
    <w:uiPriority w:val="0"/>
    <w:rPr>
      <w:color w:val="339900"/>
    </w:rPr>
  </w:style>
  <w:style w:type="character" w:customStyle="1" w:styleId="186">
    <w:name w:val="nostart1"/>
    <w:qFormat/>
    <w:uiPriority w:val="0"/>
    <w:rPr>
      <w:color w:val="FF0000"/>
    </w:rPr>
  </w:style>
  <w:style w:type="character" w:customStyle="1" w:styleId="187">
    <w:name w:val="num210"/>
    <w:basedOn w:val="49"/>
    <w:qFormat/>
    <w:uiPriority w:val="0"/>
  </w:style>
  <w:style w:type="character" w:customStyle="1" w:styleId="188">
    <w:name w:val="buvis1"/>
    <w:qFormat/>
    <w:uiPriority w:val="0"/>
    <w:rPr>
      <w:color w:val="CC0000"/>
    </w:rPr>
  </w:style>
  <w:style w:type="character" w:customStyle="1" w:styleId="189">
    <w:name w:val="starting3"/>
    <w:basedOn w:val="49"/>
    <w:qFormat/>
    <w:uiPriority w:val="0"/>
  </w:style>
  <w:style w:type="character" w:customStyle="1" w:styleId="190">
    <w:name w:val="textcontents"/>
    <w:basedOn w:val="49"/>
    <w:qFormat/>
    <w:uiPriority w:val="0"/>
  </w:style>
  <w:style w:type="character" w:customStyle="1" w:styleId="191">
    <w:name w:val="num41"/>
    <w:basedOn w:val="49"/>
    <w:qFormat/>
    <w:uiPriority w:val="0"/>
  </w:style>
  <w:style w:type="character" w:customStyle="1" w:styleId="192">
    <w:name w:val="tit9"/>
    <w:qFormat/>
    <w:uiPriority w:val="0"/>
    <w:rPr>
      <w:color w:val="B60000"/>
      <w:sz w:val="27"/>
      <w:szCs w:val="27"/>
      <w:bdr w:val="single" w:color="DFCEB8" w:sz="6" w:space="0"/>
      <w:shd w:val="clear" w:color="auto" w:fill="FFFFFF"/>
    </w:rPr>
  </w:style>
  <w:style w:type="character" w:customStyle="1" w:styleId="193">
    <w:name w:val="name2"/>
    <w:qFormat/>
    <w:uiPriority w:val="0"/>
    <w:rPr>
      <w:color w:val="000000"/>
      <w:sz w:val="39"/>
      <w:szCs w:val="39"/>
    </w:rPr>
  </w:style>
  <w:style w:type="character" w:customStyle="1" w:styleId="194">
    <w:name w:val="img_title8"/>
    <w:qFormat/>
    <w:uiPriority w:val="0"/>
    <w:rPr>
      <w:vanish/>
    </w:rPr>
  </w:style>
  <w:style w:type="character" w:customStyle="1" w:styleId="195">
    <w:name w:val="tit15"/>
    <w:qFormat/>
    <w:uiPriority w:val="0"/>
    <w:rPr>
      <w:b/>
      <w:color w:val="B60000"/>
    </w:rPr>
  </w:style>
  <w:style w:type="character" w:customStyle="1" w:styleId="196">
    <w:name w:val="img_title9"/>
    <w:qFormat/>
    <w:uiPriority w:val="0"/>
    <w:rPr>
      <w:vanish/>
    </w:rPr>
  </w:style>
  <w:style w:type="character" w:customStyle="1" w:styleId="197">
    <w:name w:val="标题 2 Char2"/>
    <w:link w:val="7"/>
    <w:qFormat/>
    <w:uiPriority w:val="0"/>
    <w:rPr>
      <w:rFonts w:ascii="Arial" w:hAnsi="Arial" w:eastAsia="黑体"/>
      <w:b/>
      <w:bCs/>
      <w:kern w:val="2"/>
      <w:sz w:val="21"/>
      <w:szCs w:val="32"/>
      <w:lang w:val="en-US" w:eastAsia="zh-CN" w:bidi="ar-SA"/>
    </w:rPr>
  </w:style>
  <w:style w:type="paragraph" w:customStyle="1" w:styleId="198">
    <w:name w:val="正文 New"/>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character" w:customStyle="1" w:styleId="199">
    <w:name w:val="font12"/>
    <w:basedOn w:val="49"/>
    <w:qFormat/>
    <w:uiPriority w:val="0"/>
    <w:rPr>
      <w:rFonts w:hint="eastAsia" w:ascii="仿宋" w:hAnsi="仿宋" w:eastAsia="仿宋" w:cs="仿宋"/>
      <w:b/>
      <w:color w:val="000000"/>
      <w:sz w:val="32"/>
      <w:szCs w:val="32"/>
      <w:u w:val="none"/>
    </w:rPr>
  </w:style>
  <w:style w:type="character" w:customStyle="1" w:styleId="200">
    <w:name w:val="font101"/>
    <w:basedOn w:val="49"/>
    <w:qFormat/>
    <w:uiPriority w:val="0"/>
    <w:rPr>
      <w:rFonts w:hint="default" w:ascii="Times New Roman" w:hAnsi="Times New Roman" w:cs="Times New Roman"/>
      <w:color w:val="000000"/>
      <w:sz w:val="24"/>
      <w:szCs w:val="24"/>
      <w:u w:val="none"/>
    </w:rPr>
  </w:style>
  <w:style w:type="character" w:customStyle="1" w:styleId="201">
    <w:name w:val="font111"/>
    <w:basedOn w:val="49"/>
    <w:qFormat/>
    <w:uiPriority w:val="0"/>
    <w:rPr>
      <w:rFonts w:ascii="仿宋_GB2312" w:eastAsia="仿宋_GB2312" w:cs="仿宋_GB2312"/>
      <w:color w:val="000000"/>
      <w:sz w:val="24"/>
      <w:szCs w:val="24"/>
      <w:u w:val="none"/>
    </w:rPr>
  </w:style>
  <w:style w:type="character" w:customStyle="1" w:styleId="202">
    <w:name w:val="font91"/>
    <w:basedOn w:val="49"/>
    <w:qFormat/>
    <w:uiPriority w:val="0"/>
    <w:rPr>
      <w:rFonts w:hint="eastAsia" w:ascii="仿宋" w:hAnsi="仿宋" w:eastAsia="仿宋" w:cs="仿宋"/>
      <w:color w:val="000000"/>
      <w:sz w:val="24"/>
      <w:szCs w:val="24"/>
      <w:u w:val="single"/>
    </w:rPr>
  </w:style>
  <w:style w:type="character" w:customStyle="1" w:styleId="203">
    <w:name w:val="font81"/>
    <w:basedOn w:val="49"/>
    <w:qFormat/>
    <w:uiPriority w:val="0"/>
    <w:rPr>
      <w:rFonts w:hint="default" w:ascii="Times New Roman" w:hAnsi="Times New Roman" w:cs="Times New Roman"/>
      <w:color w:val="000000"/>
      <w:sz w:val="24"/>
      <w:szCs w:val="24"/>
      <w:u w:val="none"/>
    </w:rPr>
  </w:style>
  <w:style w:type="character" w:customStyle="1" w:styleId="204">
    <w:name w:val="font61"/>
    <w:basedOn w:val="49"/>
    <w:qFormat/>
    <w:uiPriority w:val="0"/>
    <w:rPr>
      <w:rFonts w:hint="eastAsia" w:ascii="仿宋_GB2312" w:eastAsia="仿宋_GB2312" w:cs="仿宋_GB2312"/>
      <w:color w:val="000000"/>
      <w:sz w:val="24"/>
      <w:szCs w:val="24"/>
      <w:u w:val="none"/>
    </w:rPr>
  </w:style>
  <w:style w:type="character" w:customStyle="1" w:styleId="205">
    <w:name w:val="font21"/>
    <w:basedOn w:val="49"/>
    <w:qFormat/>
    <w:uiPriority w:val="0"/>
    <w:rPr>
      <w:rFonts w:hint="default" w:ascii="Times New Roman" w:hAnsi="Times New Roman" w:cs="Times New Roman"/>
      <w:color w:val="000000"/>
      <w:sz w:val="24"/>
      <w:szCs w:val="24"/>
      <w:u w:val="none"/>
    </w:rPr>
  </w:style>
  <w:style w:type="character" w:customStyle="1" w:styleId="206">
    <w:name w:val="NormalCharacter"/>
    <w:semiHidden/>
    <w:qFormat/>
    <w:uiPriority w:val="0"/>
    <w:rPr>
      <w:snapToGrid w:val="0"/>
      <w:kern w:val="0"/>
      <w:sz w:val="32"/>
      <w:szCs w:val="32"/>
      <w:lang w:val="en-US" w:eastAsia="zh-CN" w:bidi="ar-SA"/>
    </w:rPr>
  </w:style>
  <w:style w:type="character" w:customStyle="1" w:styleId="207">
    <w:name w:val="first-child1"/>
    <w:basedOn w:val="49"/>
    <w:qFormat/>
    <w:uiPriority w:val="0"/>
  </w:style>
  <w:style w:type="character" w:customStyle="1" w:styleId="208">
    <w:name w:val="hover1"/>
    <w:basedOn w:val="49"/>
    <w:qFormat/>
    <w:uiPriority w:val="0"/>
    <w:rPr>
      <w:color w:val="2590EB"/>
    </w:rPr>
  </w:style>
  <w:style w:type="character" w:customStyle="1" w:styleId="209">
    <w:name w:val="hover2"/>
    <w:basedOn w:val="49"/>
    <w:qFormat/>
    <w:uiPriority w:val="0"/>
  </w:style>
  <w:style w:type="character" w:customStyle="1" w:styleId="210">
    <w:name w:val="hover3"/>
    <w:basedOn w:val="49"/>
    <w:qFormat/>
    <w:uiPriority w:val="0"/>
    <w:rPr>
      <w:color w:val="2590EB"/>
    </w:rPr>
  </w:style>
  <w:style w:type="character" w:customStyle="1" w:styleId="211">
    <w:name w:val="hover4"/>
    <w:basedOn w:val="49"/>
    <w:qFormat/>
    <w:uiPriority w:val="0"/>
    <w:rPr>
      <w:color w:val="2590EB"/>
      <w:shd w:val="clear" w:fill="E9F4FD"/>
    </w:rPr>
  </w:style>
  <w:style w:type="character" w:customStyle="1" w:styleId="212">
    <w:name w:val="mini-outputtext1"/>
    <w:basedOn w:val="49"/>
    <w:qFormat/>
    <w:uiPriority w:val="0"/>
  </w:style>
  <w:style w:type="character" w:customStyle="1" w:styleId="213">
    <w:name w:val="hover"/>
    <w:basedOn w:val="49"/>
    <w:qFormat/>
    <w:uiPriority w:val="0"/>
    <w:rPr>
      <w:color w:val="2590EB"/>
    </w:rPr>
  </w:style>
  <w:style w:type="paragraph" w:customStyle="1" w:styleId="21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53</Pages>
  <Words>19085</Words>
  <Characters>20398</Characters>
  <Lines>411</Lines>
  <Paragraphs>115</Paragraphs>
  <TotalTime>2</TotalTime>
  <ScaleCrop>false</ScaleCrop>
  <LinksUpToDate>false</LinksUpToDate>
  <CharactersWithSpaces>21259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2016-05-15T08:29:00Z</dcterms:created>
  <dc:creator>dengxiaochun</dc:creator>
  <cp:lastModifiedBy>傻傻一辈子</cp:lastModifiedBy>
  <cp:lastPrinted>2025-08-14T01:59:00Z</cp:lastPrinted>
  <dcterms:modified xsi:type="dcterms:W3CDTF">2025-08-14T02:46:19Z</dcterms:modified>
  <dc:title>标准交易文件</dc:title>
  <cp:revision>328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74E62C1E697A4C999337F0D304BD31F8_13</vt:lpwstr>
  </property>
  <property fmtid="{D5CDD505-2E9C-101B-9397-08002B2CF9AE}" pid="4" name="KSOTemplateDocerSaveRecord">
    <vt:lpwstr>eyJoZGlkIjoiMTljMDcwYWJmYjExZWQzNTVmZDAzZTYwM2JlMzJmZDYiLCJ1c2VySWQiOiIzODU2Mzk2OTQifQ==</vt:lpwstr>
  </property>
</Properties>
</file>