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C7A1C81">
      <w:pPr>
        <w:spacing w:after="156" w:afterLines="50"/>
        <w:ind w:left="-850" w:leftChars="-405" w:right="-625"/>
        <w:jc w:val="center"/>
        <w:rPr>
          <w:rFonts w:hint="eastAsia" w:ascii="宋体" w:hAnsi="宋体" w:eastAsia="宋体" w:cs="宋体"/>
          <w:b/>
          <w:bCs/>
          <w:color w:val="auto"/>
          <w:w w:val="85"/>
          <w:sz w:val="52"/>
          <w:szCs w:val="52"/>
          <w:highlight w:val="none"/>
        </w:rPr>
      </w:pPr>
      <w:bookmarkStart w:id="0" w:name="OLE_LINK1"/>
    </w:p>
    <w:p w14:paraId="2CD8491C">
      <w:pPr>
        <w:spacing w:after="156" w:afterLines="50"/>
        <w:ind w:left="-850" w:leftChars="-405" w:right="-625"/>
        <w:jc w:val="center"/>
        <w:rPr>
          <w:rFonts w:hint="eastAsia"/>
          <w:color w:val="auto"/>
          <w:sz w:val="24"/>
          <w:highlight w:val="none"/>
        </w:rPr>
      </w:pPr>
      <w:r>
        <w:rPr>
          <w:rFonts w:hint="eastAsia" w:ascii="宋体" w:hAnsi="宋体" w:eastAsia="宋体" w:cs="宋体"/>
          <w:b/>
          <w:bCs/>
          <w:color w:val="auto"/>
          <w:w w:val="85"/>
          <w:sz w:val="52"/>
          <w:szCs w:val="52"/>
          <w:highlight w:val="none"/>
        </w:rPr>
        <w:t>滁州市城泊车辆服务有限公司</w:t>
      </w:r>
      <w:r>
        <w:rPr>
          <w:rFonts w:hint="eastAsia" w:ascii="宋体" w:hAnsi="宋体" w:cs="宋体"/>
          <w:b/>
          <w:bCs/>
          <w:color w:val="auto"/>
          <w:w w:val="85"/>
          <w:sz w:val="52"/>
          <w:szCs w:val="52"/>
          <w:highlight w:val="none"/>
          <w:lang w:val="en-US" w:eastAsia="zh-CN"/>
        </w:rPr>
        <w:t>资产</w:t>
      </w:r>
      <w:r>
        <w:rPr>
          <w:rFonts w:hint="eastAsia" w:ascii="宋体" w:hAnsi="宋体" w:eastAsia="宋体" w:cs="宋体"/>
          <w:b/>
          <w:bCs/>
          <w:color w:val="auto"/>
          <w:w w:val="85"/>
          <w:sz w:val="52"/>
          <w:szCs w:val="52"/>
          <w:highlight w:val="none"/>
        </w:rPr>
        <w:t>评估</w:t>
      </w:r>
      <w:r>
        <w:rPr>
          <w:rFonts w:hint="eastAsia" w:ascii="宋体" w:hAnsi="宋体" w:cs="宋体"/>
          <w:b/>
          <w:bCs/>
          <w:color w:val="auto"/>
          <w:w w:val="85"/>
          <w:sz w:val="52"/>
          <w:szCs w:val="52"/>
          <w:highlight w:val="none"/>
          <w:lang w:val="en-US" w:eastAsia="zh-CN"/>
        </w:rPr>
        <w:t>服务</w:t>
      </w:r>
      <w:r>
        <w:rPr>
          <w:rFonts w:hint="eastAsia" w:ascii="宋体" w:hAnsi="宋体" w:eastAsia="宋体" w:cs="宋体"/>
          <w:b/>
          <w:bCs/>
          <w:color w:val="auto"/>
          <w:w w:val="85"/>
          <w:sz w:val="52"/>
          <w:szCs w:val="52"/>
          <w:highlight w:val="none"/>
        </w:rPr>
        <w:t>项目</w:t>
      </w:r>
    </w:p>
    <w:p w14:paraId="47AE0B09">
      <w:pPr>
        <w:rPr>
          <w:rFonts w:hint="eastAsia" w:ascii="宋体"/>
          <w:bCs/>
          <w:color w:val="auto"/>
          <w:szCs w:val="21"/>
          <w:highlight w:val="none"/>
        </w:rPr>
      </w:pPr>
    </w:p>
    <w:p w14:paraId="3B722E9F">
      <w:pPr>
        <w:rPr>
          <w:rFonts w:hint="eastAsia" w:ascii="宋体"/>
          <w:bCs/>
          <w:color w:val="auto"/>
          <w:szCs w:val="21"/>
          <w:highlight w:val="none"/>
        </w:rPr>
      </w:pPr>
    </w:p>
    <w:p w14:paraId="3FBF3C19">
      <w:pPr>
        <w:spacing w:line="360" w:lineRule="auto"/>
        <w:jc w:val="center"/>
        <w:rPr>
          <w:rFonts w:hint="eastAsia" w:ascii="宋体" w:hAnsi="宋体" w:cs="宋体"/>
          <w:bCs/>
          <w:color w:val="auto"/>
          <w:sz w:val="96"/>
          <w:szCs w:val="96"/>
          <w:highlight w:val="none"/>
        </w:rPr>
      </w:pPr>
      <w:r>
        <w:rPr>
          <w:rFonts w:hint="eastAsia" w:ascii="宋体" w:hAnsi="宋体" w:cs="宋体"/>
          <w:b/>
          <w:color w:val="auto"/>
          <w:sz w:val="96"/>
          <w:szCs w:val="96"/>
          <w:highlight w:val="none"/>
        </w:rPr>
        <w:t>招 标 文 件</w:t>
      </w:r>
    </w:p>
    <w:p w14:paraId="3C76AF0D">
      <w:pPr>
        <w:rPr>
          <w:rFonts w:hint="eastAsia" w:ascii="宋体" w:hAnsi="宋体"/>
          <w:b/>
          <w:color w:val="auto"/>
          <w:sz w:val="84"/>
          <w:szCs w:val="84"/>
          <w:highlight w:val="none"/>
        </w:rPr>
      </w:pPr>
    </w:p>
    <w:p w14:paraId="4A7FD18D">
      <w:pPr>
        <w:pStyle w:val="2"/>
        <w:rPr>
          <w:rFonts w:hint="eastAsia"/>
          <w:color w:val="auto"/>
          <w:highlight w:val="none"/>
        </w:rPr>
      </w:pPr>
    </w:p>
    <w:p w14:paraId="4C460C2D">
      <w:pPr>
        <w:rPr>
          <w:rFonts w:hint="eastAsia"/>
          <w:color w:val="auto"/>
          <w:highlight w:val="none"/>
        </w:rPr>
      </w:pPr>
    </w:p>
    <w:p w14:paraId="404E689C">
      <w:pPr>
        <w:rPr>
          <w:rFonts w:hint="eastAsia" w:ascii="宋体"/>
          <w:color w:val="auto"/>
          <w:sz w:val="28"/>
          <w:szCs w:val="28"/>
          <w:highlight w:val="none"/>
        </w:rPr>
      </w:pPr>
    </w:p>
    <w:p w14:paraId="1A1CC348">
      <w:pPr>
        <w:pStyle w:val="21"/>
        <w:rPr>
          <w:rFonts w:hint="eastAsia"/>
          <w:color w:val="auto"/>
          <w:highlight w:val="none"/>
        </w:rPr>
      </w:pPr>
    </w:p>
    <w:p w14:paraId="16CC41AD">
      <w:pPr>
        <w:rPr>
          <w:rFonts w:hint="eastAsia" w:ascii="宋体"/>
          <w:b/>
          <w:color w:val="auto"/>
          <w:sz w:val="32"/>
          <w:szCs w:val="32"/>
          <w:highlight w:val="none"/>
        </w:rPr>
      </w:pPr>
    </w:p>
    <w:p w14:paraId="5F3801AE">
      <w:pPr>
        <w:pStyle w:val="2"/>
        <w:rPr>
          <w:rFonts w:hint="eastAsia"/>
          <w:color w:val="auto"/>
        </w:rPr>
      </w:pPr>
    </w:p>
    <w:p w14:paraId="5EEB095C">
      <w:pPr>
        <w:pStyle w:val="27"/>
        <w:rPr>
          <w:rFonts w:hint="eastAsia"/>
          <w:color w:val="auto"/>
        </w:rPr>
      </w:pPr>
    </w:p>
    <w:p w14:paraId="7974D0E1">
      <w:pPr>
        <w:keepNext w:val="0"/>
        <w:keepLines w:val="0"/>
        <w:pageBreakBefore w:val="0"/>
        <w:widowControl w:val="0"/>
        <w:kinsoku/>
        <w:wordWrap/>
        <w:overflowPunct/>
        <w:topLinePunct w:val="0"/>
        <w:autoSpaceDE/>
        <w:autoSpaceDN/>
        <w:bidi w:val="0"/>
        <w:adjustRightInd/>
        <w:snapToGrid/>
        <w:spacing w:line="900" w:lineRule="exact"/>
        <w:ind w:firstLine="643" w:firstLineChars="200"/>
        <w:textAlignment w:val="auto"/>
        <w:rPr>
          <w:rFonts w:hint="eastAsia" w:ascii="宋体"/>
          <w:b/>
          <w:color w:val="auto"/>
          <w:sz w:val="32"/>
          <w:szCs w:val="32"/>
          <w:highlight w:val="none"/>
        </w:rPr>
      </w:pPr>
      <w:r>
        <w:rPr>
          <w:rFonts w:hint="eastAsia" w:ascii="宋体"/>
          <w:b/>
          <w:color w:val="auto"/>
          <w:sz w:val="32"/>
          <w:szCs w:val="32"/>
          <w:highlight w:val="none"/>
          <w:lang w:val="en-US" w:eastAsia="zh-CN"/>
        </w:rPr>
        <w:t>招</w:t>
      </w:r>
      <w:r>
        <w:rPr>
          <w:rFonts w:hint="eastAsia" w:ascii="宋体"/>
          <w:b/>
          <w:color w:val="auto"/>
          <w:sz w:val="32"/>
          <w:szCs w:val="32"/>
          <w:highlight w:val="none"/>
        </w:rPr>
        <w:t xml:space="preserve">   </w:t>
      </w:r>
      <w:r>
        <w:rPr>
          <w:rFonts w:hint="eastAsia" w:ascii="宋体"/>
          <w:b/>
          <w:color w:val="auto"/>
          <w:sz w:val="32"/>
          <w:szCs w:val="32"/>
          <w:highlight w:val="none"/>
          <w:lang w:val="en-US" w:eastAsia="zh-CN"/>
        </w:rPr>
        <w:t>标</w:t>
      </w:r>
      <w:r>
        <w:rPr>
          <w:rFonts w:hint="eastAsia" w:ascii="宋体"/>
          <w:b/>
          <w:color w:val="auto"/>
          <w:sz w:val="32"/>
          <w:szCs w:val="32"/>
          <w:highlight w:val="none"/>
        </w:rPr>
        <w:t xml:space="preserve">   人：</w:t>
      </w:r>
      <w:r>
        <w:rPr>
          <w:rFonts w:hint="eastAsia" w:ascii="宋体"/>
          <w:b/>
          <w:color w:val="auto"/>
          <w:sz w:val="32"/>
          <w:szCs w:val="32"/>
          <w:highlight w:val="none"/>
          <w:u w:val="single"/>
          <w:lang w:val="en-US" w:eastAsia="zh-CN"/>
        </w:rPr>
        <w:t>滁州市城泊车辆服务有限公司</w:t>
      </w:r>
    </w:p>
    <w:p w14:paraId="1D0C7307">
      <w:pPr>
        <w:keepNext w:val="0"/>
        <w:keepLines w:val="0"/>
        <w:pageBreakBefore w:val="0"/>
        <w:widowControl w:val="0"/>
        <w:kinsoku/>
        <w:wordWrap/>
        <w:overflowPunct/>
        <w:topLinePunct w:val="0"/>
        <w:autoSpaceDE/>
        <w:autoSpaceDN/>
        <w:bidi w:val="0"/>
        <w:adjustRightInd/>
        <w:snapToGrid/>
        <w:spacing w:line="900" w:lineRule="exact"/>
        <w:jc w:val="center"/>
        <w:textAlignment w:val="auto"/>
        <w:rPr>
          <w:rFonts w:hint="eastAsia" w:ascii="宋体"/>
          <w:b/>
          <w:color w:val="auto"/>
          <w:sz w:val="32"/>
          <w:szCs w:val="32"/>
          <w:highlight w:val="none"/>
        </w:rPr>
      </w:pPr>
      <w:r>
        <w:rPr>
          <w:rFonts w:hint="eastAsia" w:ascii="宋体"/>
          <w:b/>
          <w:color w:val="auto"/>
          <w:sz w:val="32"/>
          <w:szCs w:val="32"/>
          <w:highlight w:val="none"/>
          <w:u w:val="single"/>
          <w:lang w:val="en-US" w:eastAsia="zh-CN"/>
        </w:rPr>
        <w:t>2025</w:t>
      </w:r>
      <w:r>
        <w:rPr>
          <w:rFonts w:hint="eastAsia" w:ascii="宋体"/>
          <w:b/>
          <w:color w:val="auto"/>
          <w:sz w:val="32"/>
          <w:szCs w:val="32"/>
          <w:highlight w:val="none"/>
        </w:rPr>
        <w:t>年</w:t>
      </w:r>
      <w:r>
        <w:rPr>
          <w:rFonts w:hint="eastAsia" w:ascii="宋体"/>
          <w:b/>
          <w:color w:val="auto"/>
          <w:sz w:val="32"/>
          <w:szCs w:val="32"/>
          <w:highlight w:val="none"/>
          <w:u w:val="single"/>
          <w:lang w:val="en-US" w:eastAsia="zh-CN"/>
        </w:rPr>
        <w:t>07</w:t>
      </w:r>
      <w:r>
        <w:rPr>
          <w:rFonts w:hint="eastAsia" w:ascii="宋体"/>
          <w:b/>
          <w:color w:val="auto"/>
          <w:sz w:val="32"/>
          <w:szCs w:val="32"/>
          <w:highlight w:val="none"/>
        </w:rPr>
        <w:t>月</w:t>
      </w:r>
    </w:p>
    <w:p w14:paraId="11940E33">
      <w:pPr>
        <w:spacing w:line="360" w:lineRule="exact"/>
        <w:rPr>
          <w:rFonts w:hint="eastAsia"/>
          <w:b/>
          <w:color w:val="auto"/>
          <w:sz w:val="36"/>
          <w:highlight w:val="none"/>
        </w:rPr>
      </w:pPr>
    </w:p>
    <w:p w14:paraId="11D8DEB2">
      <w:pPr>
        <w:spacing w:line="360" w:lineRule="exact"/>
        <w:jc w:val="center"/>
        <w:rPr>
          <w:rFonts w:hint="eastAsia"/>
          <w:b/>
          <w:color w:val="auto"/>
          <w:sz w:val="36"/>
          <w:highlight w:val="none"/>
        </w:rPr>
      </w:pPr>
      <w:r>
        <w:rPr>
          <w:rFonts w:hint="eastAsia"/>
          <w:b/>
          <w:color w:val="auto"/>
          <w:sz w:val="36"/>
          <w:highlight w:val="none"/>
        </w:rPr>
        <w:br w:type="page"/>
      </w:r>
    </w:p>
    <w:p w14:paraId="31668C46">
      <w:pPr>
        <w:spacing w:line="360" w:lineRule="exact"/>
        <w:jc w:val="center"/>
        <w:rPr>
          <w:rFonts w:hint="eastAsia"/>
          <w:b/>
          <w:color w:val="auto"/>
          <w:sz w:val="36"/>
          <w:highlight w:val="none"/>
        </w:rPr>
      </w:pPr>
      <w:r>
        <w:rPr>
          <w:rFonts w:hint="eastAsia"/>
          <w:b/>
          <w:color w:val="auto"/>
          <w:sz w:val="36"/>
          <w:highlight w:val="none"/>
        </w:rPr>
        <w:t>目  录</w:t>
      </w:r>
    </w:p>
    <w:p w14:paraId="7C7066CB">
      <w:pPr>
        <w:spacing w:line="360" w:lineRule="exact"/>
        <w:jc w:val="center"/>
        <w:rPr>
          <w:rFonts w:hint="eastAsia"/>
          <w:b/>
          <w:color w:val="auto"/>
          <w:sz w:val="36"/>
          <w:highlight w:val="none"/>
        </w:rPr>
      </w:pPr>
    </w:p>
    <w:p w14:paraId="6082AFDF">
      <w:pPr>
        <w:pStyle w:val="25"/>
        <w:tabs>
          <w:tab w:val="right" w:leader="dot" w:pos="8296"/>
        </w:tabs>
        <w:spacing w:before="156" w:beforeLines="50" w:after="156" w:afterLines="50" w:line="500" w:lineRule="exact"/>
        <w:rPr>
          <w:rStyle w:val="46"/>
          <w:rFonts w:hint="eastAsia" w:ascii="宋体" w:hAnsi="宋体"/>
          <w:b/>
          <w:color w:val="auto"/>
          <w:sz w:val="24"/>
          <w:highlight w:val="none"/>
        </w:rPr>
      </w:pPr>
      <w:r>
        <w:rPr>
          <w:rFonts w:hint="eastAsia" w:ascii="宋体" w:hAnsi="宋体" w:cs="宋体"/>
          <w:color w:val="auto"/>
          <w:sz w:val="24"/>
          <w:highlight w:val="none"/>
        </w:rPr>
        <w:fldChar w:fldCharType="begin"/>
      </w:r>
      <w:r>
        <w:rPr>
          <w:rFonts w:hint="eastAsia" w:ascii="宋体" w:hAnsi="宋体" w:cs="宋体"/>
          <w:color w:val="auto"/>
          <w:sz w:val="24"/>
          <w:highlight w:val="none"/>
        </w:rPr>
        <w:instrText xml:space="preserve"> TOC \o "1-3" \h \z \u </w:instrText>
      </w:r>
      <w:r>
        <w:rPr>
          <w:rFonts w:hint="eastAsia" w:ascii="宋体" w:hAnsi="宋体" w:cs="宋体"/>
          <w:color w:val="auto"/>
          <w:sz w:val="24"/>
          <w:highlight w:val="none"/>
        </w:rPr>
        <w:fldChar w:fldCharType="separate"/>
      </w:r>
      <w:r>
        <w:rPr>
          <w:rStyle w:val="46"/>
          <w:rFonts w:hint="eastAsia" w:ascii="宋体" w:hAnsi="宋体"/>
          <w:b/>
          <w:color w:val="auto"/>
          <w:sz w:val="24"/>
          <w:highlight w:val="none"/>
        </w:rPr>
        <w:fldChar w:fldCharType="begin"/>
      </w:r>
      <w:r>
        <w:rPr>
          <w:rStyle w:val="46"/>
          <w:rFonts w:hint="eastAsia" w:ascii="宋体" w:hAnsi="宋体"/>
          <w:b/>
          <w:color w:val="auto"/>
          <w:sz w:val="24"/>
          <w:highlight w:val="none"/>
        </w:rPr>
        <w:instrText xml:space="preserve"> HYPERLINK \l _Toc9219 </w:instrText>
      </w:r>
      <w:r>
        <w:rPr>
          <w:rStyle w:val="46"/>
          <w:rFonts w:hint="eastAsia" w:ascii="宋体" w:hAnsi="宋体"/>
          <w:b/>
          <w:color w:val="auto"/>
          <w:sz w:val="24"/>
          <w:highlight w:val="none"/>
        </w:rPr>
        <w:fldChar w:fldCharType="separate"/>
      </w:r>
      <w:r>
        <w:rPr>
          <w:rStyle w:val="46"/>
          <w:rFonts w:hint="eastAsia" w:ascii="宋体" w:hAnsi="宋体"/>
          <w:b/>
          <w:color w:val="auto"/>
          <w:sz w:val="24"/>
          <w:highlight w:val="none"/>
        </w:rPr>
        <w:t xml:space="preserve">第一章  </w:t>
      </w:r>
      <w:r>
        <w:rPr>
          <w:rStyle w:val="46"/>
          <w:rFonts w:hint="eastAsia" w:ascii="宋体" w:hAnsi="宋体"/>
          <w:b/>
          <w:color w:val="auto"/>
          <w:sz w:val="24"/>
          <w:highlight w:val="none"/>
          <w:lang w:val="en-US" w:eastAsia="zh-CN"/>
        </w:rPr>
        <w:t>招标公告</w:t>
      </w:r>
      <w:r>
        <w:rPr>
          <w:rStyle w:val="46"/>
          <w:rFonts w:hint="eastAsia" w:ascii="宋体" w:hAnsi="宋体"/>
          <w:b/>
          <w:color w:val="auto"/>
          <w:sz w:val="24"/>
          <w:highlight w:val="none"/>
        </w:rPr>
        <w:tab/>
      </w:r>
      <w:r>
        <w:rPr>
          <w:rStyle w:val="46"/>
          <w:rFonts w:hint="eastAsia" w:ascii="宋体" w:hAnsi="宋体"/>
          <w:b/>
          <w:color w:val="auto"/>
          <w:sz w:val="24"/>
          <w:highlight w:val="none"/>
        </w:rPr>
        <w:fldChar w:fldCharType="begin"/>
      </w:r>
      <w:r>
        <w:rPr>
          <w:rStyle w:val="46"/>
          <w:rFonts w:hint="eastAsia" w:ascii="宋体" w:hAnsi="宋体"/>
          <w:b/>
          <w:color w:val="auto"/>
          <w:sz w:val="24"/>
          <w:highlight w:val="none"/>
        </w:rPr>
        <w:instrText xml:space="preserve"> PAGEREF _Toc9219 \h </w:instrText>
      </w:r>
      <w:r>
        <w:rPr>
          <w:rStyle w:val="46"/>
          <w:rFonts w:hint="eastAsia" w:ascii="宋体" w:hAnsi="宋体"/>
          <w:b/>
          <w:color w:val="auto"/>
          <w:sz w:val="24"/>
          <w:highlight w:val="none"/>
        </w:rPr>
        <w:fldChar w:fldCharType="separate"/>
      </w:r>
      <w:r>
        <w:rPr>
          <w:rStyle w:val="46"/>
          <w:rFonts w:hint="eastAsia" w:ascii="宋体" w:hAnsi="宋体"/>
          <w:b/>
          <w:color w:val="auto"/>
          <w:sz w:val="24"/>
          <w:highlight w:val="none"/>
        </w:rPr>
        <w:t>- 1 -</w:t>
      </w:r>
      <w:r>
        <w:rPr>
          <w:rStyle w:val="46"/>
          <w:rFonts w:hint="eastAsia" w:ascii="宋体" w:hAnsi="宋体"/>
          <w:b/>
          <w:color w:val="auto"/>
          <w:sz w:val="24"/>
          <w:highlight w:val="none"/>
        </w:rPr>
        <w:fldChar w:fldCharType="end"/>
      </w:r>
      <w:r>
        <w:rPr>
          <w:rStyle w:val="46"/>
          <w:rFonts w:hint="eastAsia" w:ascii="宋体" w:hAnsi="宋体"/>
          <w:b/>
          <w:color w:val="auto"/>
          <w:sz w:val="24"/>
          <w:highlight w:val="none"/>
        </w:rPr>
        <w:fldChar w:fldCharType="end"/>
      </w:r>
    </w:p>
    <w:p w14:paraId="6EB5A71A">
      <w:pPr>
        <w:pStyle w:val="25"/>
        <w:tabs>
          <w:tab w:val="right" w:leader="dot" w:pos="8296"/>
        </w:tabs>
        <w:spacing w:before="156" w:beforeLines="50" w:after="156" w:afterLines="50" w:line="500" w:lineRule="exact"/>
        <w:rPr>
          <w:rStyle w:val="46"/>
          <w:rFonts w:hint="eastAsia" w:ascii="宋体" w:hAnsi="宋体"/>
          <w:b/>
          <w:color w:val="auto"/>
          <w:sz w:val="24"/>
          <w:highlight w:val="none"/>
        </w:rPr>
      </w:pPr>
      <w:r>
        <w:rPr>
          <w:rStyle w:val="46"/>
          <w:rFonts w:hint="eastAsia" w:ascii="宋体" w:hAnsi="宋体"/>
          <w:b/>
          <w:color w:val="auto"/>
          <w:sz w:val="24"/>
          <w:highlight w:val="none"/>
        </w:rPr>
        <w:fldChar w:fldCharType="begin"/>
      </w:r>
      <w:r>
        <w:rPr>
          <w:rStyle w:val="46"/>
          <w:rFonts w:hint="eastAsia" w:ascii="宋体" w:hAnsi="宋体"/>
          <w:b/>
          <w:color w:val="auto"/>
          <w:sz w:val="24"/>
          <w:highlight w:val="none"/>
        </w:rPr>
        <w:instrText xml:space="preserve"> HYPERLINK \l _Toc19568 </w:instrText>
      </w:r>
      <w:r>
        <w:rPr>
          <w:rStyle w:val="46"/>
          <w:rFonts w:hint="eastAsia" w:ascii="宋体" w:hAnsi="宋体"/>
          <w:b/>
          <w:color w:val="auto"/>
          <w:sz w:val="24"/>
          <w:highlight w:val="none"/>
        </w:rPr>
        <w:fldChar w:fldCharType="separate"/>
      </w:r>
      <w:r>
        <w:rPr>
          <w:rStyle w:val="46"/>
          <w:rFonts w:hint="eastAsia" w:ascii="宋体" w:hAnsi="宋体"/>
          <w:b/>
          <w:color w:val="auto"/>
          <w:sz w:val="24"/>
          <w:highlight w:val="none"/>
        </w:rPr>
        <w:t>第二章 投标人须知</w:t>
      </w:r>
      <w:r>
        <w:rPr>
          <w:rStyle w:val="46"/>
          <w:rFonts w:hint="eastAsia" w:ascii="宋体" w:hAnsi="宋体"/>
          <w:b/>
          <w:color w:val="auto"/>
          <w:sz w:val="24"/>
          <w:highlight w:val="none"/>
        </w:rPr>
        <w:tab/>
      </w:r>
      <w:r>
        <w:rPr>
          <w:rStyle w:val="46"/>
          <w:rFonts w:hint="eastAsia" w:ascii="宋体" w:hAnsi="宋体"/>
          <w:b/>
          <w:color w:val="auto"/>
          <w:sz w:val="24"/>
          <w:highlight w:val="none"/>
        </w:rPr>
        <w:fldChar w:fldCharType="begin"/>
      </w:r>
      <w:r>
        <w:rPr>
          <w:rStyle w:val="46"/>
          <w:rFonts w:hint="eastAsia" w:ascii="宋体" w:hAnsi="宋体"/>
          <w:b/>
          <w:color w:val="auto"/>
          <w:sz w:val="24"/>
          <w:highlight w:val="none"/>
        </w:rPr>
        <w:instrText xml:space="preserve"> PAGEREF _Toc19568 \h </w:instrText>
      </w:r>
      <w:r>
        <w:rPr>
          <w:rStyle w:val="46"/>
          <w:rFonts w:hint="eastAsia" w:ascii="宋体" w:hAnsi="宋体"/>
          <w:b/>
          <w:color w:val="auto"/>
          <w:sz w:val="24"/>
          <w:highlight w:val="none"/>
        </w:rPr>
        <w:fldChar w:fldCharType="separate"/>
      </w:r>
      <w:r>
        <w:rPr>
          <w:rStyle w:val="46"/>
          <w:rFonts w:hint="eastAsia" w:ascii="宋体" w:hAnsi="宋体"/>
          <w:b/>
          <w:color w:val="auto"/>
          <w:sz w:val="24"/>
          <w:highlight w:val="none"/>
        </w:rPr>
        <w:t>- 4 -</w:t>
      </w:r>
      <w:r>
        <w:rPr>
          <w:rStyle w:val="46"/>
          <w:rFonts w:hint="eastAsia" w:ascii="宋体" w:hAnsi="宋体"/>
          <w:b/>
          <w:color w:val="auto"/>
          <w:sz w:val="24"/>
          <w:highlight w:val="none"/>
        </w:rPr>
        <w:fldChar w:fldCharType="end"/>
      </w:r>
      <w:r>
        <w:rPr>
          <w:rStyle w:val="46"/>
          <w:rFonts w:hint="eastAsia" w:ascii="宋体" w:hAnsi="宋体"/>
          <w:b/>
          <w:color w:val="auto"/>
          <w:sz w:val="24"/>
          <w:highlight w:val="none"/>
        </w:rPr>
        <w:fldChar w:fldCharType="end"/>
      </w:r>
    </w:p>
    <w:p w14:paraId="64389F1D">
      <w:pPr>
        <w:pStyle w:val="25"/>
        <w:tabs>
          <w:tab w:val="right" w:leader="dot" w:pos="8296"/>
        </w:tabs>
        <w:spacing w:before="156" w:beforeLines="50" w:after="156" w:afterLines="50" w:line="500" w:lineRule="exact"/>
        <w:rPr>
          <w:rStyle w:val="46"/>
          <w:rFonts w:hint="eastAsia" w:ascii="宋体" w:hAnsi="宋体"/>
          <w:b/>
          <w:color w:val="auto"/>
          <w:sz w:val="24"/>
          <w:highlight w:val="none"/>
        </w:rPr>
      </w:pPr>
      <w:r>
        <w:rPr>
          <w:rStyle w:val="46"/>
          <w:rFonts w:hint="eastAsia" w:ascii="宋体" w:hAnsi="宋体"/>
          <w:b/>
          <w:color w:val="auto"/>
          <w:sz w:val="24"/>
          <w:highlight w:val="none"/>
        </w:rPr>
        <w:fldChar w:fldCharType="begin"/>
      </w:r>
      <w:r>
        <w:rPr>
          <w:rStyle w:val="46"/>
          <w:rFonts w:hint="eastAsia" w:ascii="宋体" w:hAnsi="宋体"/>
          <w:b/>
          <w:color w:val="auto"/>
          <w:sz w:val="24"/>
          <w:highlight w:val="none"/>
        </w:rPr>
        <w:instrText xml:space="preserve"> HYPERLINK \l _Toc2363 </w:instrText>
      </w:r>
      <w:r>
        <w:rPr>
          <w:rStyle w:val="46"/>
          <w:rFonts w:hint="eastAsia" w:ascii="宋体" w:hAnsi="宋体"/>
          <w:b/>
          <w:color w:val="auto"/>
          <w:sz w:val="24"/>
          <w:highlight w:val="none"/>
        </w:rPr>
        <w:fldChar w:fldCharType="separate"/>
      </w:r>
      <w:r>
        <w:rPr>
          <w:rStyle w:val="46"/>
          <w:rFonts w:hint="eastAsia" w:ascii="宋体" w:hAnsi="宋体"/>
          <w:b/>
          <w:color w:val="auto"/>
          <w:sz w:val="24"/>
          <w:highlight w:val="none"/>
        </w:rPr>
        <w:t>第三章 评标办法</w:t>
      </w:r>
      <w:r>
        <w:rPr>
          <w:rStyle w:val="46"/>
          <w:rFonts w:hint="eastAsia" w:ascii="宋体" w:hAnsi="宋体"/>
          <w:b/>
          <w:color w:val="auto"/>
          <w:sz w:val="24"/>
          <w:highlight w:val="none"/>
        </w:rPr>
        <w:tab/>
      </w:r>
      <w:r>
        <w:rPr>
          <w:rStyle w:val="46"/>
          <w:rFonts w:hint="eastAsia" w:ascii="宋体" w:hAnsi="宋体"/>
          <w:b/>
          <w:color w:val="auto"/>
          <w:sz w:val="24"/>
          <w:highlight w:val="none"/>
        </w:rPr>
        <w:fldChar w:fldCharType="begin"/>
      </w:r>
      <w:r>
        <w:rPr>
          <w:rStyle w:val="46"/>
          <w:rFonts w:hint="eastAsia" w:ascii="宋体" w:hAnsi="宋体"/>
          <w:b/>
          <w:color w:val="auto"/>
          <w:sz w:val="24"/>
          <w:highlight w:val="none"/>
        </w:rPr>
        <w:instrText xml:space="preserve"> PAGEREF _Toc2363 \h </w:instrText>
      </w:r>
      <w:r>
        <w:rPr>
          <w:rStyle w:val="46"/>
          <w:rFonts w:hint="eastAsia" w:ascii="宋体" w:hAnsi="宋体"/>
          <w:b/>
          <w:color w:val="auto"/>
          <w:sz w:val="24"/>
          <w:highlight w:val="none"/>
        </w:rPr>
        <w:fldChar w:fldCharType="separate"/>
      </w:r>
      <w:r>
        <w:rPr>
          <w:rStyle w:val="46"/>
          <w:rFonts w:hint="eastAsia" w:ascii="宋体" w:hAnsi="宋体"/>
          <w:b/>
          <w:color w:val="auto"/>
          <w:sz w:val="24"/>
          <w:highlight w:val="none"/>
        </w:rPr>
        <w:t>- 16 -</w:t>
      </w:r>
      <w:r>
        <w:rPr>
          <w:rStyle w:val="46"/>
          <w:rFonts w:hint="eastAsia" w:ascii="宋体" w:hAnsi="宋体"/>
          <w:b/>
          <w:color w:val="auto"/>
          <w:sz w:val="24"/>
          <w:highlight w:val="none"/>
        </w:rPr>
        <w:fldChar w:fldCharType="end"/>
      </w:r>
      <w:r>
        <w:rPr>
          <w:rStyle w:val="46"/>
          <w:rFonts w:hint="eastAsia" w:ascii="宋体" w:hAnsi="宋体"/>
          <w:b/>
          <w:color w:val="auto"/>
          <w:sz w:val="24"/>
          <w:highlight w:val="none"/>
        </w:rPr>
        <w:fldChar w:fldCharType="end"/>
      </w:r>
    </w:p>
    <w:p w14:paraId="47E97116">
      <w:pPr>
        <w:pStyle w:val="25"/>
        <w:tabs>
          <w:tab w:val="right" w:leader="dot" w:pos="8296"/>
        </w:tabs>
        <w:spacing w:before="156" w:beforeLines="50" w:after="156" w:afterLines="50" w:line="500" w:lineRule="exact"/>
        <w:rPr>
          <w:rStyle w:val="46"/>
          <w:rFonts w:hint="eastAsia" w:ascii="宋体" w:hAnsi="宋体"/>
          <w:b/>
          <w:color w:val="auto"/>
          <w:sz w:val="24"/>
          <w:highlight w:val="none"/>
        </w:rPr>
      </w:pPr>
      <w:r>
        <w:rPr>
          <w:rStyle w:val="46"/>
          <w:rFonts w:hint="eastAsia" w:ascii="宋体" w:hAnsi="宋体"/>
          <w:b/>
          <w:color w:val="auto"/>
          <w:sz w:val="24"/>
          <w:highlight w:val="none"/>
        </w:rPr>
        <w:fldChar w:fldCharType="begin"/>
      </w:r>
      <w:r>
        <w:rPr>
          <w:rStyle w:val="46"/>
          <w:rFonts w:hint="eastAsia" w:ascii="宋体" w:hAnsi="宋体"/>
          <w:b/>
          <w:color w:val="auto"/>
          <w:sz w:val="24"/>
          <w:highlight w:val="none"/>
        </w:rPr>
        <w:instrText xml:space="preserve"> HYPERLINK \l _Toc2225 </w:instrText>
      </w:r>
      <w:r>
        <w:rPr>
          <w:rStyle w:val="46"/>
          <w:rFonts w:hint="eastAsia" w:ascii="宋体" w:hAnsi="宋体"/>
          <w:b/>
          <w:color w:val="auto"/>
          <w:sz w:val="24"/>
          <w:highlight w:val="none"/>
        </w:rPr>
        <w:fldChar w:fldCharType="separate"/>
      </w:r>
      <w:r>
        <w:rPr>
          <w:rStyle w:val="46"/>
          <w:rFonts w:hint="eastAsia" w:ascii="宋体" w:hAnsi="宋体"/>
          <w:b/>
          <w:color w:val="auto"/>
          <w:sz w:val="24"/>
          <w:highlight w:val="none"/>
          <w:lang w:val="en-US" w:eastAsia="zh-CN"/>
        </w:rPr>
        <w:t>第四章 采购需求</w:t>
      </w:r>
      <w:r>
        <w:rPr>
          <w:rStyle w:val="46"/>
          <w:rFonts w:hint="eastAsia" w:ascii="宋体" w:hAnsi="宋体"/>
          <w:b/>
          <w:color w:val="auto"/>
          <w:sz w:val="24"/>
          <w:highlight w:val="none"/>
        </w:rPr>
        <w:tab/>
      </w:r>
      <w:r>
        <w:rPr>
          <w:rStyle w:val="46"/>
          <w:rFonts w:hint="eastAsia" w:ascii="宋体" w:hAnsi="宋体"/>
          <w:b/>
          <w:color w:val="auto"/>
          <w:sz w:val="24"/>
          <w:highlight w:val="none"/>
        </w:rPr>
        <w:fldChar w:fldCharType="begin"/>
      </w:r>
      <w:r>
        <w:rPr>
          <w:rStyle w:val="46"/>
          <w:rFonts w:hint="eastAsia" w:ascii="宋体" w:hAnsi="宋体"/>
          <w:b/>
          <w:color w:val="auto"/>
          <w:sz w:val="24"/>
          <w:highlight w:val="none"/>
        </w:rPr>
        <w:instrText xml:space="preserve"> PAGEREF _Toc2225 \h </w:instrText>
      </w:r>
      <w:r>
        <w:rPr>
          <w:rStyle w:val="46"/>
          <w:rFonts w:hint="eastAsia" w:ascii="宋体" w:hAnsi="宋体"/>
          <w:b/>
          <w:color w:val="auto"/>
          <w:sz w:val="24"/>
          <w:highlight w:val="none"/>
        </w:rPr>
        <w:fldChar w:fldCharType="separate"/>
      </w:r>
      <w:r>
        <w:rPr>
          <w:rStyle w:val="46"/>
          <w:rFonts w:hint="eastAsia" w:ascii="宋体" w:hAnsi="宋体"/>
          <w:b/>
          <w:color w:val="auto"/>
          <w:sz w:val="24"/>
          <w:highlight w:val="none"/>
        </w:rPr>
        <w:t>- 21 -</w:t>
      </w:r>
      <w:r>
        <w:rPr>
          <w:rStyle w:val="46"/>
          <w:rFonts w:hint="eastAsia" w:ascii="宋体" w:hAnsi="宋体"/>
          <w:b/>
          <w:color w:val="auto"/>
          <w:sz w:val="24"/>
          <w:highlight w:val="none"/>
        </w:rPr>
        <w:fldChar w:fldCharType="end"/>
      </w:r>
      <w:r>
        <w:rPr>
          <w:rStyle w:val="46"/>
          <w:rFonts w:hint="eastAsia" w:ascii="宋体" w:hAnsi="宋体"/>
          <w:b/>
          <w:color w:val="auto"/>
          <w:sz w:val="24"/>
          <w:highlight w:val="none"/>
        </w:rPr>
        <w:fldChar w:fldCharType="end"/>
      </w:r>
    </w:p>
    <w:p w14:paraId="6F9215DC">
      <w:pPr>
        <w:pStyle w:val="25"/>
        <w:tabs>
          <w:tab w:val="right" w:leader="dot" w:pos="8296"/>
        </w:tabs>
        <w:spacing w:before="156" w:beforeLines="50" w:after="156" w:afterLines="50" w:line="500" w:lineRule="exact"/>
      </w:pPr>
      <w:r>
        <w:rPr>
          <w:rStyle w:val="46"/>
          <w:rFonts w:hint="eastAsia" w:ascii="宋体" w:hAnsi="宋体"/>
          <w:b/>
          <w:color w:val="auto"/>
          <w:sz w:val="24"/>
          <w:highlight w:val="none"/>
        </w:rPr>
        <w:fldChar w:fldCharType="begin"/>
      </w:r>
      <w:r>
        <w:rPr>
          <w:rStyle w:val="46"/>
          <w:rFonts w:hint="eastAsia" w:ascii="宋体" w:hAnsi="宋体"/>
          <w:b/>
          <w:color w:val="auto"/>
          <w:sz w:val="24"/>
          <w:highlight w:val="none"/>
        </w:rPr>
        <w:instrText xml:space="preserve"> HYPERLINK \l _Toc30789 </w:instrText>
      </w:r>
      <w:r>
        <w:rPr>
          <w:rStyle w:val="46"/>
          <w:rFonts w:hint="eastAsia" w:ascii="宋体" w:hAnsi="宋体"/>
          <w:b/>
          <w:color w:val="auto"/>
          <w:sz w:val="24"/>
          <w:highlight w:val="none"/>
        </w:rPr>
        <w:fldChar w:fldCharType="separate"/>
      </w:r>
      <w:r>
        <w:rPr>
          <w:rStyle w:val="46"/>
          <w:rFonts w:hint="eastAsia" w:ascii="宋体" w:hAnsi="宋体"/>
          <w:b/>
          <w:color w:val="auto"/>
          <w:sz w:val="24"/>
          <w:highlight w:val="none"/>
        </w:rPr>
        <w:t>第</w:t>
      </w:r>
      <w:r>
        <w:rPr>
          <w:rStyle w:val="46"/>
          <w:rFonts w:hint="eastAsia" w:ascii="宋体" w:hAnsi="宋体"/>
          <w:b/>
          <w:color w:val="auto"/>
          <w:sz w:val="24"/>
          <w:highlight w:val="none"/>
          <w:lang w:val="en-US" w:eastAsia="zh-CN"/>
        </w:rPr>
        <w:t>五</w:t>
      </w:r>
      <w:r>
        <w:rPr>
          <w:rStyle w:val="46"/>
          <w:rFonts w:hint="eastAsia" w:ascii="宋体" w:hAnsi="宋体"/>
          <w:b/>
          <w:color w:val="auto"/>
          <w:sz w:val="24"/>
          <w:highlight w:val="none"/>
        </w:rPr>
        <w:t>章  投标文件格式</w:t>
      </w:r>
      <w:r>
        <w:rPr>
          <w:rStyle w:val="46"/>
          <w:rFonts w:hint="eastAsia" w:ascii="宋体" w:hAnsi="宋体"/>
          <w:b/>
          <w:color w:val="auto"/>
          <w:sz w:val="24"/>
          <w:highlight w:val="none"/>
        </w:rPr>
        <w:tab/>
      </w:r>
      <w:r>
        <w:rPr>
          <w:rStyle w:val="46"/>
          <w:rFonts w:hint="eastAsia" w:ascii="宋体" w:hAnsi="宋体"/>
          <w:b/>
          <w:color w:val="auto"/>
          <w:sz w:val="24"/>
          <w:highlight w:val="none"/>
        </w:rPr>
        <w:fldChar w:fldCharType="begin"/>
      </w:r>
      <w:r>
        <w:rPr>
          <w:rStyle w:val="46"/>
          <w:rFonts w:hint="eastAsia" w:ascii="宋体" w:hAnsi="宋体"/>
          <w:b/>
          <w:color w:val="auto"/>
          <w:sz w:val="24"/>
          <w:highlight w:val="none"/>
        </w:rPr>
        <w:instrText xml:space="preserve"> PAGEREF _Toc30789 \h </w:instrText>
      </w:r>
      <w:r>
        <w:rPr>
          <w:rStyle w:val="46"/>
          <w:rFonts w:hint="eastAsia" w:ascii="宋体" w:hAnsi="宋体"/>
          <w:b/>
          <w:color w:val="auto"/>
          <w:sz w:val="24"/>
          <w:highlight w:val="none"/>
        </w:rPr>
        <w:fldChar w:fldCharType="separate"/>
      </w:r>
      <w:r>
        <w:rPr>
          <w:rStyle w:val="46"/>
          <w:rFonts w:hint="eastAsia" w:ascii="宋体" w:hAnsi="宋体"/>
          <w:b/>
          <w:color w:val="auto"/>
          <w:sz w:val="24"/>
          <w:highlight w:val="none"/>
        </w:rPr>
        <w:t>- 22 -</w:t>
      </w:r>
      <w:r>
        <w:rPr>
          <w:rStyle w:val="46"/>
          <w:rFonts w:hint="eastAsia" w:ascii="宋体" w:hAnsi="宋体"/>
          <w:b/>
          <w:color w:val="auto"/>
          <w:sz w:val="24"/>
          <w:highlight w:val="none"/>
        </w:rPr>
        <w:fldChar w:fldCharType="end"/>
      </w:r>
      <w:r>
        <w:rPr>
          <w:rStyle w:val="46"/>
          <w:rFonts w:hint="eastAsia" w:ascii="宋体" w:hAnsi="宋体"/>
          <w:b/>
          <w:color w:val="auto"/>
          <w:sz w:val="24"/>
          <w:highlight w:val="none"/>
        </w:rPr>
        <w:fldChar w:fldCharType="end"/>
      </w:r>
    </w:p>
    <w:p w14:paraId="6FBD7866">
      <w:pPr>
        <w:pStyle w:val="25"/>
        <w:tabs>
          <w:tab w:val="right" w:leader="dot" w:pos="8296"/>
        </w:tabs>
        <w:adjustRightInd w:val="0"/>
        <w:snapToGrid w:val="0"/>
        <w:spacing w:before="156" w:beforeLines="50" w:after="156" w:afterLines="50" w:line="500" w:lineRule="exact"/>
        <w:ind w:left="120" w:hanging="105" w:hangingChars="50"/>
        <w:jc w:val="center"/>
        <w:rPr>
          <w:rFonts w:hint="eastAsia" w:ascii="宋体"/>
          <w:b/>
          <w:bCs/>
          <w:color w:val="auto"/>
          <w:sz w:val="32"/>
          <w:szCs w:val="32"/>
          <w:highlight w:val="none"/>
        </w:rPr>
        <w:sectPr>
          <w:headerReference r:id="rId4" w:type="first"/>
          <w:footerReference r:id="rId7" w:type="first"/>
          <w:headerReference r:id="rId3" w:type="default"/>
          <w:footerReference r:id="rId5" w:type="default"/>
          <w:footerReference r:id="rId6" w:type="even"/>
          <w:pgSz w:w="11906" w:h="16838"/>
          <w:pgMar w:top="1440" w:right="1486" w:bottom="1440" w:left="1800" w:header="851" w:footer="992" w:gutter="0"/>
          <w:pgNumType w:start="1"/>
          <w:cols w:space="720" w:num="1"/>
          <w:docGrid w:type="lines" w:linePitch="312" w:charSpace="0"/>
        </w:sectPr>
      </w:pPr>
      <w:r>
        <w:rPr>
          <w:rFonts w:hint="eastAsia" w:ascii="宋体" w:hAnsi="宋体" w:cs="宋体"/>
          <w:color w:val="auto"/>
          <w:highlight w:val="none"/>
        </w:rPr>
        <w:fldChar w:fldCharType="end"/>
      </w:r>
    </w:p>
    <w:p w14:paraId="26C6180F">
      <w:pPr>
        <w:spacing w:before="156" w:beforeLines="50" w:after="156" w:afterLines="50" w:line="600" w:lineRule="exact"/>
        <w:jc w:val="center"/>
        <w:outlineLvl w:val="0"/>
        <w:rPr>
          <w:rFonts w:hint="default" w:ascii="宋体" w:eastAsia="宋体"/>
          <w:b/>
          <w:color w:val="auto"/>
          <w:sz w:val="32"/>
          <w:szCs w:val="32"/>
          <w:highlight w:val="none"/>
          <w:lang w:val="en-US" w:eastAsia="zh-CN"/>
        </w:rPr>
      </w:pPr>
      <w:bookmarkStart w:id="1" w:name="_Toc9219"/>
      <w:r>
        <w:rPr>
          <w:rFonts w:hint="eastAsia" w:ascii="宋体"/>
          <w:b/>
          <w:color w:val="auto"/>
          <w:sz w:val="32"/>
          <w:szCs w:val="32"/>
          <w:highlight w:val="none"/>
        </w:rPr>
        <w:t xml:space="preserve">第一章  </w:t>
      </w:r>
      <w:r>
        <w:rPr>
          <w:rFonts w:hint="eastAsia" w:ascii="宋体"/>
          <w:b/>
          <w:color w:val="auto"/>
          <w:sz w:val="32"/>
          <w:szCs w:val="32"/>
          <w:highlight w:val="none"/>
          <w:lang w:val="en-US" w:eastAsia="zh-CN"/>
        </w:rPr>
        <w:t>招标公告</w:t>
      </w:r>
      <w:bookmarkEnd w:id="1"/>
    </w:p>
    <w:p w14:paraId="219D8D0B">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项目概况</w:t>
      </w:r>
    </w:p>
    <w:p w14:paraId="2BCA7D54">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t>滁州市城泊车辆服务有限公司资产评估服务项目</w:t>
      </w:r>
      <w:r>
        <w:rPr>
          <w:rFonts w:hint="eastAsia" w:ascii="仿宋" w:hAnsi="仿宋" w:eastAsia="仿宋" w:cs="仿宋"/>
          <w:color w:val="auto"/>
          <w:sz w:val="28"/>
          <w:szCs w:val="28"/>
          <w:highlight w:val="none"/>
        </w:rPr>
        <w:t>的潜在投标人</w:t>
      </w:r>
      <w:r>
        <w:rPr>
          <w:rFonts w:hint="eastAsia" w:ascii="仿宋" w:hAnsi="仿宋" w:eastAsia="仿宋" w:cs="仿宋"/>
          <w:color w:val="auto"/>
          <w:sz w:val="28"/>
          <w:szCs w:val="28"/>
          <w:highlight w:val="none"/>
          <w:lang w:val="en-US" w:eastAsia="zh-CN"/>
        </w:rPr>
        <w:t>可</w:t>
      </w:r>
      <w:r>
        <w:rPr>
          <w:rFonts w:hint="eastAsia" w:ascii="仿宋" w:hAnsi="仿宋" w:eastAsia="仿宋" w:cs="仿宋"/>
          <w:color w:val="auto"/>
          <w:sz w:val="28"/>
          <w:szCs w:val="28"/>
          <w:highlight w:val="none"/>
        </w:rPr>
        <w:t>在</w:t>
      </w:r>
      <w:r>
        <w:rPr>
          <w:rFonts w:hint="eastAsia" w:ascii="仿宋" w:hAnsi="仿宋" w:eastAsia="仿宋" w:cs="仿宋"/>
          <w:color w:val="auto"/>
          <w:sz w:val="28"/>
          <w:szCs w:val="28"/>
          <w:highlight w:val="none"/>
          <w:lang w:val="en-US" w:eastAsia="zh-CN"/>
        </w:rPr>
        <w:t>滁州市扬子工业投资集团有限公司官网（https://czyzgtjt.com/）</w:t>
      </w:r>
      <w:r>
        <w:rPr>
          <w:rFonts w:hint="eastAsia" w:ascii="仿宋" w:hAnsi="仿宋" w:eastAsia="仿宋" w:cs="仿宋"/>
          <w:color w:val="auto"/>
          <w:sz w:val="28"/>
          <w:szCs w:val="28"/>
          <w:highlight w:val="none"/>
        </w:rPr>
        <w:t>获取招标文件，并于202</w:t>
      </w:r>
      <w:r>
        <w:rPr>
          <w:rFonts w:hint="eastAsia" w:ascii="仿宋" w:hAnsi="仿宋" w:eastAsia="仿宋" w:cs="仿宋"/>
          <w:color w:val="auto"/>
          <w:sz w:val="28"/>
          <w:szCs w:val="28"/>
          <w:highlight w:val="none"/>
          <w:lang w:val="en-US" w:eastAsia="zh-CN"/>
        </w:rPr>
        <w:t>5</w:t>
      </w:r>
      <w:r>
        <w:rPr>
          <w:rFonts w:hint="eastAsia" w:ascii="仿宋" w:hAnsi="仿宋" w:eastAsia="仿宋" w:cs="仿宋"/>
          <w:color w:val="auto"/>
          <w:sz w:val="28"/>
          <w:szCs w:val="28"/>
          <w:highlight w:val="none"/>
        </w:rPr>
        <w:t>年</w:t>
      </w:r>
      <w:r>
        <w:rPr>
          <w:rFonts w:hint="eastAsia" w:ascii="仿宋" w:hAnsi="仿宋" w:eastAsia="仿宋" w:cs="仿宋"/>
          <w:color w:val="auto"/>
          <w:sz w:val="28"/>
          <w:szCs w:val="28"/>
          <w:highlight w:val="none"/>
          <w:lang w:val="en-US" w:eastAsia="zh-CN"/>
        </w:rPr>
        <w:t>7</w:t>
      </w:r>
      <w:r>
        <w:rPr>
          <w:rFonts w:hint="eastAsia" w:ascii="仿宋" w:hAnsi="仿宋" w:eastAsia="仿宋" w:cs="仿宋"/>
          <w:color w:val="auto"/>
          <w:sz w:val="28"/>
          <w:szCs w:val="28"/>
          <w:highlight w:val="none"/>
        </w:rPr>
        <w:t>月</w:t>
      </w:r>
      <w:r>
        <w:rPr>
          <w:rFonts w:hint="eastAsia" w:ascii="仿宋" w:hAnsi="仿宋" w:eastAsia="仿宋" w:cs="仿宋"/>
          <w:color w:val="auto"/>
          <w:sz w:val="28"/>
          <w:szCs w:val="28"/>
          <w:highlight w:val="none"/>
          <w:lang w:val="en-US" w:eastAsia="zh-CN"/>
        </w:rPr>
        <w:t>21</w:t>
      </w:r>
      <w:r>
        <w:rPr>
          <w:rFonts w:hint="eastAsia" w:ascii="仿宋" w:hAnsi="仿宋" w:eastAsia="仿宋" w:cs="仿宋"/>
          <w:color w:val="auto"/>
          <w:sz w:val="28"/>
          <w:szCs w:val="28"/>
          <w:highlight w:val="none"/>
        </w:rPr>
        <w:t>日</w:t>
      </w:r>
      <w:r>
        <w:rPr>
          <w:rFonts w:hint="eastAsia" w:ascii="仿宋" w:hAnsi="仿宋" w:eastAsia="仿宋" w:cs="仿宋"/>
          <w:color w:val="auto"/>
          <w:sz w:val="28"/>
          <w:szCs w:val="28"/>
          <w:highlight w:val="none"/>
          <w:lang w:val="en-US" w:eastAsia="zh-CN"/>
        </w:rPr>
        <w:t>15</w:t>
      </w:r>
      <w:r>
        <w:rPr>
          <w:rFonts w:hint="eastAsia" w:ascii="仿宋" w:hAnsi="仿宋" w:eastAsia="仿宋" w:cs="仿宋"/>
          <w:color w:val="auto"/>
          <w:sz w:val="28"/>
          <w:szCs w:val="28"/>
          <w:highlight w:val="none"/>
        </w:rPr>
        <w:t>点</w:t>
      </w:r>
      <w:r>
        <w:rPr>
          <w:rFonts w:hint="eastAsia" w:ascii="仿宋" w:hAnsi="仿宋" w:eastAsia="仿宋" w:cs="仿宋"/>
          <w:color w:val="auto"/>
          <w:sz w:val="28"/>
          <w:szCs w:val="28"/>
          <w:highlight w:val="none"/>
          <w:lang w:val="en-US" w:eastAsia="zh-CN"/>
        </w:rPr>
        <w:t>00</w:t>
      </w:r>
      <w:r>
        <w:rPr>
          <w:rFonts w:hint="eastAsia" w:ascii="仿宋" w:hAnsi="仿宋" w:eastAsia="仿宋" w:cs="仿宋"/>
          <w:color w:val="auto"/>
          <w:sz w:val="28"/>
          <w:szCs w:val="28"/>
          <w:highlight w:val="none"/>
        </w:rPr>
        <w:t>分（北京时间）前递交投标文件。</w:t>
      </w:r>
    </w:p>
    <w:p w14:paraId="446630A3">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一、项目基本情况</w:t>
      </w:r>
    </w:p>
    <w:p w14:paraId="6A7BF4F3">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项目名称：</w:t>
      </w:r>
      <w:r>
        <w:rPr>
          <w:rFonts w:hint="eastAsia" w:ascii="仿宋" w:hAnsi="仿宋" w:eastAsia="仿宋" w:cs="仿宋"/>
          <w:color w:val="auto"/>
          <w:sz w:val="28"/>
          <w:szCs w:val="28"/>
          <w:highlight w:val="none"/>
          <w:lang w:val="en-US" w:eastAsia="zh-CN"/>
        </w:rPr>
        <w:t>滁州市城泊车辆服务有限公司资产评估服务项目</w:t>
      </w:r>
    </w:p>
    <w:p w14:paraId="302FE9BA">
      <w:pPr>
        <w:keepNext/>
        <w:keepLines/>
        <w:pageBreakBefore w:val="0"/>
        <w:widowControl w:val="0"/>
        <w:kinsoku/>
        <w:wordWrap/>
        <w:overflowPunct/>
        <w:topLinePunct w:val="0"/>
        <w:autoSpaceDE/>
        <w:autoSpaceDN/>
        <w:bidi w:val="0"/>
        <w:adjustRightInd/>
        <w:snapToGrid/>
        <w:ind w:firstLine="560" w:firstLineChars="200"/>
        <w:textAlignment w:val="auto"/>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预算金额：</w:t>
      </w:r>
      <w:r>
        <w:rPr>
          <w:rFonts w:hint="eastAsia" w:ascii="仿宋" w:hAnsi="仿宋" w:eastAsia="仿宋" w:cs="仿宋"/>
          <w:color w:val="auto"/>
          <w:sz w:val="28"/>
          <w:szCs w:val="28"/>
          <w:highlight w:val="none"/>
          <w:lang w:val="en-US" w:eastAsia="zh-CN"/>
        </w:rPr>
        <w:t>约人民币叁万元</w:t>
      </w:r>
    </w:p>
    <w:p w14:paraId="5C22861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最高限价：</w:t>
      </w:r>
      <w:r>
        <w:rPr>
          <w:rFonts w:hint="eastAsia" w:ascii="仿宋" w:hAnsi="仿宋" w:eastAsia="仿宋" w:cs="仿宋"/>
          <w:color w:val="auto"/>
          <w:sz w:val="28"/>
          <w:szCs w:val="28"/>
          <w:highlight w:val="none"/>
          <w:lang w:val="en-US" w:eastAsia="zh-CN"/>
        </w:rPr>
        <w:t xml:space="preserve">30000.00（含税） </w:t>
      </w:r>
    </w:p>
    <w:p w14:paraId="3D86EAE3">
      <w:pPr>
        <w:spacing w:before="0" w:beforeLines="0" w:line="240" w:lineRule="auto"/>
        <w:ind w:firstLine="560" w:firstLineChars="200"/>
        <w:rPr>
          <w:rFonts w:hint="default" w:ascii="仿宋" w:hAnsi="仿宋" w:eastAsia="仿宋" w:cs="仿宋"/>
          <w:color w:val="auto"/>
          <w:sz w:val="28"/>
          <w:szCs w:val="28"/>
          <w:highlight w:val="none"/>
          <w:lang w:val="en-US" w:eastAsia="zh-CN"/>
        </w:rPr>
      </w:pPr>
      <w:r>
        <w:rPr>
          <w:rFonts w:hint="eastAsia" w:ascii="仿宋" w:hAnsi="仿宋" w:eastAsia="仿宋" w:cs="仿宋"/>
          <w:color w:val="auto"/>
          <w:sz w:val="28"/>
          <w:szCs w:val="28"/>
          <w:highlight w:val="none"/>
        </w:rPr>
        <w:t>采购需求：</w:t>
      </w:r>
      <w:r>
        <w:rPr>
          <w:rFonts w:hint="eastAsia" w:ascii="仿宋" w:hAnsi="仿宋" w:eastAsia="仿宋" w:cs="仿宋"/>
          <w:color w:val="auto"/>
          <w:sz w:val="28"/>
          <w:szCs w:val="28"/>
          <w:highlight w:val="none"/>
          <w:lang w:val="en-US" w:eastAsia="zh-CN"/>
        </w:rPr>
        <w:t>详见第四章采购需求</w:t>
      </w:r>
    </w:p>
    <w:p w14:paraId="5517F087">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合同履行期限：</w:t>
      </w:r>
      <w:r>
        <w:rPr>
          <w:rFonts w:hint="eastAsia" w:ascii="仿宋" w:hAnsi="仿宋" w:eastAsia="仿宋" w:cs="仿宋"/>
          <w:color w:val="auto"/>
          <w:sz w:val="28"/>
          <w:szCs w:val="28"/>
          <w:highlight w:val="none"/>
          <w:lang w:val="en-US" w:eastAsia="zh-CN"/>
        </w:rPr>
        <w:t>合同签订后10个工作日提供资产评估报告</w:t>
      </w:r>
    </w:p>
    <w:p w14:paraId="4C4C68F8">
      <w:pPr>
        <w:keepNext/>
        <w:keepLines/>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rPr>
        <w:t>本项目</w:t>
      </w:r>
      <w:r>
        <w:rPr>
          <w:rFonts w:hint="eastAsia" w:ascii="仿宋" w:hAnsi="仿宋" w:eastAsia="仿宋" w:cs="仿宋"/>
          <w:color w:val="auto"/>
          <w:sz w:val="28"/>
          <w:szCs w:val="28"/>
          <w:highlight w:val="none"/>
          <w:lang w:val="en-US" w:eastAsia="zh-CN"/>
        </w:rPr>
        <w:t>不</w:t>
      </w:r>
      <w:r>
        <w:rPr>
          <w:rFonts w:hint="eastAsia" w:ascii="仿宋" w:hAnsi="仿宋" w:eastAsia="仿宋" w:cs="仿宋"/>
          <w:color w:val="auto"/>
          <w:sz w:val="28"/>
          <w:szCs w:val="28"/>
          <w:highlight w:val="none"/>
        </w:rPr>
        <w:t>接受联合体投标</w:t>
      </w:r>
      <w:r>
        <w:rPr>
          <w:rFonts w:hint="eastAsia" w:ascii="仿宋" w:hAnsi="仿宋" w:eastAsia="仿宋" w:cs="仿宋"/>
          <w:color w:val="auto"/>
          <w:sz w:val="28"/>
          <w:szCs w:val="28"/>
          <w:highlight w:val="none"/>
          <w:lang w:eastAsia="zh-CN"/>
        </w:rPr>
        <w:t>。</w:t>
      </w:r>
    </w:p>
    <w:p w14:paraId="106AC96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2" w:name="_Toc28359080"/>
      <w:bookmarkStart w:id="3" w:name="_Toc35393622"/>
      <w:bookmarkStart w:id="4" w:name="_Toc35393791"/>
      <w:bookmarkStart w:id="5" w:name="_Toc28359003"/>
      <w:r>
        <w:rPr>
          <w:rFonts w:hint="eastAsia" w:ascii="黑体" w:hAnsi="黑体" w:eastAsia="黑体" w:cs="黑体"/>
          <w:color w:val="auto"/>
          <w:sz w:val="28"/>
          <w:szCs w:val="28"/>
          <w:highlight w:val="none"/>
        </w:rPr>
        <w:t>二、申请人的资格要求</w:t>
      </w:r>
      <w:bookmarkEnd w:id="2"/>
      <w:bookmarkEnd w:id="3"/>
      <w:bookmarkEnd w:id="4"/>
      <w:bookmarkEnd w:id="5"/>
    </w:p>
    <w:p w14:paraId="7EBFA3B8">
      <w:pPr>
        <w:ind w:firstLine="560" w:firstLineChars="200"/>
        <w:rPr>
          <w:rFonts w:hint="eastAsia" w:ascii="仿宋" w:hAnsi="仿宋" w:eastAsia="仿宋"/>
          <w:color w:val="auto"/>
          <w:sz w:val="28"/>
          <w:szCs w:val="28"/>
          <w:highlight w:val="none"/>
          <w:lang w:val="en-US" w:eastAsia="zh-CN"/>
        </w:rPr>
      </w:pPr>
      <w:bookmarkStart w:id="6" w:name="_Toc28359004"/>
      <w:bookmarkStart w:id="7" w:name="_Toc28359081"/>
      <w:bookmarkStart w:id="8" w:name="_Toc35393792"/>
      <w:bookmarkStart w:id="9" w:name="_Toc35393623"/>
      <w:r>
        <w:rPr>
          <w:rFonts w:hint="eastAsia" w:ascii="仿宋" w:hAnsi="仿宋" w:eastAsia="仿宋"/>
          <w:color w:val="auto"/>
          <w:sz w:val="28"/>
          <w:szCs w:val="28"/>
          <w:highlight w:val="none"/>
        </w:rPr>
        <w:t>1.</w:t>
      </w:r>
      <w:r>
        <w:rPr>
          <w:rFonts w:hint="eastAsia" w:ascii="仿宋" w:hAnsi="仿宋" w:eastAsia="仿宋"/>
          <w:color w:val="auto"/>
          <w:sz w:val="28"/>
          <w:szCs w:val="28"/>
          <w:highlight w:val="none"/>
          <w:lang w:val="en-US" w:eastAsia="zh-CN"/>
        </w:rPr>
        <w:t>投标人须是在中华人民共和国境内注册的具有独立承担民事责任能力的企业，具有有效的营业执照；</w:t>
      </w:r>
    </w:p>
    <w:p w14:paraId="29F893A5">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2.投标人须取得国家资产评估资格管理机构批准的资产评估资格（提供相关资格证书或备案材料复印件）；</w:t>
      </w:r>
    </w:p>
    <w:p w14:paraId="389D8C96">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3.项目负责人</w:t>
      </w:r>
      <w:r>
        <w:rPr>
          <w:rFonts w:hint="default" w:ascii="仿宋" w:hAnsi="仿宋" w:eastAsia="仿宋"/>
          <w:color w:val="auto"/>
          <w:sz w:val="28"/>
          <w:szCs w:val="28"/>
          <w:highlight w:val="none"/>
          <w:lang w:val="en-US" w:eastAsia="zh-CN"/>
        </w:rPr>
        <w:t>应具有注册在投标单位的资产评估执业资格证书</w:t>
      </w:r>
      <w:r>
        <w:rPr>
          <w:rFonts w:hint="eastAsia" w:ascii="仿宋" w:hAnsi="仿宋" w:eastAsia="仿宋"/>
          <w:color w:val="auto"/>
          <w:sz w:val="28"/>
          <w:szCs w:val="28"/>
          <w:highlight w:val="none"/>
          <w:lang w:val="en-US" w:eastAsia="zh-CN"/>
        </w:rPr>
        <w:t>；项目负责人能胜任本次工作，有较强的组织能力和综合协调能力，且未经业主同意不得更换项目负责人。</w:t>
      </w:r>
    </w:p>
    <w:p w14:paraId="373C992D">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4.投标人应为本项目配备足够具备胜任能力的技术人员，项目组除项目负责人外的其他成员不得少于2人，且有注册在投标单位的资产评估师证书。</w:t>
      </w:r>
    </w:p>
    <w:p w14:paraId="16424B49">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5.</w:t>
      </w:r>
      <w:r>
        <w:rPr>
          <w:rFonts w:hint="default" w:ascii="仿宋" w:hAnsi="仿宋" w:eastAsia="仿宋"/>
          <w:color w:val="auto"/>
          <w:sz w:val="28"/>
          <w:szCs w:val="28"/>
          <w:highlight w:val="none"/>
          <w:lang w:val="en-US" w:eastAsia="zh-CN"/>
        </w:rPr>
        <w:t>投标人近三年至今不得存在以下不良行为情形（注：投标文件中须提供诚信投标承诺书）：</w:t>
      </w:r>
    </w:p>
    <w:p w14:paraId="724A5104">
      <w:pPr>
        <w:ind w:firstLine="560" w:firstLineChars="200"/>
        <w:rPr>
          <w:rFonts w:hint="default" w:ascii="仿宋" w:hAnsi="仿宋" w:eastAsia="仿宋"/>
          <w:color w:val="auto"/>
          <w:sz w:val="28"/>
          <w:szCs w:val="28"/>
          <w:highlight w:val="none"/>
          <w:lang w:val="en-US" w:eastAsia="zh-CN"/>
        </w:rPr>
      </w:pPr>
      <w:r>
        <w:rPr>
          <w:rFonts w:hint="default" w:ascii="仿宋" w:hAnsi="仿宋" w:eastAsia="仿宋"/>
          <w:color w:val="auto"/>
          <w:sz w:val="28"/>
          <w:szCs w:val="28"/>
          <w:highlight w:val="none"/>
          <w:lang w:val="en-US" w:eastAsia="zh-CN"/>
        </w:rPr>
        <w:t>①在“信用中国”网站（http://www.creditchina.gov.cn/）中被列入失信被执行人名单；</w:t>
      </w:r>
    </w:p>
    <w:p w14:paraId="0FA3B7E3">
      <w:pPr>
        <w:ind w:firstLine="560" w:firstLineChars="200"/>
        <w:rPr>
          <w:rFonts w:hint="default" w:ascii="仿宋" w:hAnsi="仿宋" w:eastAsia="仿宋"/>
          <w:color w:val="auto"/>
          <w:sz w:val="28"/>
          <w:szCs w:val="28"/>
          <w:highlight w:val="none"/>
          <w:lang w:val="en-US" w:eastAsia="zh-CN"/>
        </w:rPr>
      </w:pPr>
      <w:r>
        <w:rPr>
          <w:rFonts w:hint="default" w:ascii="仿宋" w:hAnsi="仿宋" w:eastAsia="仿宋"/>
          <w:color w:val="auto"/>
          <w:sz w:val="28"/>
          <w:szCs w:val="28"/>
          <w:highlight w:val="none"/>
          <w:lang w:val="en-US" w:eastAsia="zh-CN"/>
        </w:rPr>
        <w:t>②资产评估机构和注册资产评估师近三年内有违规记录。</w:t>
      </w:r>
    </w:p>
    <w:p w14:paraId="2742B5B4">
      <w:pPr>
        <w:ind w:firstLine="560" w:firstLineChars="200"/>
        <w:rPr>
          <w:rFonts w:hint="default" w:ascii="仿宋" w:hAnsi="仿宋" w:eastAsia="仿宋"/>
          <w:color w:val="auto"/>
          <w:sz w:val="28"/>
          <w:szCs w:val="28"/>
          <w:highlight w:val="none"/>
          <w:lang w:val="en-US" w:eastAsia="zh-CN"/>
        </w:rPr>
      </w:pPr>
      <w:r>
        <w:rPr>
          <w:rFonts w:hint="eastAsia" w:ascii="仿宋" w:hAnsi="仿宋" w:eastAsia="仿宋"/>
          <w:color w:val="auto"/>
          <w:sz w:val="28"/>
          <w:szCs w:val="28"/>
          <w:highlight w:val="none"/>
          <w:lang w:val="en-US" w:eastAsia="zh-CN"/>
        </w:rPr>
        <w:t>6.</w:t>
      </w:r>
      <w:r>
        <w:rPr>
          <w:rFonts w:hint="default" w:ascii="仿宋" w:hAnsi="仿宋" w:eastAsia="仿宋"/>
          <w:color w:val="auto"/>
          <w:sz w:val="28"/>
          <w:szCs w:val="28"/>
          <w:highlight w:val="none"/>
          <w:lang w:val="en-US" w:eastAsia="zh-CN"/>
        </w:rPr>
        <w:t>本次招标不接受联合体投标</w:t>
      </w:r>
      <w:r>
        <w:rPr>
          <w:rFonts w:hint="eastAsia" w:ascii="仿宋" w:hAnsi="仿宋" w:eastAsia="仿宋"/>
          <w:color w:val="auto"/>
          <w:sz w:val="28"/>
          <w:szCs w:val="28"/>
          <w:highlight w:val="none"/>
          <w:lang w:val="en-US" w:eastAsia="zh-CN"/>
        </w:rPr>
        <w:t>。</w:t>
      </w:r>
    </w:p>
    <w:p w14:paraId="4B668D6D">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三、获取招标文件</w:t>
      </w:r>
      <w:bookmarkEnd w:id="6"/>
      <w:bookmarkEnd w:id="7"/>
      <w:bookmarkEnd w:id="8"/>
      <w:bookmarkEnd w:id="9"/>
    </w:p>
    <w:p w14:paraId="16B4ED61">
      <w:pPr>
        <w:ind w:firstLine="540"/>
        <w:rPr>
          <w:rFonts w:hint="eastAsia" w:ascii="仿宋" w:hAnsi="仿宋" w:eastAsia="仿宋" w:cs="宋体"/>
          <w:iCs/>
          <w:color w:val="auto"/>
          <w:sz w:val="28"/>
          <w:szCs w:val="28"/>
          <w:highlight w:val="none"/>
          <w:lang w:eastAsia="zh-CN"/>
        </w:rPr>
      </w:pPr>
      <w:r>
        <w:rPr>
          <w:rFonts w:hint="eastAsia" w:ascii="仿宋" w:hAnsi="仿宋" w:eastAsia="仿宋" w:cs="宋体"/>
          <w:color w:val="auto"/>
          <w:sz w:val="28"/>
          <w:szCs w:val="28"/>
          <w:highlight w:val="none"/>
        </w:rPr>
        <w:t>时间：</w:t>
      </w:r>
      <w:r>
        <w:rPr>
          <w:rFonts w:hint="eastAsia" w:ascii="仿宋" w:hAnsi="仿宋" w:eastAsia="仿宋" w:cs="宋体"/>
          <w:color w:val="auto"/>
          <w:sz w:val="28"/>
          <w:szCs w:val="28"/>
          <w:highlight w:val="none"/>
          <w:u w:val="none"/>
        </w:rPr>
        <w:t>20</w:t>
      </w:r>
      <w:r>
        <w:rPr>
          <w:rFonts w:hint="eastAsia" w:ascii="仿宋" w:hAnsi="仿宋" w:eastAsia="仿宋" w:cs="宋体"/>
          <w:color w:val="auto"/>
          <w:sz w:val="28"/>
          <w:szCs w:val="28"/>
          <w:highlight w:val="none"/>
          <w:u w:val="none"/>
          <w:lang w:val="en-US" w:eastAsia="zh-CN"/>
        </w:rPr>
        <w:t>25</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7</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16</w:t>
      </w:r>
      <w:r>
        <w:rPr>
          <w:rFonts w:hint="eastAsia" w:ascii="仿宋" w:hAnsi="仿宋" w:eastAsia="仿宋" w:cs="宋体"/>
          <w:color w:val="auto"/>
          <w:sz w:val="28"/>
          <w:szCs w:val="28"/>
          <w:highlight w:val="none"/>
          <w:u w:val="none"/>
        </w:rPr>
        <w:t>日至202</w:t>
      </w:r>
      <w:r>
        <w:rPr>
          <w:rFonts w:hint="eastAsia" w:ascii="仿宋" w:hAnsi="仿宋" w:eastAsia="仿宋" w:cs="宋体"/>
          <w:color w:val="auto"/>
          <w:sz w:val="28"/>
          <w:szCs w:val="28"/>
          <w:highlight w:val="none"/>
          <w:u w:val="none"/>
          <w:lang w:val="en-US" w:eastAsia="zh-CN"/>
        </w:rPr>
        <w:t>5</w:t>
      </w:r>
      <w:r>
        <w:rPr>
          <w:rFonts w:hint="eastAsia" w:ascii="仿宋" w:hAnsi="仿宋" w:eastAsia="仿宋" w:cs="宋体"/>
          <w:color w:val="auto"/>
          <w:sz w:val="28"/>
          <w:szCs w:val="28"/>
          <w:highlight w:val="none"/>
          <w:u w:val="none"/>
        </w:rPr>
        <w:t>年</w:t>
      </w:r>
      <w:r>
        <w:rPr>
          <w:rFonts w:hint="eastAsia" w:ascii="仿宋" w:hAnsi="仿宋" w:eastAsia="仿宋" w:cs="宋体"/>
          <w:color w:val="auto"/>
          <w:sz w:val="28"/>
          <w:szCs w:val="28"/>
          <w:highlight w:val="none"/>
          <w:u w:val="none"/>
          <w:lang w:val="en-US" w:eastAsia="zh-CN"/>
        </w:rPr>
        <w:t>7</w:t>
      </w:r>
      <w:r>
        <w:rPr>
          <w:rFonts w:hint="eastAsia" w:ascii="仿宋" w:hAnsi="仿宋" w:eastAsia="仿宋" w:cs="宋体"/>
          <w:color w:val="auto"/>
          <w:sz w:val="28"/>
          <w:szCs w:val="28"/>
          <w:highlight w:val="none"/>
          <w:u w:val="none"/>
        </w:rPr>
        <w:t>月</w:t>
      </w:r>
      <w:r>
        <w:rPr>
          <w:rFonts w:hint="eastAsia" w:ascii="仿宋" w:hAnsi="仿宋" w:eastAsia="仿宋" w:cs="宋体"/>
          <w:color w:val="auto"/>
          <w:sz w:val="28"/>
          <w:szCs w:val="28"/>
          <w:highlight w:val="none"/>
          <w:u w:val="none"/>
          <w:lang w:val="en-US" w:eastAsia="zh-CN"/>
        </w:rPr>
        <w:t>21</w:t>
      </w:r>
      <w:r>
        <w:rPr>
          <w:rFonts w:hint="eastAsia" w:ascii="仿宋" w:hAnsi="仿宋" w:eastAsia="仿宋" w:cs="宋体"/>
          <w:color w:val="auto"/>
          <w:sz w:val="28"/>
          <w:szCs w:val="28"/>
          <w:highlight w:val="none"/>
          <w:u w:val="none"/>
        </w:rPr>
        <w:t>日</w:t>
      </w:r>
    </w:p>
    <w:p w14:paraId="5D38E8FA">
      <w:pPr>
        <w:ind w:firstLine="540"/>
        <w:jc w:val="left"/>
        <w:rPr>
          <w:rFonts w:hint="default" w:ascii="仿宋" w:hAnsi="仿宋" w:eastAsia="仿宋" w:cs="宋体"/>
          <w:color w:val="auto"/>
          <w:sz w:val="28"/>
          <w:szCs w:val="28"/>
          <w:highlight w:val="none"/>
          <w:u w:val="single"/>
          <w:lang w:val="en-US" w:eastAsia="zh-CN"/>
        </w:rPr>
      </w:pPr>
      <w:r>
        <w:rPr>
          <w:rFonts w:hint="eastAsia" w:ascii="仿宋" w:hAnsi="仿宋" w:eastAsia="仿宋" w:cs="宋体"/>
          <w:color w:val="auto"/>
          <w:sz w:val="28"/>
          <w:szCs w:val="28"/>
          <w:highlight w:val="none"/>
        </w:rPr>
        <w:t>地点：</w:t>
      </w:r>
      <w:r>
        <w:rPr>
          <w:rFonts w:hint="eastAsia" w:ascii="仿宋" w:hAnsi="仿宋" w:eastAsia="仿宋" w:cs="宋体"/>
          <w:color w:val="auto"/>
          <w:sz w:val="28"/>
          <w:szCs w:val="28"/>
          <w:highlight w:val="none"/>
          <w:lang w:val="en-US" w:eastAsia="zh-CN"/>
        </w:rPr>
        <w:t>滁州市城投大厦13楼</w:t>
      </w:r>
    </w:p>
    <w:p w14:paraId="479FE4AE">
      <w:pPr>
        <w:ind w:firstLine="540"/>
        <w:jc w:val="left"/>
        <w:rPr>
          <w:rFonts w:hint="eastAsia" w:ascii="仿宋" w:hAnsi="仿宋" w:eastAsia="仿宋" w:cs="宋体"/>
          <w:color w:val="auto"/>
          <w:sz w:val="28"/>
          <w:szCs w:val="28"/>
          <w:highlight w:val="none"/>
          <w:u w:val="single"/>
          <w:lang w:eastAsia="zh-CN"/>
        </w:rPr>
      </w:pPr>
      <w:r>
        <w:rPr>
          <w:rFonts w:hint="eastAsia" w:ascii="仿宋" w:hAnsi="仿宋" w:eastAsia="仿宋" w:cs="宋体"/>
          <w:color w:val="auto"/>
          <w:sz w:val="28"/>
          <w:szCs w:val="28"/>
          <w:highlight w:val="none"/>
        </w:rPr>
        <w:t>方式：网上下载</w:t>
      </w:r>
    </w:p>
    <w:p w14:paraId="7BAFF1BA">
      <w:pPr>
        <w:ind w:firstLine="540"/>
        <w:jc w:val="left"/>
        <w:rPr>
          <w:rFonts w:ascii="仿宋" w:hAnsi="仿宋" w:eastAsia="仿宋" w:cs="宋体"/>
          <w:color w:val="auto"/>
          <w:sz w:val="28"/>
          <w:szCs w:val="28"/>
          <w:highlight w:val="none"/>
        </w:rPr>
      </w:pPr>
      <w:r>
        <w:rPr>
          <w:rFonts w:hint="eastAsia" w:ascii="仿宋" w:hAnsi="仿宋" w:eastAsia="仿宋" w:cs="宋体"/>
          <w:color w:val="auto"/>
          <w:sz w:val="28"/>
          <w:szCs w:val="28"/>
          <w:highlight w:val="none"/>
        </w:rPr>
        <w:t>售价：0元</w:t>
      </w:r>
    </w:p>
    <w:p w14:paraId="7BEBF84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0" w:name="_Toc28359082"/>
      <w:bookmarkStart w:id="11" w:name="_Toc28359005"/>
      <w:bookmarkStart w:id="12" w:name="_Toc35393624"/>
      <w:bookmarkStart w:id="13" w:name="_Toc35393793"/>
      <w:r>
        <w:rPr>
          <w:rFonts w:hint="eastAsia" w:ascii="黑体" w:hAnsi="黑体" w:eastAsia="黑体" w:cs="黑体"/>
          <w:color w:val="auto"/>
          <w:sz w:val="28"/>
          <w:szCs w:val="28"/>
          <w:highlight w:val="none"/>
        </w:rPr>
        <w:t>四、提交投标文件</w:t>
      </w:r>
      <w:bookmarkEnd w:id="10"/>
      <w:bookmarkEnd w:id="11"/>
      <w:r>
        <w:rPr>
          <w:rFonts w:hint="eastAsia" w:ascii="黑体" w:hAnsi="黑体" w:eastAsia="黑体" w:cs="黑体"/>
          <w:color w:val="auto"/>
          <w:sz w:val="28"/>
          <w:szCs w:val="28"/>
          <w:highlight w:val="none"/>
        </w:rPr>
        <w:t>截止时间、开标时间和地点</w:t>
      </w:r>
      <w:bookmarkEnd w:id="12"/>
      <w:bookmarkEnd w:id="13"/>
    </w:p>
    <w:p w14:paraId="118C0C21">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bCs/>
          <w:iCs/>
          <w:color w:val="auto"/>
          <w:sz w:val="28"/>
          <w:szCs w:val="28"/>
          <w:highlight w:val="none"/>
          <w:lang w:eastAsia="zh-CN"/>
        </w:rPr>
      </w:pPr>
      <w:r>
        <w:rPr>
          <w:rFonts w:hint="eastAsia" w:ascii="仿宋" w:hAnsi="仿宋" w:eastAsia="仿宋"/>
          <w:bCs/>
          <w:color w:val="auto"/>
          <w:sz w:val="28"/>
          <w:szCs w:val="28"/>
          <w:highlight w:val="none"/>
          <w:u w:val="none"/>
          <w:lang w:val="en-US" w:eastAsia="zh-CN"/>
        </w:rPr>
        <w:t>截止时间及开标时间：</w:t>
      </w:r>
      <w:r>
        <w:rPr>
          <w:rFonts w:hint="eastAsia" w:ascii="仿宋" w:hAnsi="仿宋" w:eastAsia="仿宋"/>
          <w:bCs/>
          <w:color w:val="auto"/>
          <w:sz w:val="28"/>
          <w:szCs w:val="28"/>
          <w:highlight w:val="none"/>
          <w:u w:val="none"/>
        </w:rPr>
        <w:t>20</w:t>
      </w:r>
      <w:r>
        <w:rPr>
          <w:rFonts w:hint="eastAsia" w:ascii="仿宋" w:hAnsi="仿宋" w:eastAsia="仿宋"/>
          <w:bCs/>
          <w:color w:val="auto"/>
          <w:sz w:val="28"/>
          <w:szCs w:val="28"/>
          <w:highlight w:val="none"/>
          <w:u w:val="none"/>
          <w:lang w:val="en-US" w:eastAsia="zh-CN"/>
        </w:rPr>
        <w:t>25</w:t>
      </w:r>
      <w:r>
        <w:rPr>
          <w:rFonts w:hint="eastAsia" w:ascii="仿宋" w:hAnsi="仿宋" w:eastAsia="仿宋"/>
          <w:bCs/>
          <w:color w:val="auto"/>
          <w:sz w:val="28"/>
          <w:szCs w:val="28"/>
          <w:highlight w:val="none"/>
          <w:u w:val="none"/>
        </w:rPr>
        <w:t>年</w:t>
      </w:r>
      <w:r>
        <w:rPr>
          <w:rFonts w:hint="eastAsia" w:ascii="仿宋" w:hAnsi="仿宋" w:eastAsia="仿宋"/>
          <w:bCs/>
          <w:color w:val="auto"/>
          <w:sz w:val="28"/>
          <w:szCs w:val="28"/>
          <w:highlight w:val="none"/>
          <w:u w:val="none"/>
          <w:lang w:val="en-US" w:eastAsia="zh-CN"/>
        </w:rPr>
        <w:t>7</w:t>
      </w:r>
      <w:r>
        <w:rPr>
          <w:rFonts w:hint="eastAsia" w:ascii="仿宋" w:hAnsi="仿宋" w:eastAsia="仿宋"/>
          <w:bCs/>
          <w:color w:val="auto"/>
          <w:sz w:val="28"/>
          <w:szCs w:val="28"/>
          <w:highlight w:val="none"/>
          <w:u w:val="none"/>
        </w:rPr>
        <w:t>月</w:t>
      </w:r>
      <w:r>
        <w:rPr>
          <w:rFonts w:hint="eastAsia" w:ascii="仿宋" w:hAnsi="仿宋" w:eastAsia="仿宋"/>
          <w:bCs/>
          <w:color w:val="auto"/>
          <w:sz w:val="28"/>
          <w:szCs w:val="28"/>
          <w:highlight w:val="none"/>
          <w:u w:val="none"/>
          <w:lang w:val="en-US" w:eastAsia="zh-CN"/>
        </w:rPr>
        <w:t>21</w:t>
      </w:r>
      <w:r>
        <w:rPr>
          <w:rFonts w:hint="eastAsia" w:ascii="仿宋" w:hAnsi="仿宋" w:eastAsia="仿宋"/>
          <w:bCs/>
          <w:color w:val="auto"/>
          <w:sz w:val="28"/>
          <w:szCs w:val="28"/>
          <w:highlight w:val="none"/>
          <w:u w:val="none"/>
        </w:rPr>
        <w:t>日</w:t>
      </w:r>
      <w:r>
        <w:rPr>
          <w:rFonts w:hint="eastAsia" w:ascii="仿宋" w:hAnsi="仿宋" w:eastAsia="仿宋"/>
          <w:bCs/>
          <w:color w:val="auto"/>
          <w:sz w:val="28"/>
          <w:szCs w:val="28"/>
          <w:highlight w:val="none"/>
          <w:u w:val="none"/>
          <w:lang w:val="en-US" w:eastAsia="zh-CN"/>
        </w:rPr>
        <w:t>15</w:t>
      </w:r>
      <w:r>
        <w:rPr>
          <w:rFonts w:hint="eastAsia" w:ascii="仿宋" w:hAnsi="仿宋" w:eastAsia="仿宋"/>
          <w:bCs/>
          <w:color w:val="auto"/>
          <w:sz w:val="28"/>
          <w:szCs w:val="28"/>
          <w:highlight w:val="none"/>
          <w:u w:val="none"/>
        </w:rPr>
        <w:t>点</w:t>
      </w:r>
      <w:r>
        <w:rPr>
          <w:rFonts w:hint="eastAsia" w:ascii="仿宋" w:hAnsi="仿宋" w:eastAsia="仿宋"/>
          <w:bCs/>
          <w:color w:val="auto"/>
          <w:sz w:val="28"/>
          <w:szCs w:val="28"/>
          <w:highlight w:val="none"/>
          <w:u w:val="none"/>
          <w:lang w:val="en-US" w:eastAsia="zh-CN"/>
        </w:rPr>
        <w:t>00</w:t>
      </w:r>
      <w:r>
        <w:rPr>
          <w:rFonts w:hint="eastAsia" w:ascii="仿宋" w:hAnsi="仿宋" w:eastAsia="仿宋"/>
          <w:bCs/>
          <w:color w:val="auto"/>
          <w:sz w:val="28"/>
          <w:szCs w:val="28"/>
          <w:highlight w:val="none"/>
          <w:u w:val="none"/>
        </w:rPr>
        <w:t>分</w:t>
      </w:r>
      <w:r>
        <w:rPr>
          <w:rFonts w:hint="eastAsia" w:ascii="仿宋" w:hAnsi="仿宋" w:eastAsia="仿宋"/>
          <w:bCs/>
          <w:color w:val="auto"/>
          <w:sz w:val="28"/>
          <w:szCs w:val="28"/>
          <w:highlight w:val="none"/>
        </w:rPr>
        <w:t>（北京时间）</w:t>
      </w:r>
      <w:r>
        <w:rPr>
          <w:rFonts w:hint="eastAsia" w:ascii="仿宋" w:hAnsi="仿宋" w:eastAsia="仿宋"/>
          <w:bCs/>
          <w:color w:val="auto"/>
          <w:sz w:val="28"/>
          <w:szCs w:val="28"/>
          <w:highlight w:val="none"/>
          <w:lang w:eastAsia="zh-CN"/>
        </w:rPr>
        <w:t>；</w:t>
      </w:r>
    </w:p>
    <w:p w14:paraId="74DD349C">
      <w:pPr>
        <w:keepNext w:val="0"/>
        <w:keepLines w:val="0"/>
        <w:pageBreakBefore w:val="0"/>
        <w:widowControl w:val="0"/>
        <w:kinsoku/>
        <w:wordWrap/>
        <w:overflowPunct/>
        <w:topLinePunct w:val="0"/>
        <w:autoSpaceDE/>
        <w:autoSpaceDN/>
        <w:bidi w:val="0"/>
        <w:adjustRightInd/>
        <w:snapToGrid/>
        <w:ind w:firstLine="560" w:firstLineChars="200"/>
        <w:textAlignment w:val="auto"/>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highlight w:val="none"/>
        </w:rPr>
        <w:t>地点：</w:t>
      </w:r>
      <w:r>
        <w:rPr>
          <w:rFonts w:hint="eastAsia" w:ascii="仿宋" w:hAnsi="仿宋" w:eastAsia="仿宋"/>
          <w:color w:val="auto"/>
          <w:sz w:val="28"/>
          <w:szCs w:val="28"/>
          <w:highlight w:val="none"/>
          <w:lang w:val="en-US" w:eastAsia="zh-CN"/>
        </w:rPr>
        <w:t>滁州市城投大厦13楼1310会议室</w:t>
      </w:r>
    </w:p>
    <w:p w14:paraId="58619F36">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bookmarkStart w:id="14" w:name="_Toc35393794"/>
      <w:bookmarkStart w:id="15" w:name="_Toc28359084"/>
      <w:bookmarkStart w:id="16" w:name="_Toc35393625"/>
      <w:bookmarkStart w:id="17" w:name="_Toc28359007"/>
      <w:r>
        <w:rPr>
          <w:rFonts w:hint="eastAsia" w:ascii="黑体" w:hAnsi="黑体" w:eastAsia="黑体" w:cs="黑体"/>
          <w:color w:val="auto"/>
          <w:sz w:val="28"/>
          <w:szCs w:val="28"/>
          <w:highlight w:val="none"/>
        </w:rPr>
        <w:t>五、公告期限</w:t>
      </w:r>
      <w:bookmarkEnd w:id="14"/>
      <w:bookmarkEnd w:id="15"/>
      <w:bookmarkEnd w:id="16"/>
      <w:bookmarkEnd w:id="17"/>
    </w:p>
    <w:p w14:paraId="730339B2">
      <w:pPr>
        <w:ind w:firstLine="560" w:firstLineChars="200"/>
        <w:rPr>
          <w:rFonts w:hint="eastAsia" w:ascii="仿宋" w:hAnsi="仿宋" w:eastAsia="仿宋"/>
          <w:color w:val="auto"/>
          <w:sz w:val="28"/>
          <w:szCs w:val="28"/>
          <w:highlight w:val="none"/>
        </w:rPr>
      </w:pPr>
      <w:r>
        <w:rPr>
          <w:rFonts w:hint="eastAsia" w:ascii="仿宋" w:hAnsi="仿宋" w:eastAsia="仿宋"/>
          <w:color w:val="auto"/>
          <w:sz w:val="28"/>
          <w:szCs w:val="28"/>
          <w:highlight w:val="none"/>
        </w:rPr>
        <w:t>自本公告发布之日起</w:t>
      </w:r>
      <w:r>
        <w:rPr>
          <w:rFonts w:hint="eastAsia" w:ascii="仿宋" w:hAnsi="仿宋" w:eastAsia="仿宋"/>
          <w:color w:val="auto"/>
          <w:sz w:val="28"/>
          <w:szCs w:val="28"/>
          <w:highlight w:val="none"/>
          <w:lang w:val="en-US" w:eastAsia="zh-CN"/>
        </w:rPr>
        <w:t>3</w:t>
      </w:r>
      <w:r>
        <w:rPr>
          <w:rFonts w:hint="eastAsia" w:ascii="仿宋" w:hAnsi="仿宋" w:eastAsia="仿宋"/>
          <w:color w:val="auto"/>
          <w:sz w:val="28"/>
          <w:szCs w:val="28"/>
          <w:highlight w:val="none"/>
        </w:rPr>
        <w:t>个工作日。</w:t>
      </w:r>
    </w:p>
    <w:p w14:paraId="44E9C4C5">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rPr>
        <w:t>六、投标保证金金额及缴纳账户</w:t>
      </w:r>
    </w:p>
    <w:p w14:paraId="5727B2B8">
      <w:pPr>
        <w:pStyle w:val="127"/>
        <w:rPr>
          <w:color w:val="auto"/>
          <w:highlight w:val="none"/>
        </w:rPr>
      </w:pPr>
      <w:bookmarkStart w:id="18" w:name="_Toc35393626"/>
      <w:bookmarkStart w:id="19" w:name="_Toc35393795"/>
      <w:r>
        <w:rPr>
          <w:color w:val="auto"/>
          <w:highlight w:val="none"/>
        </w:rPr>
        <w:t>窗体顶端</w:t>
      </w:r>
    </w:p>
    <w:p w14:paraId="0495C8A8">
      <w:pPr>
        <w:pStyle w:val="2"/>
        <w:keepNext w:val="0"/>
        <w:keepLines w:val="0"/>
        <w:pageBreakBefore w:val="0"/>
        <w:widowControl w:val="0"/>
        <w:kinsoku/>
        <w:wordWrap/>
        <w:overflowPunct/>
        <w:topLinePunct w:val="0"/>
        <w:autoSpaceDE/>
        <w:autoSpaceDN/>
        <w:bidi w:val="0"/>
        <w:adjustRightInd/>
        <w:snapToGrid/>
        <w:spacing w:after="0"/>
        <w:ind w:left="0" w:leftChars="0" w:firstLine="560" w:firstLineChars="200"/>
        <w:jc w:val="left"/>
        <w:textAlignment w:val="auto"/>
        <w:rPr>
          <w:rFonts w:hint="eastAsia" w:ascii="仿宋" w:hAnsi="仿宋" w:eastAsia="仿宋" w:cs="Times New Roman"/>
          <w:color w:val="auto"/>
          <w:sz w:val="28"/>
          <w:szCs w:val="28"/>
          <w:highlight w:val="none"/>
          <w:lang w:val="en-US" w:eastAsia="zh-CN"/>
        </w:rPr>
      </w:pPr>
      <w:r>
        <w:rPr>
          <w:rFonts w:hint="eastAsia" w:ascii="仿宋" w:hAnsi="仿宋" w:eastAsia="仿宋" w:cs="Times New Roman"/>
          <w:color w:val="auto"/>
          <w:sz w:val="28"/>
          <w:szCs w:val="28"/>
          <w:highlight w:val="none"/>
          <w:lang w:val="en-US" w:eastAsia="zh-CN"/>
        </w:rPr>
        <w:t xml:space="preserve">1.本项目要求投标人提交投标保证金：不要求。 </w:t>
      </w:r>
    </w:p>
    <w:bookmarkEnd w:id="18"/>
    <w:bookmarkEnd w:id="19"/>
    <w:p w14:paraId="175187DE">
      <w:pPr>
        <w:keepNext/>
        <w:keepLines/>
        <w:pageBreakBefore w:val="0"/>
        <w:widowControl w:val="0"/>
        <w:kinsoku/>
        <w:wordWrap/>
        <w:overflowPunct/>
        <w:topLinePunct w:val="0"/>
        <w:autoSpaceDE/>
        <w:autoSpaceDN/>
        <w:bidi w:val="0"/>
        <w:adjustRightInd/>
        <w:snapToGrid/>
        <w:spacing w:before="160" w:after="160"/>
        <w:textAlignment w:val="auto"/>
        <w:rPr>
          <w:rFonts w:hint="eastAsia" w:ascii="黑体" w:hAnsi="黑体" w:eastAsia="黑体" w:cs="黑体"/>
          <w:color w:val="auto"/>
          <w:sz w:val="28"/>
          <w:szCs w:val="28"/>
          <w:highlight w:val="none"/>
        </w:rPr>
      </w:pPr>
      <w:r>
        <w:rPr>
          <w:rFonts w:hint="eastAsia" w:ascii="黑体" w:hAnsi="黑体" w:eastAsia="黑体" w:cs="黑体"/>
          <w:color w:val="auto"/>
          <w:sz w:val="28"/>
          <w:szCs w:val="28"/>
          <w:highlight w:val="none"/>
          <w:lang w:val="en-US" w:eastAsia="zh-CN"/>
        </w:rPr>
        <w:t>七</w:t>
      </w:r>
      <w:r>
        <w:rPr>
          <w:rFonts w:hint="eastAsia" w:ascii="黑体" w:hAnsi="黑体" w:eastAsia="黑体" w:cs="黑体"/>
          <w:color w:val="auto"/>
          <w:sz w:val="28"/>
          <w:szCs w:val="28"/>
          <w:highlight w:val="none"/>
        </w:rPr>
        <w:t>、对本次招标提出询问，请按以下方式联系</w:t>
      </w:r>
    </w:p>
    <w:p w14:paraId="7871733B">
      <w:pPr>
        <w:pStyle w:val="7"/>
        <w:numPr>
          <w:ilvl w:val="0"/>
          <w:numId w:val="0"/>
        </w:numPr>
        <w:adjustRightInd/>
        <w:spacing w:line="240" w:lineRule="auto"/>
        <w:ind w:left="-199" w:leftChars="-95" w:firstLine="560" w:firstLineChars="200"/>
        <w:jc w:val="left"/>
        <w:textAlignment w:val="auto"/>
        <w:rPr>
          <w:rFonts w:hint="eastAsia" w:ascii="仿宋" w:hAnsi="仿宋" w:eastAsia="仿宋" w:cs="仿宋"/>
          <w:color w:val="auto"/>
          <w:kern w:val="2"/>
          <w:sz w:val="28"/>
          <w:szCs w:val="28"/>
          <w:highlight w:val="none"/>
        </w:rPr>
      </w:pPr>
      <w:r>
        <w:rPr>
          <w:rFonts w:hint="eastAsia" w:ascii="仿宋" w:hAnsi="仿宋" w:eastAsia="仿宋" w:cs="仿宋"/>
          <w:color w:val="auto"/>
          <w:kern w:val="2"/>
          <w:sz w:val="28"/>
          <w:szCs w:val="28"/>
          <w:highlight w:val="none"/>
        </w:rPr>
        <w:t>　</w:t>
      </w:r>
      <w:bookmarkStart w:id="20" w:name="_Toc24968"/>
      <w:r>
        <w:rPr>
          <w:rFonts w:hint="eastAsia" w:ascii="仿宋" w:hAnsi="仿宋" w:eastAsia="仿宋" w:cs="仿宋"/>
          <w:color w:val="auto"/>
          <w:kern w:val="2"/>
          <w:sz w:val="28"/>
          <w:szCs w:val="28"/>
          <w:highlight w:val="none"/>
        </w:rPr>
        <w:t>1.招标人信息</w:t>
      </w:r>
      <w:bookmarkEnd w:id="20"/>
    </w:p>
    <w:p w14:paraId="0F4A2EA8">
      <w:pPr>
        <w:ind w:left="-199" w:leftChars="-95" w:firstLine="840" w:firstLineChars="3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名    称：</w:t>
      </w:r>
      <w:r>
        <w:rPr>
          <w:rFonts w:hint="eastAsia" w:ascii="仿宋" w:hAnsi="仿宋" w:eastAsia="仿宋" w:cs="仿宋"/>
          <w:color w:val="auto"/>
          <w:sz w:val="28"/>
          <w:szCs w:val="28"/>
          <w:highlight w:val="none"/>
          <w:u w:val="single"/>
          <w:lang w:eastAsia="zh-CN"/>
        </w:rPr>
        <w:t>滁州市城泊车辆服务有限公司</w:t>
      </w:r>
    </w:p>
    <w:p w14:paraId="11CE88B9">
      <w:pPr>
        <w:ind w:firstLine="560" w:firstLineChars="200"/>
        <w:jc w:val="left"/>
        <w:rPr>
          <w:rFonts w:hint="eastAsia" w:ascii="仿宋" w:hAnsi="仿宋" w:eastAsia="仿宋" w:cs="仿宋"/>
          <w:color w:val="auto"/>
          <w:sz w:val="28"/>
          <w:szCs w:val="28"/>
          <w:highlight w:val="none"/>
          <w:u w:val="single"/>
        </w:rPr>
      </w:pPr>
      <w:r>
        <w:rPr>
          <w:rFonts w:hint="eastAsia" w:ascii="仿宋" w:hAnsi="仿宋" w:eastAsia="仿宋" w:cs="仿宋"/>
          <w:color w:val="auto"/>
          <w:sz w:val="28"/>
          <w:szCs w:val="28"/>
          <w:highlight w:val="none"/>
        </w:rPr>
        <w:t>地    址：</w:t>
      </w:r>
      <w:r>
        <w:rPr>
          <w:rFonts w:hint="eastAsia" w:ascii="仿宋" w:hAnsi="仿宋" w:eastAsia="仿宋" w:cs="仿宋"/>
          <w:color w:val="auto"/>
          <w:sz w:val="28"/>
          <w:szCs w:val="28"/>
          <w:highlight w:val="none"/>
          <w:u w:val="single"/>
          <w:lang w:val="en-US" w:eastAsia="zh-CN"/>
        </w:rPr>
        <w:t>滁州市清流西路扬子宾馆停车场院内</w:t>
      </w:r>
      <w:r>
        <w:rPr>
          <w:rFonts w:hint="eastAsia" w:ascii="仿宋" w:hAnsi="仿宋" w:eastAsia="仿宋" w:cs="仿宋"/>
          <w:color w:val="auto"/>
          <w:sz w:val="28"/>
          <w:szCs w:val="28"/>
          <w:highlight w:val="none"/>
          <w:u w:val="single"/>
        </w:rPr>
        <w:t xml:space="preserve">  </w:t>
      </w:r>
    </w:p>
    <w:p w14:paraId="1E06CD04">
      <w:pPr>
        <w:ind w:left="-199" w:leftChars="-95" w:firstLine="840" w:firstLineChars="300"/>
        <w:jc w:val="left"/>
        <w:rPr>
          <w:rFonts w:hint="default" w:ascii="仿宋" w:hAnsi="仿宋" w:eastAsia="仿宋"/>
          <w:color w:val="auto"/>
          <w:sz w:val="28"/>
          <w:szCs w:val="28"/>
          <w:highlight w:val="none"/>
          <w:u w:val="single"/>
          <w:lang w:val="en-US" w:eastAsia="zh-CN"/>
        </w:rPr>
      </w:pPr>
      <w:r>
        <w:rPr>
          <w:rFonts w:hint="eastAsia" w:ascii="仿宋" w:hAnsi="仿宋" w:eastAsia="仿宋" w:cs="仿宋"/>
          <w:color w:val="auto"/>
          <w:sz w:val="28"/>
          <w:szCs w:val="28"/>
          <w:highlight w:val="none"/>
        </w:rPr>
        <w:t>联系方式：</w:t>
      </w:r>
      <w:r>
        <w:rPr>
          <w:rFonts w:hint="eastAsia" w:ascii="仿宋" w:hAnsi="仿宋" w:eastAsia="仿宋" w:cs="仿宋"/>
          <w:color w:val="auto"/>
          <w:sz w:val="28"/>
          <w:szCs w:val="28"/>
          <w:highlight w:val="none"/>
          <w:u w:val="single"/>
          <w:lang w:val="en-US" w:eastAsia="zh-CN"/>
        </w:rPr>
        <w:t>18019875672、17755099330</w:t>
      </w:r>
    </w:p>
    <w:p w14:paraId="4AB9E466">
      <w:pPr>
        <w:pStyle w:val="2"/>
        <w:ind w:left="0" w:leftChars="0" w:firstLine="560" w:firstLineChars="200"/>
        <w:rPr>
          <w:rFonts w:hint="default"/>
          <w:color w:val="auto"/>
          <w:highlight w:val="none"/>
          <w:lang w:val="en-US"/>
        </w:rPr>
      </w:pPr>
      <w:r>
        <w:rPr>
          <w:rFonts w:hint="eastAsia" w:ascii="仿宋" w:hAnsi="仿宋" w:eastAsia="仿宋" w:cs="仿宋"/>
          <w:color w:val="auto"/>
          <w:sz w:val="28"/>
          <w:szCs w:val="28"/>
          <w:highlight w:val="none"/>
          <w:u w:val="none"/>
          <w:lang w:val="en-US" w:eastAsia="zh-CN"/>
        </w:rPr>
        <w:t>监督电话：</w:t>
      </w:r>
      <w:r>
        <w:rPr>
          <w:rFonts w:hint="eastAsia" w:ascii="仿宋" w:hAnsi="仿宋" w:eastAsia="仿宋" w:cs="仿宋"/>
          <w:color w:val="auto"/>
          <w:sz w:val="28"/>
          <w:szCs w:val="28"/>
          <w:highlight w:val="none"/>
          <w:u w:val="single"/>
          <w:lang w:val="en-US" w:eastAsia="zh-CN"/>
        </w:rPr>
        <w:t>0550-3017855</w:t>
      </w:r>
    </w:p>
    <w:p w14:paraId="54981D26">
      <w:pPr>
        <w:pStyle w:val="7"/>
        <w:numPr>
          <w:ilvl w:val="0"/>
          <w:numId w:val="0"/>
        </w:numPr>
        <w:adjustRightInd/>
        <w:spacing w:line="240" w:lineRule="auto"/>
        <w:ind w:left="-199" w:leftChars="-95" w:firstLine="840" w:firstLineChars="300"/>
        <w:jc w:val="left"/>
        <w:textAlignment w:val="auto"/>
        <w:rPr>
          <w:rFonts w:hint="eastAsia" w:ascii="仿宋" w:hAnsi="仿宋" w:eastAsia="仿宋" w:cs="仿宋"/>
          <w:color w:val="auto"/>
          <w:kern w:val="2"/>
          <w:sz w:val="28"/>
          <w:szCs w:val="28"/>
          <w:highlight w:val="none"/>
        </w:rPr>
      </w:pPr>
      <w:bookmarkStart w:id="21" w:name="_Toc20147"/>
      <w:r>
        <w:rPr>
          <w:rFonts w:hint="eastAsia" w:ascii="仿宋" w:hAnsi="仿宋" w:eastAsia="仿宋" w:cs="仿宋"/>
          <w:color w:val="auto"/>
          <w:kern w:val="2"/>
          <w:sz w:val="28"/>
          <w:szCs w:val="28"/>
          <w:highlight w:val="none"/>
        </w:rPr>
        <w:t>3.项目联系方式</w:t>
      </w:r>
      <w:bookmarkEnd w:id="21"/>
    </w:p>
    <w:p w14:paraId="4FEFF1FA">
      <w:pPr>
        <w:pStyle w:val="18"/>
        <w:ind w:left="-199" w:leftChars="-95" w:firstLine="840" w:firstLineChars="300"/>
        <w:jc w:val="left"/>
        <w:rPr>
          <w:rFonts w:hint="default" w:ascii="仿宋" w:hAnsi="仿宋" w:eastAsia="仿宋" w:cs="仿宋"/>
          <w:color w:val="auto"/>
          <w:sz w:val="28"/>
          <w:szCs w:val="28"/>
          <w:highlight w:val="none"/>
          <w:u w:val="single" w:color="auto"/>
          <w:lang w:val="en-US" w:eastAsia="zh-CN"/>
        </w:rPr>
      </w:pPr>
      <w:r>
        <w:rPr>
          <w:rFonts w:hint="eastAsia" w:ascii="仿宋" w:hAnsi="仿宋" w:eastAsia="仿宋" w:cs="仿宋"/>
          <w:color w:val="auto"/>
          <w:sz w:val="28"/>
          <w:szCs w:val="28"/>
          <w:highlight w:val="none"/>
        </w:rPr>
        <w:t>项目联系人：</w:t>
      </w:r>
      <w:r>
        <w:rPr>
          <w:rFonts w:hint="eastAsia" w:ascii="仿宋" w:hAnsi="仿宋" w:eastAsia="仿宋" w:cs="仿宋"/>
          <w:color w:val="auto"/>
          <w:sz w:val="28"/>
          <w:szCs w:val="28"/>
          <w:highlight w:val="none"/>
          <w:u w:val="single" w:color="auto"/>
          <w:lang w:val="en-US" w:eastAsia="zh-CN"/>
        </w:rPr>
        <w:t>李志鹏、徐川</w:t>
      </w:r>
    </w:p>
    <w:p w14:paraId="4A4FBA8F">
      <w:pPr>
        <w:ind w:left="-199" w:leftChars="-95" w:firstLine="840" w:firstLineChars="300"/>
        <w:jc w:val="left"/>
        <w:rPr>
          <w:rFonts w:hint="default" w:ascii="仿宋" w:hAnsi="仿宋" w:eastAsia="仿宋"/>
          <w:color w:val="auto"/>
          <w:sz w:val="28"/>
          <w:szCs w:val="28"/>
          <w:highlight w:val="none"/>
          <w:u w:val="single"/>
          <w:lang w:val="en-US" w:eastAsia="zh-CN"/>
        </w:rPr>
      </w:pPr>
      <w:r>
        <w:rPr>
          <w:rFonts w:hint="eastAsia" w:ascii="仿宋" w:hAnsi="仿宋" w:eastAsia="仿宋" w:cs="仿宋"/>
          <w:color w:val="auto"/>
          <w:sz w:val="28"/>
          <w:szCs w:val="28"/>
          <w:highlight w:val="none"/>
        </w:rPr>
        <w:t>电　　 话：</w:t>
      </w:r>
      <w:r>
        <w:rPr>
          <w:rFonts w:hint="eastAsia" w:ascii="仿宋" w:hAnsi="仿宋" w:eastAsia="仿宋" w:cs="仿宋"/>
          <w:color w:val="auto"/>
          <w:sz w:val="28"/>
          <w:szCs w:val="28"/>
          <w:highlight w:val="none"/>
          <w:u w:val="single"/>
          <w:lang w:val="en-US" w:eastAsia="zh-CN"/>
        </w:rPr>
        <w:t>18019875672、17755099330</w:t>
      </w:r>
    </w:p>
    <w:p w14:paraId="34659DB7">
      <w:pPr>
        <w:spacing w:before="156" w:beforeLines="50" w:after="156" w:afterLines="50"/>
        <w:ind w:firstLine="643" w:firstLineChars="200"/>
        <w:jc w:val="center"/>
        <w:outlineLvl w:val="0"/>
        <w:rPr>
          <w:rFonts w:hint="eastAsia" w:ascii="宋体"/>
          <w:b/>
          <w:color w:val="auto"/>
          <w:sz w:val="32"/>
          <w:szCs w:val="32"/>
          <w:highlight w:val="none"/>
        </w:rPr>
      </w:pPr>
      <w:r>
        <w:rPr>
          <w:rFonts w:hint="eastAsia" w:ascii="宋体"/>
          <w:b/>
          <w:color w:val="auto"/>
          <w:sz w:val="32"/>
          <w:szCs w:val="32"/>
          <w:highlight w:val="none"/>
        </w:rPr>
        <w:br w:type="page"/>
      </w:r>
      <w:bookmarkStart w:id="22" w:name="_Toc19568"/>
      <w:r>
        <w:rPr>
          <w:rFonts w:hint="eastAsia" w:ascii="宋体"/>
          <w:b/>
          <w:color w:val="auto"/>
          <w:sz w:val="32"/>
          <w:szCs w:val="32"/>
          <w:highlight w:val="none"/>
        </w:rPr>
        <w:t>第二章 投标人须知</w:t>
      </w:r>
      <w:bookmarkEnd w:id="22"/>
    </w:p>
    <w:p w14:paraId="63FF8D08">
      <w:pPr>
        <w:snapToGrid w:val="0"/>
        <w:spacing w:line="500" w:lineRule="exact"/>
        <w:jc w:val="center"/>
        <w:outlineLvl w:val="1"/>
        <w:rPr>
          <w:rFonts w:hint="eastAsia" w:ascii="宋体"/>
          <w:b/>
          <w:color w:val="auto"/>
          <w:sz w:val="28"/>
          <w:szCs w:val="28"/>
          <w:highlight w:val="none"/>
        </w:rPr>
      </w:pPr>
      <w:bookmarkStart w:id="23" w:name="_Toc449028865"/>
      <w:bookmarkStart w:id="24" w:name="_Toc8235"/>
      <w:bookmarkStart w:id="25" w:name="_Toc58430314"/>
      <w:r>
        <w:rPr>
          <w:rFonts w:hint="eastAsia" w:ascii="宋体"/>
          <w:b/>
          <w:color w:val="auto"/>
          <w:sz w:val="32"/>
          <w:szCs w:val="32"/>
          <w:highlight w:val="none"/>
        </w:rPr>
        <w:t>一、</w:t>
      </w:r>
      <w:r>
        <w:rPr>
          <w:rFonts w:hint="eastAsia" w:ascii="宋体"/>
          <w:b/>
          <w:color w:val="auto"/>
          <w:sz w:val="28"/>
          <w:szCs w:val="28"/>
          <w:highlight w:val="none"/>
        </w:rPr>
        <w:t>投标人须知前附表</w:t>
      </w:r>
      <w:bookmarkEnd w:id="23"/>
      <w:bookmarkEnd w:id="24"/>
      <w:bookmarkEnd w:id="25"/>
    </w:p>
    <w:tbl>
      <w:tblPr>
        <w:tblStyle w:val="35"/>
        <w:tblW w:w="10200" w:type="dxa"/>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fixed"/>
        <w:tblCellMar>
          <w:top w:w="0" w:type="dxa"/>
          <w:left w:w="108" w:type="dxa"/>
          <w:bottom w:w="0" w:type="dxa"/>
          <w:right w:w="108" w:type="dxa"/>
        </w:tblCellMar>
      </w:tblPr>
      <w:tblGrid>
        <w:gridCol w:w="1020"/>
        <w:gridCol w:w="2508"/>
        <w:gridCol w:w="6672"/>
      </w:tblGrid>
      <w:tr w14:paraId="56AE0AE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6" w:hRule="atLeast"/>
          <w:jc w:val="center"/>
        </w:trPr>
        <w:tc>
          <w:tcPr>
            <w:tcW w:w="1020" w:type="dxa"/>
            <w:noWrap w:val="0"/>
            <w:vAlign w:val="center"/>
          </w:tcPr>
          <w:p w14:paraId="1ACE9E5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条款号</w:t>
            </w:r>
          </w:p>
        </w:tc>
        <w:tc>
          <w:tcPr>
            <w:tcW w:w="2508" w:type="dxa"/>
            <w:noWrap w:val="0"/>
            <w:vAlign w:val="center"/>
          </w:tcPr>
          <w:p w14:paraId="5BF350D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内容</w:t>
            </w:r>
          </w:p>
        </w:tc>
        <w:tc>
          <w:tcPr>
            <w:tcW w:w="6672" w:type="dxa"/>
            <w:noWrap w:val="0"/>
            <w:vAlign w:val="center"/>
          </w:tcPr>
          <w:p w14:paraId="4BB3F0F8">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说明与要求</w:t>
            </w:r>
          </w:p>
        </w:tc>
      </w:tr>
      <w:tr w14:paraId="44C01DC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281E93F">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5143EBB9">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项目名称</w:t>
            </w:r>
          </w:p>
        </w:tc>
        <w:tc>
          <w:tcPr>
            <w:tcW w:w="6672" w:type="dxa"/>
            <w:noWrap w:val="0"/>
            <w:vAlign w:val="center"/>
          </w:tcPr>
          <w:p w14:paraId="46D56C39">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滁州市城泊车辆服务有限公司资产评估</w:t>
            </w:r>
            <w:r>
              <w:rPr>
                <w:rFonts w:hint="eastAsia" w:hAnsi="宋体" w:cs="宋体"/>
                <w:color w:val="auto"/>
                <w:sz w:val="21"/>
                <w:szCs w:val="21"/>
                <w:highlight w:val="none"/>
                <w:lang w:val="en-US" w:eastAsia="zh-CN"/>
              </w:rPr>
              <w:t>服务</w:t>
            </w:r>
            <w:r>
              <w:rPr>
                <w:rFonts w:hint="eastAsia" w:ascii="宋体" w:hAnsi="宋体" w:eastAsia="宋体" w:cs="宋体"/>
                <w:color w:val="auto"/>
                <w:sz w:val="21"/>
                <w:szCs w:val="21"/>
                <w:highlight w:val="none"/>
                <w:lang w:val="en-US" w:eastAsia="zh-CN"/>
              </w:rPr>
              <w:t>项目</w:t>
            </w:r>
          </w:p>
        </w:tc>
      </w:tr>
      <w:tr w14:paraId="62B04DC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6" w:hRule="atLeast"/>
          <w:jc w:val="center"/>
        </w:trPr>
        <w:tc>
          <w:tcPr>
            <w:tcW w:w="1020" w:type="dxa"/>
            <w:noWrap w:val="0"/>
            <w:vAlign w:val="center"/>
          </w:tcPr>
          <w:p w14:paraId="5EF7851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13FCEC5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期</w:t>
            </w:r>
          </w:p>
        </w:tc>
        <w:tc>
          <w:tcPr>
            <w:tcW w:w="6672" w:type="dxa"/>
            <w:noWrap w:val="0"/>
            <w:vAlign w:val="center"/>
          </w:tcPr>
          <w:p w14:paraId="32211A2B">
            <w:pPr>
              <w:pStyle w:val="21"/>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合同签订后10个工作日提供资产评估报告</w:t>
            </w:r>
          </w:p>
        </w:tc>
      </w:tr>
      <w:tr w14:paraId="40BF1D3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9" w:hRule="atLeast"/>
          <w:jc w:val="center"/>
        </w:trPr>
        <w:tc>
          <w:tcPr>
            <w:tcW w:w="1020" w:type="dxa"/>
            <w:noWrap w:val="0"/>
            <w:vAlign w:val="center"/>
          </w:tcPr>
          <w:p w14:paraId="3CB4AFD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w:t>
            </w:r>
          </w:p>
        </w:tc>
        <w:tc>
          <w:tcPr>
            <w:tcW w:w="2508" w:type="dxa"/>
            <w:noWrap w:val="0"/>
            <w:vAlign w:val="center"/>
          </w:tcPr>
          <w:p w14:paraId="3810D5A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服务</w:t>
            </w:r>
            <w:r>
              <w:rPr>
                <w:rFonts w:hint="eastAsia" w:ascii="宋体" w:hAnsi="宋体" w:eastAsia="宋体" w:cs="宋体"/>
                <w:color w:val="auto"/>
                <w:sz w:val="21"/>
                <w:szCs w:val="21"/>
                <w:highlight w:val="none"/>
              </w:rPr>
              <w:t>地点</w:t>
            </w:r>
          </w:p>
        </w:tc>
        <w:tc>
          <w:tcPr>
            <w:tcW w:w="6672" w:type="dxa"/>
            <w:noWrap w:val="0"/>
            <w:vAlign w:val="center"/>
          </w:tcPr>
          <w:p w14:paraId="5812B676">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指定地点</w:t>
            </w:r>
          </w:p>
        </w:tc>
      </w:tr>
      <w:tr w14:paraId="757A6E8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8" w:hRule="atLeast"/>
          <w:jc w:val="center"/>
        </w:trPr>
        <w:tc>
          <w:tcPr>
            <w:tcW w:w="1020" w:type="dxa"/>
            <w:noWrap w:val="0"/>
            <w:vAlign w:val="center"/>
          </w:tcPr>
          <w:p w14:paraId="50C5B7F0">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0DD8F1B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联系人及电话</w:t>
            </w:r>
          </w:p>
        </w:tc>
        <w:tc>
          <w:tcPr>
            <w:tcW w:w="6672" w:type="dxa"/>
            <w:noWrap w:val="0"/>
            <w:vAlign w:val="center"/>
          </w:tcPr>
          <w:p w14:paraId="0511E431">
            <w:pPr>
              <w:pStyle w:val="18"/>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联系人：李志</w:t>
            </w:r>
            <w:r>
              <w:rPr>
                <w:rFonts w:hint="eastAsia" w:hAnsi="宋体" w:cs="宋体"/>
                <w:color w:val="auto"/>
                <w:sz w:val="21"/>
                <w:szCs w:val="21"/>
                <w:highlight w:val="none"/>
                <w:lang w:val="en-US" w:eastAsia="zh-CN"/>
              </w:rPr>
              <w:t>鹏</w:t>
            </w:r>
            <w:r>
              <w:rPr>
                <w:rFonts w:hint="eastAsia" w:ascii="宋体" w:hAnsi="宋体" w:eastAsia="宋体" w:cs="宋体"/>
                <w:color w:val="auto"/>
                <w:sz w:val="21"/>
                <w:szCs w:val="21"/>
                <w:highlight w:val="none"/>
              </w:rPr>
              <w:t>、徐川</w:t>
            </w:r>
            <w:r>
              <w:rPr>
                <w:rFonts w:hint="eastAsia" w:ascii="宋体" w:hAnsi="宋体" w:eastAsia="宋体" w:cs="宋体"/>
                <w:color w:val="auto"/>
                <w:sz w:val="21"/>
                <w:szCs w:val="21"/>
                <w:highlight w:val="none"/>
                <w:lang w:val="en-US" w:eastAsia="zh-CN"/>
              </w:rPr>
              <w:t>；</w:t>
            </w:r>
            <w:r>
              <w:rPr>
                <w:rFonts w:hint="eastAsia" w:ascii="宋体" w:hAnsi="宋体" w:eastAsia="宋体" w:cs="宋体"/>
                <w:color w:val="auto"/>
                <w:sz w:val="21"/>
                <w:szCs w:val="21"/>
                <w:highlight w:val="none"/>
              </w:rPr>
              <w:t>电话：18019875672、17755099330</w:t>
            </w:r>
          </w:p>
        </w:tc>
      </w:tr>
      <w:tr w14:paraId="23BEA73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63" w:hRule="atLeast"/>
          <w:jc w:val="center"/>
        </w:trPr>
        <w:tc>
          <w:tcPr>
            <w:tcW w:w="1020" w:type="dxa"/>
            <w:noWrap w:val="0"/>
            <w:vAlign w:val="center"/>
          </w:tcPr>
          <w:p w14:paraId="68C3498A">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w:t>
            </w:r>
          </w:p>
        </w:tc>
        <w:tc>
          <w:tcPr>
            <w:tcW w:w="2508" w:type="dxa"/>
            <w:noWrap w:val="0"/>
            <w:vAlign w:val="center"/>
          </w:tcPr>
          <w:p w14:paraId="605A745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采购代理机构联系人及电话</w:t>
            </w:r>
          </w:p>
        </w:tc>
        <w:tc>
          <w:tcPr>
            <w:tcW w:w="6672" w:type="dxa"/>
            <w:noWrap w:val="0"/>
            <w:vAlign w:val="center"/>
          </w:tcPr>
          <w:p w14:paraId="3A15780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eastAsia="zh-CN"/>
              </w:rPr>
            </w:pPr>
            <w:r>
              <w:rPr>
                <w:rFonts w:hint="eastAsia" w:hAnsi="宋体" w:cs="宋体"/>
                <w:color w:val="auto"/>
                <w:sz w:val="21"/>
                <w:szCs w:val="21"/>
                <w:highlight w:val="none"/>
                <w:lang w:val="en-US" w:eastAsia="zh-CN"/>
              </w:rPr>
              <w:t>/</w:t>
            </w:r>
          </w:p>
        </w:tc>
      </w:tr>
      <w:tr w14:paraId="2C674A12">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24429CE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1.3</w:t>
            </w:r>
          </w:p>
        </w:tc>
        <w:tc>
          <w:tcPr>
            <w:tcW w:w="2508" w:type="dxa"/>
            <w:noWrap w:val="0"/>
            <w:vAlign w:val="center"/>
          </w:tcPr>
          <w:p w14:paraId="0B90B69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 xml:space="preserve">资金来源                                                                                                                                                                 </w:t>
            </w:r>
          </w:p>
        </w:tc>
        <w:tc>
          <w:tcPr>
            <w:tcW w:w="6672" w:type="dxa"/>
            <w:noWrap w:val="0"/>
            <w:vAlign w:val="center"/>
          </w:tcPr>
          <w:p w14:paraId="2D12EDE1">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自筹资金</w:t>
            </w:r>
          </w:p>
        </w:tc>
      </w:tr>
      <w:tr w14:paraId="69BA0BA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82" w:hRule="atLeast"/>
          <w:jc w:val="center"/>
        </w:trPr>
        <w:tc>
          <w:tcPr>
            <w:tcW w:w="1020" w:type="dxa"/>
            <w:noWrap w:val="0"/>
            <w:vAlign w:val="center"/>
          </w:tcPr>
          <w:p w14:paraId="55F7E70C">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1.4</w:t>
            </w:r>
          </w:p>
        </w:tc>
        <w:tc>
          <w:tcPr>
            <w:tcW w:w="2508" w:type="dxa"/>
            <w:noWrap w:val="0"/>
            <w:vAlign w:val="center"/>
          </w:tcPr>
          <w:p w14:paraId="064BAD7C">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采购预算</w:t>
            </w:r>
          </w:p>
        </w:tc>
        <w:tc>
          <w:tcPr>
            <w:tcW w:w="6672" w:type="dxa"/>
            <w:noWrap w:val="0"/>
            <w:vAlign w:val="center"/>
          </w:tcPr>
          <w:p w14:paraId="4B6C8123">
            <w:pPr>
              <w:pStyle w:val="18"/>
              <w:keepNext w:val="0"/>
              <w:keepLines w:val="0"/>
              <w:pageBreakBefore w:val="0"/>
              <w:kinsoku/>
              <w:overflowPunct/>
              <w:topLinePunct w:val="0"/>
              <w:autoSpaceDE/>
              <w:autoSpaceDN/>
              <w:bidi w:val="0"/>
              <w:adjustRightInd/>
              <w:spacing w:line="520" w:lineRule="exact"/>
              <w:textAlignment w:val="auto"/>
              <w:rPr>
                <w:rFonts w:hint="default" w:ascii="宋体" w:hAnsi="宋体" w:eastAsia="宋体" w:cs="宋体"/>
                <w:color w:val="auto"/>
                <w:sz w:val="21"/>
                <w:szCs w:val="21"/>
                <w:highlight w:val="none"/>
                <w:lang w:val="en-US" w:eastAsia="zh-CN"/>
              </w:rPr>
            </w:pPr>
            <w:r>
              <w:rPr>
                <w:rFonts w:hint="eastAsia" w:hAnsi="宋体" w:cs="宋体"/>
                <w:color w:val="auto"/>
                <w:sz w:val="21"/>
                <w:szCs w:val="21"/>
                <w:highlight w:val="none"/>
                <w:lang w:val="en-US" w:eastAsia="zh-CN"/>
              </w:rPr>
              <w:t xml:space="preserve">约人民币叁万元；   </w:t>
            </w:r>
          </w:p>
        </w:tc>
      </w:tr>
      <w:tr w14:paraId="6092DC5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0C6A0D2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w:t>
            </w:r>
          </w:p>
        </w:tc>
        <w:tc>
          <w:tcPr>
            <w:tcW w:w="2508" w:type="dxa"/>
            <w:noWrap w:val="0"/>
            <w:vAlign w:val="center"/>
          </w:tcPr>
          <w:p w14:paraId="68B1E92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最高限价</w:t>
            </w:r>
          </w:p>
        </w:tc>
        <w:tc>
          <w:tcPr>
            <w:tcW w:w="6672" w:type="dxa"/>
            <w:noWrap w:val="0"/>
            <w:vAlign w:val="center"/>
          </w:tcPr>
          <w:p w14:paraId="3B31F56A">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hAnsi="宋体" w:cs="宋体"/>
                <w:color w:val="auto"/>
                <w:sz w:val="21"/>
                <w:szCs w:val="21"/>
                <w:highlight w:val="none"/>
                <w:lang w:val="en-US" w:eastAsia="zh-CN"/>
              </w:rPr>
              <w:t>30000.00 元</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含税</w:t>
            </w:r>
            <w:r>
              <w:rPr>
                <w:rFonts w:hint="eastAsia" w:ascii="宋体" w:hAnsi="宋体" w:eastAsia="宋体" w:cs="宋体"/>
                <w:color w:val="auto"/>
                <w:sz w:val="21"/>
                <w:szCs w:val="21"/>
                <w:highlight w:val="none"/>
              </w:rPr>
              <w:t>），投标报价不得高于最高限价，否则将作为无效投标处理。</w:t>
            </w:r>
          </w:p>
        </w:tc>
      </w:tr>
      <w:tr w14:paraId="68315FE4">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90" w:hRule="atLeast"/>
          <w:jc w:val="center"/>
        </w:trPr>
        <w:tc>
          <w:tcPr>
            <w:tcW w:w="1020" w:type="dxa"/>
            <w:noWrap w:val="0"/>
            <w:vAlign w:val="center"/>
          </w:tcPr>
          <w:p w14:paraId="478704C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2.1</w:t>
            </w:r>
          </w:p>
        </w:tc>
        <w:tc>
          <w:tcPr>
            <w:tcW w:w="2508" w:type="dxa"/>
            <w:noWrap w:val="0"/>
            <w:vAlign w:val="center"/>
          </w:tcPr>
          <w:p w14:paraId="6CDD50B4">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采购内容</w:t>
            </w:r>
          </w:p>
        </w:tc>
        <w:tc>
          <w:tcPr>
            <w:tcW w:w="6672" w:type="dxa"/>
            <w:noWrap w:val="0"/>
            <w:vAlign w:val="center"/>
          </w:tcPr>
          <w:p w14:paraId="14F71EB2">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根据招标人需求提供</w:t>
            </w:r>
            <w:r>
              <w:rPr>
                <w:rFonts w:hint="eastAsia" w:hAnsi="宋体" w:cs="宋体"/>
                <w:color w:val="auto"/>
                <w:sz w:val="21"/>
                <w:szCs w:val="21"/>
                <w:highlight w:val="none"/>
                <w:lang w:val="en-US" w:eastAsia="zh-CN"/>
              </w:rPr>
              <w:t>资产</w:t>
            </w:r>
            <w:r>
              <w:rPr>
                <w:rFonts w:hint="eastAsia" w:ascii="宋体" w:hAnsi="宋体" w:eastAsia="宋体" w:cs="宋体"/>
                <w:color w:val="auto"/>
                <w:sz w:val="21"/>
                <w:szCs w:val="21"/>
                <w:highlight w:val="none"/>
                <w:lang w:val="en-US" w:eastAsia="zh-CN"/>
              </w:rPr>
              <w:t>评估报告</w:t>
            </w:r>
          </w:p>
        </w:tc>
      </w:tr>
      <w:tr w14:paraId="1E678A1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32" w:hRule="atLeast"/>
          <w:jc w:val="center"/>
        </w:trPr>
        <w:tc>
          <w:tcPr>
            <w:tcW w:w="1020" w:type="dxa"/>
            <w:noWrap w:val="0"/>
            <w:vAlign w:val="center"/>
          </w:tcPr>
          <w:p w14:paraId="5F9F090D">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3.1</w:t>
            </w:r>
          </w:p>
        </w:tc>
        <w:tc>
          <w:tcPr>
            <w:tcW w:w="2508" w:type="dxa"/>
            <w:noWrap w:val="0"/>
            <w:vAlign w:val="center"/>
          </w:tcPr>
          <w:p w14:paraId="25D27B6B">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标包划分</w:t>
            </w:r>
          </w:p>
        </w:tc>
        <w:tc>
          <w:tcPr>
            <w:tcW w:w="6672" w:type="dxa"/>
            <w:noWrap w:val="0"/>
            <w:vAlign w:val="center"/>
          </w:tcPr>
          <w:p w14:paraId="71A24F0E">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本项目划分为</w:t>
            </w:r>
            <w:r>
              <w:rPr>
                <w:rFonts w:hint="eastAsia" w:ascii="宋体" w:hAnsi="宋体" w:eastAsia="宋体" w:cs="宋体"/>
                <w:color w:val="auto"/>
                <w:sz w:val="21"/>
                <w:szCs w:val="21"/>
                <w:highlight w:val="none"/>
                <w:u w:val="single"/>
              </w:rPr>
              <w:t xml:space="preserve"> 1 </w:t>
            </w:r>
            <w:r>
              <w:rPr>
                <w:rFonts w:hint="eastAsia" w:ascii="宋体" w:hAnsi="宋体" w:eastAsia="宋体" w:cs="宋体"/>
                <w:color w:val="auto"/>
                <w:sz w:val="21"/>
                <w:szCs w:val="21"/>
                <w:highlight w:val="none"/>
              </w:rPr>
              <w:t>个标包</w:t>
            </w:r>
          </w:p>
        </w:tc>
      </w:tr>
      <w:tr w14:paraId="58FF7BB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0" w:hRule="atLeast"/>
          <w:jc w:val="center"/>
        </w:trPr>
        <w:tc>
          <w:tcPr>
            <w:tcW w:w="1020" w:type="dxa"/>
            <w:noWrap w:val="0"/>
            <w:vAlign w:val="center"/>
          </w:tcPr>
          <w:p w14:paraId="09BE4372">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4.1</w:t>
            </w:r>
          </w:p>
        </w:tc>
        <w:tc>
          <w:tcPr>
            <w:tcW w:w="2508" w:type="dxa"/>
            <w:noWrap w:val="0"/>
            <w:vAlign w:val="center"/>
          </w:tcPr>
          <w:p w14:paraId="61DC447A">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招标方式</w:t>
            </w:r>
          </w:p>
        </w:tc>
        <w:tc>
          <w:tcPr>
            <w:tcW w:w="6672" w:type="dxa"/>
            <w:noWrap w:val="0"/>
            <w:vAlign w:val="center"/>
          </w:tcPr>
          <w:p w14:paraId="217B8706">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公开招标</w:t>
            </w:r>
          </w:p>
        </w:tc>
      </w:tr>
      <w:tr w14:paraId="060B4D4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3" w:hRule="atLeast"/>
          <w:jc w:val="center"/>
        </w:trPr>
        <w:tc>
          <w:tcPr>
            <w:tcW w:w="1020" w:type="dxa"/>
            <w:noWrap w:val="0"/>
            <w:vAlign w:val="center"/>
          </w:tcPr>
          <w:p w14:paraId="1E093A89">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7</w:t>
            </w:r>
          </w:p>
        </w:tc>
        <w:tc>
          <w:tcPr>
            <w:tcW w:w="2508" w:type="dxa"/>
            <w:noWrap w:val="0"/>
            <w:vAlign w:val="center"/>
          </w:tcPr>
          <w:p w14:paraId="11CE69F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投标人资格条件及其他要求</w:t>
            </w:r>
          </w:p>
        </w:tc>
        <w:tc>
          <w:tcPr>
            <w:tcW w:w="6672" w:type="dxa"/>
            <w:noWrap w:val="0"/>
            <w:vAlign w:val="center"/>
          </w:tcPr>
          <w:p w14:paraId="773E763C">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3A32103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32E2A2B0">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9.1</w:t>
            </w:r>
          </w:p>
        </w:tc>
        <w:tc>
          <w:tcPr>
            <w:tcW w:w="2508" w:type="dxa"/>
            <w:noWrap w:val="0"/>
            <w:vAlign w:val="center"/>
          </w:tcPr>
          <w:p w14:paraId="7FEB4BB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踏勘现场</w:t>
            </w:r>
          </w:p>
        </w:tc>
        <w:tc>
          <w:tcPr>
            <w:tcW w:w="6672" w:type="dxa"/>
            <w:noWrap w:val="0"/>
            <w:vAlign w:val="center"/>
          </w:tcPr>
          <w:p w14:paraId="1C09ABA4">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不组织</w:t>
            </w:r>
            <w:r>
              <w:rPr>
                <w:rFonts w:hint="eastAsia" w:hAnsi="宋体" w:cs="宋体"/>
                <w:color w:val="auto"/>
                <w:sz w:val="21"/>
                <w:szCs w:val="21"/>
                <w:highlight w:val="none"/>
                <w:lang w:eastAsia="zh-CN"/>
              </w:rPr>
              <w:t>，</w:t>
            </w:r>
            <w:r>
              <w:rPr>
                <w:rFonts w:hint="eastAsia" w:ascii="宋体" w:hAnsi="宋体" w:eastAsia="宋体" w:cs="宋体"/>
                <w:color w:val="auto"/>
                <w:sz w:val="21"/>
                <w:szCs w:val="21"/>
                <w:highlight w:val="none"/>
              </w:rPr>
              <w:t>投标人自行踏勘现场</w:t>
            </w:r>
          </w:p>
        </w:tc>
      </w:tr>
      <w:tr w14:paraId="4F2D195C">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6018CE5B">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10.1</w:t>
            </w:r>
          </w:p>
        </w:tc>
        <w:tc>
          <w:tcPr>
            <w:tcW w:w="2508" w:type="dxa"/>
            <w:noWrap w:val="0"/>
            <w:vAlign w:val="center"/>
          </w:tcPr>
          <w:p w14:paraId="76922355">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投标预备会</w:t>
            </w:r>
          </w:p>
        </w:tc>
        <w:tc>
          <w:tcPr>
            <w:tcW w:w="6672" w:type="dxa"/>
            <w:noWrap w:val="0"/>
            <w:vAlign w:val="center"/>
          </w:tcPr>
          <w:p w14:paraId="358BEE0C">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不召开</w:t>
            </w:r>
          </w:p>
        </w:tc>
      </w:tr>
      <w:tr w14:paraId="12DDFF8E">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27" w:hRule="atLeast"/>
          <w:jc w:val="center"/>
        </w:trPr>
        <w:tc>
          <w:tcPr>
            <w:tcW w:w="1020" w:type="dxa"/>
            <w:noWrap w:val="0"/>
            <w:vAlign w:val="center"/>
          </w:tcPr>
          <w:p w14:paraId="79286DF4">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11.1</w:t>
            </w:r>
          </w:p>
        </w:tc>
        <w:tc>
          <w:tcPr>
            <w:tcW w:w="2508" w:type="dxa"/>
            <w:noWrap w:val="0"/>
            <w:vAlign w:val="center"/>
          </w:tcPr>
          <w:p w14:paraId="5DB96C6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联合体投标</w:t>
            </w:r>
          </w:p>
        </w:tc>
        <w:tc>
          <w:tcPr>
            <w:tcW w:w="6672" w:type="dxa"/>
            <w:noWrap w:val="0"/>
            <w:vAlign w:val="center"/>
          </w:tcPr>
          <w:p w14:paraId="4D987695">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064F407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58" w:hRule="atLeast"/>
          <w:jc w:val="center"/>
        </w:trPr>
        <w:tc>
          <w:tcPr>
            <w:tcW w:w="1020" w:type="dxa"/>
            <w:noWrap w:val="0"/>
            <w:vAlign w:val="center"/>
          </w:tcPr>
          <w:p w14:paraId="3CF2652B">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12.1</w:t>
            </w:r>
          </w:p>
        </w:tc>
        <w:tc>
          <w:tcPr>
            <w:tcW w:w="2508" w:type="dxa"/>
            <w:noWrap w:val="0"/>
            <w:vAlign w:val="center"/>
          </w:tcPr>
          <w:p w14:paraId="75E5DD4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招标代理费</w:t>
            </w:r>
            <w:r>
              <w:rPr>
                <w:rFonts w:hint="eastAsia" w:ascii="宋体" w:hAnsi="宋体" w:eastAsia="宋体" w:cs="宋体"/>
                <w:color w:val="auto"/>
                <w:sz w:val="21"/>
                <w:szCs w:val="21"/>
                <w:highlight w:val="none"/>
                <w:lang w:val="en-US" w:eastAsia="zh-CN"/>
              </w:rPr>
              <w:t>及其他费用</w:t>
            </w:r>
          </w:p>
        </w:tc>
        <w:tc>
          <w:tcPr>
            <w:tcW w:w="6672" w:type="dxa"/>
            <w:noWrap w:val="0"/>
            <w:vAlign w:val="center"/>
          </w:tcPr>
          <w:p w14:paraId="6DF7E566">
            <w:pPr>
              <w:pStyle w:val="34"/>
              <w:keepNext w:val="0"/>
              <w:keepLines w:val="0"/>
              <w:pageBreakBefore w:val="0"/>
              <w:kinsoku/>
              <w:overflowPunct/>
              <w:topLinePunct w:val="0"/>
              <w:autoSpaceDE/>
              <w:autoSpaceDN/>
              <w:bidi w:val="0"/>
              <w:adjustRightInd/>
              <w:spacing w:after="0" w:line="520" w:lineRule="exact"/>
              <w:ind w:left="0" w:leftChars="0" w:firstLine="0" w:firstLineChars="0"/>
              <w:textAlignment w:val="auto"/>
              <w:rPr>
                <w:rFonts w:hint="eastAsia" w:ascii="宋体" w:hAnsi="宋体" w:eastAsia="宋体" w:cs="宋体"/>
                <w:sz w:val="21"/>
                <w:szCs w:val="21"/>
                <w:highlight w:val="none"/>
                <w:lang w:val="en-US" w:eastAsia="zh-CN"/>
              </w:rPr>
            </w:pPr>
            <w:r>
              <w:rPr>
                <w:rFonts w:hint="eastAsia" w:ascii="宋体" w:hAnsi="宋体" w:cs="宋体"/>
                <w:color w:val="auto"/>
                <w:sz w:val="21"/>
                <w:szCs w:val="21"/>
                <w:highlight w:val="none"/>
                <w:lang w:val="en-US" w:eastAsia="zh-CN"/>
              </w:rPr>
              <w:t>/</w:t>
            </w:r>
          </w:p>
        </w:tc>
      </w:tr>
      <w:tr w14:paraId="13D32F3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5E5A0FB4">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15.4</w:t>
            </w:r>
          </w:p>
        </w:tc>
        <w:tc>
          <w:tcPr>
            <w:tcW w:w="2508" w:type="dxa"/>
            <w:noWrap w:val="0"/>
            <w:vAlign w:val="center"/>
          </w:tcPr>
          <w:p w14:paraId="6787E22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澄清的方式</w:t>
            </w:r>
          </w:p>
        </w:tc>
        <w:tc>
          <w:tcPr>
            <w:tcW w:w="6672" w:type="dxa"/>
            <w:noWrap w:val="0"/>
            <w:vAlign w:val="center"/>
          </w:tcPr>
          <w:p w14:paraId="0E424F14">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rPr>
            </w:pPr>
            <w:r>
              <w:rPr>
                <w:rFonts w:hint="eastAsia" w:ascii="宋体" w:hAnsi="宋体" w:eastAsia="宋体" w:cs="宋体"/>
                <w:color w:val="auto"/>
                <w:sz w:val="21"/>
                <w:szCs w:val="21"/>
                <w:highlight w:val="none"/>
                <w:lang w:val="en-US" w:eastAsia="zh-CN"/>
              </w:rPr>
              <w:t>招标人将于202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18</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12</w:t>
            </w:r>
            <w:r>
              <w:rPr>
                <w:rFonts w:hint="eastAsia" w:ascii="宋体" w:hAnsi="宋体" w:eastAsia="宋体" w:cs="宋体"/>
                <w:color w:val="auto"/>
                <w:sz w:val="21"/>
                <w:szCs w:val="21"/>
                <w:highlight w:val="none"/>
                <w:lang w:val="en-US" w:eastAsia="zh-CN"/>
              </w:rPr>
              <w:t>时后，</w:t>
            </w:r>
            <w:r>
              <w:rPr>
                <w:rFonts w:hint="eastAsia" w:ascii="宋体" w:hAnsi="宋体" w:eastAsia="宋体" w:cs="宋体"/>
                <w:color w:val="auto"/>
                <w:sz w:val="21"/>
                <w:szCs w:val="21"/>
                <w:highlight w:val="none"/>
              </w:rPr>
              <w:t>以更正公告形式</w:t>
            </w:r>
            <w:r>
              <w:rPr>
                <w:rFonts w:hint="eastAsia" w:ascii="宋体" w:hAnsi="宋体" w:eastAsia="宋体" w:cs="宋体"/>
                <w:color w:val="auto"/>
                <w:sz w:val="21"/>
                <w:szCs w:val="21"/>
                <w:highlight w:val="none"/>
                <w:lang w:val="en-US" w:eastAsia="zh-CN"/>
              </w:rPr>
              <w:t>在滁州市扬子工业投资集团有限公司官网（https://czyzgtjt.com/）予以公布。</w:t>
            </w:r>
          </w:p>
        </w:tc>
      </w:tr>
      <w:tr w14:paraId="1D645AB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293122E6">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22.1</w:t>
            </w:r>
          </w:p>
        </w:tc>
        <w:tc>
          <w:tcPr>
            <w:tcW w:w="2508" w:type="dxa"/>
            <w:noWrap w:val="0"/>
            <w:vAlign w:val="center"/>
          </w:tcPr>
          <w:p w14:paraId="1D59A448">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w:t>
            </w:r>
          </w:p>
        </w:tc>
        <w:tc>
          <w:tcPr>
            <w:tcW w:w="6672" w:type="dxa"/>
            <w:noWrap w:val="0"/>
            <w:vAlign w:val="center"/>
          </w:tcPr>
          <w:p w14:paraId="615A471B">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投标有效期为</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u w:val="single"/>
                <w:lang w:val="en-US" w:eastAsia="zh-CN"/>
              </w:rPr>
              <w:t>60</w:t>
            </w:r>
            <w:r>
              <w:rPr>
                <w:rFonts w:hint="eastAsia" w:ascii="宋体" w:hAnsi="宋体" w:eastAsia="宋体" w:cs="宋体"/>
                <w:color w:val="auto"/>
                <w:sz w:val="21"/>
                <w:szCs w:val="21"/>
                <w:highlight w:val="none"/>
                <w:u w:val="single"/>
              </w:rPr>
              <w:t xml:space="preserve"> </w:t>
            </w:r>
            <w:r>
              <w:rPr>
                <w:rFonts w:hint="eastAsia" w:ascii="宋体" w:hAnsi="宋体" w:eastAsia="宋体" w:cs="宋体"/>
                <w:color w:val="auto"/>
                <w:sz w:val="21"/>
                <w:szCs w:val="21"/>
                <w:highlight w:val="none"/>
              </w:rPr>
              <w:t>日历天（从投标截止之日算起）。在此期限内，凡符合本招标文件要求的投标文件均保持有效。</w:t>
            </w:r>
          </w:p>
        </w:tc>
      </w:tr>
      <w:tr w14:paraId="504B45C0">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90" w:hRule="atLeast"/>
          <w:jc w:val="center"/>
        </w:trPr>
        <w:tc>
          <w:tcPr>
            <w:tcW w:w="1020" w:type="dxa"/>
            <w:noWrap w:val="0"/>
            <w:vAlign w:val="center"/>
          </w:tcPr>
          <w:p w14:paraId="5ACB8AE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23</w:t>
            </w:r>
          </w:p>
        </w:tc>
        <w:tc>
          <w:tcPr>
            <w:tcW w:w="2508" w:type="dxa"/>
            <w:noWrap w:val="0"/>
            <w:vAlign w:val="center"/>
          </w:tcPr>
          <w:p w14:paraId="1063505F">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投标保证金</w:t>
            </w:r>
          </w:p>
        </w:tc>
        <w:tc>
          <w:tcPr>
            <w:tcW w:w="6672" w:type="dxa"/>
            <w:noWrap w:val="0"/>
            <w:vAlign w:val="top"/>
          </w:tcPr>
          <w:p w14:paraId="742D35F8">
            <w:pPr>
              <w:keepNext w:val="0"/>
              <w:keepLines w:val="0"/>
              <w:pageBreakBefore w:val="0"/>
              <w:widowControl/>
              <w:shd w:val="clear" w:color="auto" w:fill="FFFFFF"/>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具体详见招标公告</w:t>
            </w:r>
          </w:p>
        </w:tc>
      </w:tr>
      <w:tr w14:paraId="082BC89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18" w:hRule="atLeast"/>
          <w:jc w:val="center"/>
        </w:trPr>
        <w:tc>
          <w:tcPr>
            <w:tcW w:w="1020" w:type="dxa"/>
            <w:noWrap w:val="0"/>
            <w:vAlign w:val="center"/>
          </w:tcPr>
          <w:p w14:paraId="7CEFC787">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24.1</w:t>
            </w:r>
          </w:p>
        </w:tc>
        <w:tc>
          <w:tcPr>
            <w:tcW w:w="2508" w:type="dxa"/>
            <w:noWrap w:val="0"/>
            <w:vAlign w:val="center"/>
          </w:tcPr>
          <w:p w14:paraId="24352CD1">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投标文件数量</w:t>
            </w:r>
          </w:p>
        </w:tc>
        <w:tc>
          <w:tcPr>
            <w:tcW w:w="6672" w:type="dxa"/>
            <w:noWrap w:val="0"/>
            <w:vAlign w:val="center"/>
          </w:tcPr>
          <w:p w14:paraId="32126ECE">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b/>
                <w:color w:val="auto"/>
                <w:kern w:val="0"/>
                <w:sz w:val="21"/>
                <w:szCs w:val="21"/>
                <w:highlight w:val="none"/>
                <w:lang w:val="en-US" w:eastAsia="zh-CN"/>
              </w:rPr>
            </w:pPr>
            <w:r>
              <w:rPr>
                <w:rFonts w:hint="eastAsia" w:ascii="宋体" w:hAnsi="宋体" w:eastAsia="宋体" w:cs="宋体"/>
                <w:b/>
                <w:color w:val="auto"/>
                <w:kern w:val="0"/>
                <w:sz w:val="21"/>
                <w:szCs w:val="21"/>
                <w:highlight w:val="none"/>
              </w:rPr>
              <w:t>正本</w:t>
            </w:r>
            <w:r>
              <w:rPr>
                <w:rFonts w:hint="eastAsia" w:ascii="宋体" w:hAnsi="宋体" w:eastAsia="宋体" w:cs="宋体"/>
                <w:b/>
                <w:color w:val="auto"/>
                <w:kern w:val="0"/>
                <w:sz w:val="21"/>
                <w:szCs w:val="21"/>
                <w:highlight w:val="none"/>
                <w:u w:val="single"/>
              </w:rPr>
              <w:t xml:space="preserve"> 1 </w:t>
            </w:r>
            <w:r>
              <w:rPr>
                <w:rFonts w:hint="eastAsia" w:ascii="宋体" w:hAnsi="宋体" w:eastAsia="宋体" w:cs="宋体"/>
                <w:b/>
                <w:color w:val="auto"/>
                <w:kern w:val="0"/>
                <w:sz w:val="21"/>
                <w:szCs w:val="21"/>
                <w:highlight w:val="none"/>
              </w:rPr>
              <w:t>份，副本</w:t>
            </w:r>
            <w:r>
              <w:rPr>
                <w:rFonts w:hint="eastAsia" w:ascii="宋体" w:hAnsi="宋体" w:eastAsia="宋体" w:cs="宋体"/>
                <w:b/>
                <w:color w:val="auto"/>
                <w:kern w:val="0"/>
                <w:sz w:val="21"/>
                <w:szCs w:val="21"/>
                <w:highlight w:val="none"/>
                <w:u w:val="single"/>
              </w:rPr>
              <w:t xml:space="preserve"> </w:t>
            </w:r>
            <w:r>
              <w:rPr>
                <w:rFonts w:hint="eastAsia" w:ascii="宋体" w:hAnsi="宋体" w:eastAsia="宋体" w:cs="宋体"/>
                <w:b/>
                <w:color w:val="auto"/>
                <w:kern w:val="0"/>
                <w:sz w:val="21"/>
                <w:szCs w:val="21"/>
                <w:highlight w:val="none"/>
                <w:u w:val="single"/>
                <w:lang w:val="en-US" w:eastAsia="zh-CN"/>
              </w:rPr>
              <w:t>2</w:t>
            </w:r>
            <w:r>
              <w:rPr>
                <w:rFonts w:hint="eastAsia" w:ascii="宋体" w:hAnsi="宋体" w:eastAsia="宋体" w:cs="宋体"/>
                <w:b/>
                <w:color w:val="auto"/>
                <w:kern w:val="0"/>
                <w:sz w:val="21"/>
                <w:szCs w:val="21"/>
                <w:highlight w:val="none"/>
              </w:rPr>
              <w:t>份</w:t>
            </w:r>
            <w:r>
              <w:rPr>
                <w:rFonts w:hint="eastAsia" w:ascii="宋体" w:hAnsi="宋体" w:eastAsia="宋体" w:cs="宋体"/>
                <w:b/>
                <w:color w:val="auto"/>
                <w:kern w:val="0"/>
                <w:sz w:val="21"/>
                <w:szCs w:val="21"/>
                <w:highlight w:val="none"/>
                <w:lang w:eastAsia="zh-CN"/>
              </w:rPr>
              <w:t>。</w:t>
            </w:r>
            <w:r>
              <w:rPr>
                <w:rFonts w:hint="eastAsia" w:ascii="宋体" w:hAnsi="宋体" w:eastAsia="宋体" w:cs="宋体"/>
                <w:b/>
                <w:color w:val="auto"/>
                <w:kern w:val="0"/>
                <w:sz w:val="21"/>
                <w:szCs w:val="21"/>
                <w:highlight w:val="none"/>
                <w:lang w:val="en-US" w:eastAsia="zh-CN"/>
              </w:rPr>
              <w:t>投标文件按顺序装订并密封。</w:t>
            </w:r>
          </w:p>
          <w:p w14:paraId="7A683995">
            <w:pPr>
              <w:keepNext w:val="0"/>
              <w:keepLines w:val="0"/>
              <w:pageBreakBefore w:val="0"/>
              <w:widowControl/>
              <w:kinsoku/>
              <w:overflowPunct/>
              <w:topLinePunct w:val="0"/>
              <w:autoSpaceDE/>
              <w:autoSpaceDN/>
              <w:bidi w:val="0"/>
              <w:adjustRightInd/>
              <w:spacing w:line="520" w:lineRule="exact"/>
              <w:ind w:firstLine="89" w:firstLineChars="42"/>
              <w:jc w:val="left"/>
              <w:textAlignment w:val="auto"/>
              <w:rPr>
                <w:rFonts w:hint="eastAsia" w:ascii="宋体" w:hAnsi="宋体" w:eastAsia="宋体" w:cs="宋体"/>
                <w:color w:val="auto"/>
                <w:sz w:val="21"/>
                <w:szCs w:val="21"/>
                <w:highlight w:val="none"/>
                <w:lang w:val="en-US" w:eastAsia="zh-CN"/>
              </w:rPr>
            </w:pPr>
            <w:r>
              <w:rPr>
                <w:rFonts w:hint="eastAsia" w:ascii="宋体" w:hAnsi="宋体" w:cs="宋体"/>
                <w:b/>
                <w:color w:val="auto"/>
                <w:kern w:val="0"/>
                <w:sz w:val="21"/>
                <w:szCs w:val="21"/>
                <w:highlight w:val="none"/>
                <w:lang w:val="en-US" w:eastAsia="zh-CN"/>
              </w:rPr>
              <w:t>投标</w:t>
            </w:r>
            <w:r>
              <w:rPr>
                <w:rFonts w:hint="eastAsia" w:ascii="宋体" w:hAnsi="宋体" w:eastAsia="宋体" w:cs="宋体"/>
                <w:b/>
                <w:color w:val="auto"/>
                <w:kern w:val="0"/>
                <w:sz w:val="21"/>
                <w:szCs w:val="21"/>
                <w:highlight w:val="none"/>
                <w:lang w:val="en-US" w:eastAsia="zh-CN"/>
              </w:rPr>
              <w:t>文件正副本密封在</w:t>
            </w:r>
            <w:r>
              <w:rPr>
                <w:rFonts w:hint="eastAsia" w:ascii="宋体" w:hAnsi="宋体" w:cs="宋体"/>
                <w:b/>
                <w:color w:val="auto"/>
                <w:kern w:val="0"/>
                <w:sz w:val="21"/>
                <w:szCs w:val="21"/>
                <w:highlight w:val="none"/>
                <w:lang w:val="en-US" w:eastAsia="zh-CN"/>
              </w:rPr>
              <w:t>投标</w:t>
            </w:r>
            <w:r>
              <w:rPr>
                <w:rFonts w:hint="eastAsia" w:ascii="宋体" w:hAnsi="宋体" w:eastAsia="宋体" w:cs="宋体"/>
                <w:b/>
                <w:color w:val="auto"/>
                <w:kern w:val="0"/>
                <w:sz w:val="21"/>
                <w:szCs w:val="21"/>
                <w:highlight w:val="none"/>
                <w:lang w:val="en-US" w:eastAsia="zh-CN"/>
              </w:rPr>
              <w:t>文件档案袋中。</w:t>
            </w:r>
          </w:p>
        </w:tc>
      </w:tr>
      <w:tr w14:paraId="72BA4CC8">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1859914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24.2</w:t>
            </w:r>
          </w:p>
        </w:tc>
        <w:tc>
          <w:tcPr>
            <w:tcW w:w="2508" w:type="dxa"/>
            <w:noWrap w:val="0"/>
            <w:vAlign w:val="center"/>
          </w:tcPr>
          <w:p w14:paraId="345E1EB0">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签字或盖章要求</w:t>
            </w:r>
          </w:p>
        </w:tc>
        <w:tc>
          <w:tcPr>
            <w:tcW w:w="6672" w:type="dxa"/>
            <w:noWrap w:val="0"/>
            <w:vAlign w:val="center"/>
          </w:tcPr>
          <w:p w14:paraId="127821E8">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b w:val="0"/>
                <w:bCs/>
                <w:color w:val="auto"/>
                <w:kern w:val="0"/>
                <w:sz w:val="21"/>
                <w:szCs w:val="21"/>
                <w:highlight w:val="none"/>
              </w:rPr>
              <w:t>投标文件须按格式文件要求签字或盖章，否则经评委会一致认定后，按照无效投标处理。</w:t>
            </w:r>
          </w:p>
        </w:tc>
      </w:tr>
      <w:tr w14:paraId="70A3417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73" w:hRule="atLeast"/>
          <w:jc w:val="center"/>
        </w:trPr>
        <w:tc>
          <w:tcPr>
            <w:tcW w:w="1020" w:type="dxa"/>
            <w:noWrap w:val="0"/>
            <w:vAlign w:val="center"/>
          </w:tcPr>
          <w:p w14:paraId="37E039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25.1</w:t>
            </w:r>
          </w:p>
        </w:tc>
        <w:tc>
          <w:tcPr>
            <w:tcW w:w="2508" w:type="dxa"/>
            <w:noWrap w:val="0"/>
            <w:vAlign w:val="center"/>
          </w:tcPr>
          <w:p w14:paraId="3BC5F71A">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投标文件提交截止时间</w:t>
            </w:r>
          </w:p>
        </w:tc>
        <w:tc>
          <w:tcPr>
            <w:tcW w:w="6672" w:type="dxa"/>
            <w:noWrap w:val="0"/>
            <w:vAlign w:val="center"/>
          </w:tcPr>
          <w:p w14:paraId="13CD7D4E">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b/>
                <w:bCs/>
                <w:color w:val="auto"/>
                <w:sz w:val="21"/>
                <w:szCs w:val="21"/>
                <w:highlight w:val="none"/>
              </w:rPr>
              <w:t>202</w:t>
            </w:r>
            <w:r>
              <w:rPr>
                <w:rFonts w:hint="eastAsia" w:ascii="宋体" w:hAnsi="宋体" w:cs="宋体"/>
                <w:b/>
                <w:bCs/>
                <w:color w:val="auto"/>
                <w:sz w:val="21"/>
                <w:szCs w:val="21"/>
                <w:highlight w:val="none"/>
                <w:lang w:val="en-US" w:eastAsia="zh-CN"/>
              </w:rPr>
              <w:t>5</w:t>
            </w:r>
            <w:r>
              <w:rPr>
                <w:rFonts w:hint="eastAsia" w:ascii="宋体" w:hAnsi="宋体" w:eastAsia="宋体" w:cs="宋体"/>
                <w:b/>
                <w:bCs/>
                <w:color w:val="auto"/>
                <w:sz w:val="21"/>
                <w:szCs w:val="21"/>
                <w:highlight w:val="none"/>
              </w:rPr>
              <w:t>年</w:t>
            </w:r>
            <w:r>
              <w:rPr>
                <w:rFonts w:hint="eastAsia" w:ascii="宋体" w:hAnsi="宋体" w:cs="宋体"/>
                <w:b/>
                <w:bCs/>
                <w:color w:val="auto"/>
                <w:sz w:val="21"/>
                <w:szCs w:val="21"/>
                <w:highlight w:val="none"/>
                <w:lang w:val="en-US" w:eastAsia="zh-CN"/>
              </w:rPr>
              <w:t>7</w:t>
            </w:r>
            <w:r>
              <w:rPr>
                <w:rFonts w:hint="eastAsia" w:ascii="宋体" w:hAnsi="宋体" w:eastAsia="宋体" w:cs="宋体"/>
                <w:b/>
                <w:bCs/>
                <w:color w:val="auto"/>
                <w:sz w:val="21"/>
                <w:szCs w:val="21"/>
                <w:highlight w:val="none"/>
              </w:rPr>
              <w:t>月</w:t>
            </w:r>
            <w:r>
              <w:rPr>
                <w:rFonts w:hint="eastAsia" w:ascii="宋体" w:hAnsi="宋体" w:cs="宋体"/>
                <w:b/>
                <w:bCs/>
                <w:color w:val="auto"/>
                <w:sz w:val="21"/>
                <w:szCs w:val="21"/>
                <w:highlight w:val="none"/>
                <w:lang w:val="en-US" w:eastAsia="zh-CN"/>
              </w:rPr>
              <w:t>21</w:t>
            </w:r>
            <w:r>
              <w:rPr>
                <w:rFonts w:hint="eastAsia" w:ascii="宋体" w:hAnsi="宋体" w:eastAsia="宋体" w:cs="宋体"/>
                <w:b/>
                <w:bCs/>
                <w:color w:val="auto"/>
                <w:sz w:val="21"/>
                <w:szCs w:val="21"/>
                <w:highlight w:val="none"/>
              </w:rPr>
              <w:t>日</w:t>
            </w:r>
            <w:r>
              <w:rPr>
                <w:rFonts w:hint="eastAsia" w:ascii="宋体" w:hAnsi="宋体" w:cs="宋体"/>
                <w:b/>
                <w:bCs/>
                <w:color w:val="auto"/>
                <w:sz w:val="21"/>
                <w:szCs w:val="21"/>
                <w:highlight w:val="none"/>
                <w:lang w:val="en-US" w:eastAsia="zh-CN"/>
              </w:rPr>
              <w:t>15</w:t>
            </w:r>
            <w:r>
              <w:rPr>
                <w:rFonts w:hint="eastAsia" w:ascii="宋体" w:hAnsi="宋体" w:eastAsia="宋体" w:cs="宋体"/>
                <w:b/>
                <w:bCs/>
                <w:color w:val="auto"/>
                <w:sz w:val="21"/>
                <w:szCs w:val="21"/>
                <w:highlight w:val="none"/>
              </w:rPr>
              <w:t>时</w:t>
            </w:r>
            <w:r>
              <w:rPr>
                <w:rFonts w:hint="eastAsia" w:ascii="宋体" w:hAnsi="宋体" w:cs="宋体"/>
                <w:b/>
                <w:bCs/>
                <w:color w:val="auto"/>
                <w:sz w:val="21"/>
                <w:szCs w:val="21"/>
                <w:highlight w:val="none"/>
                <w:lang w:val="en-US" w:eastAsia="zh-CN"/>
              </w:rPr>
              <w:t>00</w:t>
            </w:r>
            <w:r>
              <w:rPr>
                <w:rFonts w:hint="eastAsia" w:ascii="宋体" w:hAnsi="宋体" w:eastAsia="宋体" w:cs="宋体"/>
                <w:b/>
                <w:bCs/>
                <w:color w:val="auto"/>
                <w:sz w:val="21"/>
                <w:szCs w:val="21"/>
                <w:highlight w:val="none"/>
              </w:rPr>
              <w:t>分（北京时间）</w:t>
            </w:r>
          </w:p>
        </w:tc>
      </w:tr>
      <w:tr w14:paraId="568F74F5">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93" w:hRule="atLeast"/>
          <w:jc w:val="center"/>
        </w:trPr>
        <w:tc>
          <w:tcPr>
            <w:tcW w:w="1020" w:type="dxa"/>
            <w:noWrap w:val="0"/>
            <w:vAlign w:val="center"/>
          </w:tcPr>
          <w:p w14:paraId="560C40AB">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26.1</w:t>
            </w:r>
          </w:p>
        </w:tc>
        <w:tc>
          <w:tcPr>
            <w:tcW w:w="2508" w:type="dxa"/>
            <w:noWrap w:val="0"/>
            <w:vAlign w:val="center"/>
          </w:tcPr>
          <w:p w14:paraId="719AA11E">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是否退还投标文件</w:t>
            </w:r>
          </w:p>
        </w:tc>
        <w:tc>
          <w:tcPr>
            <w:tcW w:w="6672" w:type="dxa"/>
            <w:noWrap w:val="0"/>
            <w:vAlign w:val="center"/>
          </w:tcPr>
          <w:p w14:paraId="516E23ED">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否</w:t>
            </w:r>
          </w:p>
        </w:tc>
      </w:tr>
      <w:tr w14:paraId="6C9112F9">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41699D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27.1</w:t>
            </w:r>
          </w:p>
        </w:tc>
        <w:tc>
          <w:tcPr>
            <w:tcW w:w="2508" w:type="dxa"/>
            <w:noWrap w:val="0"/>
            <w:vAlign w:val="center"/>
          </w:tcPr>
          <w:p w14:paraId="19782E8B">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开标时间及地点</w:t>
            </w:r>
          </w:p>
        </w:tc>
        <w:tc>
          <w:tcPr>
            <w:tcW w:w="6672" w:type="dxa"/>
            <w:noWrap w:val="0"/>
            <w:vAlign w:val="center"/>
          </w:tcPr>
          <w:p w14:paraId="50C80A26">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详见第一章“招标公告”</w:t>
            </w:r>
          </w:p>
        </w:tc>
      </w:tr>
      <w:tr w14:paraId="236EEE27">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26" w:hRule="atLeast"/>
          <w:jc w:val="center"/>
        </w:trPr>
        <w:tc>
          <w:tcPr>
            <w:tcW w:w="1020" w:type="dxa"/>
            <w:noWrap w:val="0"/>
            <w:vAlign w:val="center"/>
          </w:tcPr>
          <w:p w14:paraId="1AA68052">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27.3</w:t>
            </w:r>
          </w:p>
        </w:tc>
        <w:tc>
          <w:tcPr>
            <w:tcW w:w="2508" w:type="dxa"/>
            <w:noWrap w:val="0"/>
            <w:vAlign w:val="center"/>
          </w:tcPr>
          <w:p w14:paraId="050AF5D1">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开标程序</w:t>
            </w:r>
          </w:p>
        </w:tc>
        <w:tc>
          <w:tcPr>
            <w:tcW w:w="6672" w:type="dxa"/>
            <w:noWrap w:val="0"/>
            <w:vAlign w:val="center"/>
          </w:tcPr>
          <w:p w14:paraId="5DF80CF5">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开标顺序：</w:t>
            </w:r>
            <w:r>
              <w:rPr>
                <w:rFonts w:hint="eastAsia" w:ascii="宋体" w:hAnsi="宋体" w:eastAsia="宋体" w:cs="宋体"/>
                <w:color w:val="auto"/>
                <w:sz w:val="21"/>
                <w:szCs w:val="21"/>
                <w:highlight w:val="none"/>
                <w:lang w:val="en-US" w:eastAsia="zh-CN"/>
              </w:rPr>
              <w:t>先资格审查</w:t>
            </w:r>
            <w:r>
              <w:rPr>
                <w:rFonts w:hint="eastAsia" w:ascii="宋体" w:hAnsi="宋体" w:eastAsia="宋体" w:cs="宋体"/>
                <w:color w:val="auto"/>
                <w:sz w:val="21"/>
                <w:szCs w:val="21"/>
                <w:highlight w:val="none"/>
              </w:rPr>
              <w:t>，</w:t>
            </w:r>
            <w:r>
              <w:rPr>
                <w:rFonts w:hint="eastAsia" w:ascii="宋体" w:hAnsi="宋体" w:eastAsia="宋体" w:cs="宋体"/>
                <w:color w:val="auto"/>
                <w:sz w:val="21"/>
                <w:szCs w:val="21"/>
                <w:highlight w:val="none"/>
                <w:lang w:val="en-US" w:eastAsia="zh-CN"/>
              </w:rPr>
              <w:t>再进行评审。</w:t>
            </w:r>
          </w:p>
        </w:tc>
      </w:tr>
      <w:tr w14:paraId="6A12EE51">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04" w:hRule="atLeast"/>
          <w:jc w:val="center"/>
        </w:trPr>
        <w:tc>
          <w:tcPr>
            <w:tcW w:w="1020" w:type="dxa"/>
            <w:noWrap w:val="0"/>
            <w:vAlign w:val="center"/>
          </w:tcPr>
          <w:p w14:paraId="7E6D43FE">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28.1</w:t>
            </w:r>
          </w:p>
        </w:tc>
        <w:tc>
          <w:tcPr>
            <w:tcW w:w="2508" w:type="dxa"/>
            <w:noWrap w:val="0"/>
            <w:vAlign w:val="center"/>
          </w:tcPr>
          <w:p w14:paraId="207C4547">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评标委员会的组建</w:t>
            </w:r>
          </w:p>
        </w:tc>
        <w:tc>
          <w:tcPr>
            <w:tcW w:w="6672" w:type="dxa"/>
            <w:noWrap w:val="0"/>
            <w:vAlign w:val="top"/>
          </w:tcPr>
          <w:p w14:paraId="266A046A">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招标人依法组建。</w:t>
            </w:r>
          </w:p>
        </w:tc>
      </w:tr>
      <w:tr w14:paraId="4F4B1B26">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94" w:hRule="atLeast"/>
          <w:jc w:val="center"/>
        </w:trPr>
        <w:tc>
          <w:tcPr>
            <w:tcW w:w="1020" w:type="dxa"/>
            <w:noWrap w:val="0"/>
            <w:vAlign w:val="center"/>
          </w:tcPr>
          <w:p w14:paraId="74DF9AF5">
            <w:pPr>
              <w:pStyle w:val="18"/>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30.1.1</w:t>
            </w:r>
          </w:p>
        </w:tc>
        <w:tc>
          <w:tcPr>
            <w:tcW w:w="2508" w:type="dxa"/>
            <w:noWrap w:val="0"/>
            <w:vAlign w:val="center"/>
          </w:tcPr>
          <w:p w14:paraId="78FAAE33">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是否授权评标委员会确定中标候选人</w:t>
            </w:r>
          </w:p>
        </w:tc>
        <w:tc>
          <w:tcPr>
            <w:tcW w:w="6672" w:type="dxa"/>
            <w:noWrap w:val="0"/>
            <w:vAlign w:val="center"/>
          </w:tcPr>
          <w:p w14:paraId="32475C60">
            <w:pPr>
              <w:pStyle w:val="18"/>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是，评标委员会推荐</w:t>
            </w:r>
            <w:r>
              <w:rPr>
                <w:rFonts w:hint="eastAsia" w:ascii="宋体" w:hAnsi="宋体" w:eastAsia="宋体" w:cs="宋体"/>
                <w:color w:val="auto"/>
                <w:sz w:val="21"/>
                <w:szCs w:val="21"/>
                <w:highlight w:val="none"/>
                <w:u w:val="single" w:color="auto"/>
              </w:rPr>
              <w:t xml:space="preserve"> </w:t>
            </w:r>
            <w:r>
              <w:rPr>
                <w:rFonts w:hint="eastAsia" w:hAnsi="宋体" w:cs="宋体"/>
                <w:color w:val="auto"/>
                <w:sz w:val="21"/>
                <w:szCs w:val="21"/>
                <w:highlight w:val="none"/>
                <w:u w:val="single" w:color="auto"/>
                <w:lang w:val="en-US" w:eastAsia="zh-CN"/>
              </w:rPr>
              <w:t>2</w:t>
            </w:r>
            <w:r>
              <w:rPr>
                <w:rFonts w:hint="eastAsia" w:ascii="宋体" w:hAnsi="宋体" w:eastAsia="宋体" w:cs="宋体"/>
                <w:color w:val="auto"/>
                <w:sz w:val="21"/>
                <w:szCs w:val="21"/>
                <w:highlight w:val="none"/>
              </w:rPr>
              <w:t>名中标候选人。</w:t>
            </w:r>
          </w:p>
        </w:tc>
      </w:tr>
      <w:tr w14:paraId="1709565D">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2CC50515">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34.1</w:t>
            </w:r>
          </w:p>
        </w:tc>
        <w:tc>
          <w:tcPr>
            <w:tcW w:w="2508" w:type="dxa"/>
            <w:noWrap w:val="0"/>
            <w:vAlign w:val="center"/>
          </w:tcPr>
          <w:p w14:paraId="3311133A">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履约担保</w:t>
            </w:r>
          </w:p>
        </w:tc>
        <w:tc>
          <w:tcPr>
            <w:tcW w:w="6672" w:type="dxa"/>
            <w:noWrap w:val="0"/>
            <w:vAlign w:val="center"/>
          </w:tcPr>
          <w:p w14:paraId="7F33D73A">
            <w:pPr>
              <w:keepNext w:val="0"/>
              <w:keepLines w:val="0"/>
              <w:pageBreakBefore w:val="0"/>
              <w:kinsoku/>
              <w:wordWrap w:val="0"/>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本项目不收取履约担保。</w:t>
            </w:r>
          </w:p>
        </w:tc>
      </w:tr>
      <w:tr w14:paraId="59F9877A">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41F8AE0A">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39.2</w:t>
            </w:r>
          </w:p>
        </w:tc>
        <w:tc>
          <w:tcPr>
            <w:tcW w:w="2508" w:type="dxa"/>
            <w:noWrap w:val="0"/>
            <w:vAlign w:val="center"/>
          </w:tcPr>
          <w:p w14:paraId="7821FEC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投标人对招标文件提出</w:t>
            </w:r>
            <w:r>
              <w:rPr>
                <w:rFonts w:hint="eastAsia" w:ascii="宋体" w:hAnsi="宋体" w:eastAsia="宋体" w:cs="宋体"/>
                <w:color w:val="auto"/>
                <w:sz w:val="21"/>
                <w:szCs w:val="21"/>
                <w:highlight w:val="none"/>
                <w:u w:val="none"/>
              </w:rPr>
              <w:t>质疑的</w:t>
            </w:r>
            <w:r>
              <w:rPr>
                <w:rFonts w:hint="eastAsia" w:ascii="宋体" w:hAnsi="宋体" w:eastAsia="宋体" w:cs="宋体"/>
                <w:color w:val="auto"/>
                <w:sz w:val="21"/>
                <w:szCs w:val="21"/>
                <w:highlight w:val="none"/>
              </w:rPr>
              <w:t>截止时间及方式</w:t>
            </w:r>
          </w:p>
        </w:tc>
        <w:tc>
          <w:tcPr>
            <w:tcW w:w="6672" w:type="dxa"/>
            <w:noWrap w:val="0"/>
            <w:vAlign w:val="center"/>
          </w:tcPr>
          <w:p w14:paraId="7DD765F2">
            <w:pPr>
              <w:keepNext w:val="0"/>
              <w:keepLines w:val="0"/>
              <w:pageBreakBefore w:val="0"/>
              <w:widowControl/>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rPr>
              <w:t>如投标人对招标文件有质疑，可以于</w:t>
            </w:r>
            <w:r>
              <w:rPr>
                <w:rFonts w:hint="eastAsia" w:ascii="宋体" w:hAnsi="宋体" w:eastAsia="宋体" w:cs="宋体"/>
                <w:color w:val="auto"/>
                <w:sz w:val="21"/>
                <w:szCs w:val="21"/>
                <w:highlight w:val="none"/>
                <w:lang w:val="en-US" w:eastAsia="zh-CN"/>
              </w:rPr>
              <w:t>202</w:t>
            </w:r>
            <w:r>
              <w:rPr>
                <w:rFonts w:hint="eastAsia" w:ascii="宋体" w:hAnsi="宋体" w:cs="宋体"/>
                <w:color w:val="auto"/>
                <w:sz w:val="21"/>
                <w:szCs w:val="21"/>
                <w:highlight w:val="none"/>
                <w:lang w:val="en-US" w:eastAsia="zh-CN"/>
              </w:rPr>
              <w:t>5</w:t>
            </w:r>
            <w:r>
              <w:rPr>
                <w:rFonts w:hint="eastAsia" w:ascii="宋体" w:hAnsi="宋体" w:eastAsia="宋体" w:cs="宋体"/>
                <w:color w:val="auto"/>
                <w:sz w:val="21"/>
                <w:szCs w:val="21"/>
                <w:highlight w:val="none"/>
                <w:lang w:val="en-US" w:eastAsia="zh-CN"/>
              </w:rPr>
              <w:t>年</w:t>
            </w:r>
            <w:r>
              <w:rPr>
                <w:rFonts w:hint="eastAsia" w:ascii="宋体" w:hAnsi="宋体" w:cs="宋体"/>
                <w:color w:val="auto"/>
                <w:sz w:val="21"/>
                <w:szCs w:val="21"/>
                <w:highlight w:val="none"/>
                <w:lang w:val="en-US" w:eastAsia="zh-CN"/>
              </w:rPr>
              <w:t>7</w:t>
            </w:r>
            <w:r>
              <w:rPr>
                <w:rFonts w:hint="eastAsia" w:ascii="宋体" w:hAnsi="宋体" w:eastAsia="宋体" w:cs="宋体"/>
                <w:color w:val="auto"/>
                <w:sz w:val="21"/>
                <w:szCs w:val="21"/>
                <w:highlight w:val="none"/>
                <w:lang w:val="en-US" w:eastAsia="zh-CN"/>
              </w:rPr>
              <w:t>月</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日</w:t>
            </w:r>
            <w:r>
              <w:rPr>
                <w:rFonts w:hint="eastAsia" w:ascii="宋体" w:hAnsi="宋体" w:cs="宋体"/>
                <w:color w:val="auto"/>
                <w:sz w:val="21"/>
                <w:szCs w:val="21"/>
                <w:highlight w:val="none"/>
                <w:lang w:val="en-US" w:eastAsia="zh-CN"/>
              </w:rPr>
              <w:t>17</w:t>
            </w:r>
            <w:r>
              <w:rPr>
                <w:rFonts w:hint="eastAsia" w:ascii="宋体" w:hAnsi="宋体" w:eastAsia="宋体" w:cs="宋体"/>
                <w:color w:val="auto"/>
                <w:sz w:val="21"/>
                <w:szCs w:val="21"/>
                <w:highlight w:val="none"/>
                <w:lang w:val="en-US" w:eastAsia="zh-CN"/>
              </w:rPr>
              <w:t>时前</w:t>
            </w:r>
            <w:r>
              <w:rPr>
                <w:rFonts w:hint="eastAsia" w:ascii="宋体" w:hAnsi="宋体" w:cs="宋体"/>
                <w:color w:val="auto"/>
                <w:sz w:val="21"/>
                <w:szCs w:val="21"/>
                <w:highlight w:val="none"/>
                <w:lang w:val="en-US" w:eastAsia="zh-CN"/>
              </w:rPr>
              <w:t>以书面形式（加盖投标人公章）交至招标人处</w:t>
            </w:r>
            <w:r>
              <w:rPr>
                <w:rFonts w:hint="eastAsia" w:ascii="宋体" w:hAnsi="宋体" w:eastAsia="宋体" w:cs="宋体"/>
                <w:color w:val="auto"/>
                <w:sz w:val="21"/>
                <w:szCs w:val="21"/>
                <w:highlight w:val="none"/>
                <w:lang w:val="en-US" w:eastAsia="zh-CN"/>
              </w:rPr>
              <w:t xml:space="preserve">。招标人不再集中召开招标答疑会；投标人自行组织勘察现场。  </w:t>
            </w:r>
          </w:p>
        </w:tc>
      </w:tr>
      <w:tr w14:paraId="794B2A1F">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417" w:hRule="atLeast"/>
          <w:jc w:val="center"/>
        </w:trPr>
        <w:tc>
          <w:tcPr>
            <w:tcW w:w="1020" w:type="dxa"/>
            <w:noWrap w:val="0"/>
            <w:vAlign w:val="center"/>
          </w:tcPr>
          <w:p w14:paraId="5A873409">
            <w:pPr>
              <w:keepNext w:val="0"/>
              <w:keepLines w:val="0"/>
              <w:pageBreakBefore w:val="0"/>
              <w:kinsoku/>
              <w:overflowPunct/>
              <w:topLinePunct w:val="0"/>
              <w:autoSpaceDE/>
              <w:autoSpaceDN/>
              <w:bidi w:val="0"/>
              <w:adjustRightInd/>
              <w:spacing w:line="520" w:lineRule="exact"/>
              <w:jc w:val="center"/>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39.6</w:t>
            </w:r>
          </w:p>
        </w:tc>
        <w:tc>
          <w:tcPr>
            <w:tcW w:w="2508" w:type="dxa"/>
            <w:noWrap w:val="0"/>
            <w:vAlign w:val="center"/>
          </w:tcPr>
          <w:p w14:paraId="0FDF8B7C">
            <w:pPr>
              <w:pStyle w:val="18"/>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eastAsia="zh-CN"/>
              </w:rPr>
              <w:t>招标人</w:t>
            </w:r>
            <w:r>
              <w:rPr>
                <w:rFonts w:hint="eastAsia" w:ascii="宋体" w:hAnsi="宋体" w:eastAsia="宋体" w:cs="宋体"/>
                <w:color w:val="auto"/>
                <w:sz w:val="21"/>
                <w:szCs w:val="21"/>
                <w:highlight w:val="none"/>
              </w:rPr>
              <w:t>答复在线质疑的时间及方式</w:t>
            </w:r>
          </w:p>
        </w:tc>
        <w:tc>
          <w:tcPr>
            <w:tcW w:w="6672" w:type="dxa"/>
            <w:noWrap w:val="0"/>
            <w:vAlign w:val="center"/>
          </w:tcPr>
          <w:p w14:paraId="72AD2085">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u w:val="single"/>
                <w:lang w:val="en-US" w:eastAsia="zh-CN"/>
              </w:rPr>
            </w:pPr>
            <w:r>
              <w:rPr>
                <w:rFonts w:hint="eastAsia" w:ascii="宋体" w:hAnsi="宋体" w:eastAsia="宋体" w:cs="宋体"/>
                <w:color w:val="auto"/>
                <w:sz w:val="21"/>
                <w:szCs w:val="21"/>
                <w:highlight w:val="none"/>
                <w:lang w:val="en-US" w:eastAsia="zh-CN"/>
              </w:rPr>
              <w:t>同15.4“招标人澄清的方式”。</w:t>
            </w:r>
          </w:p>
        </w:tc>
      </w:tr>
      <w:tr w14:paraId="2B8A84C3">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375" w:hRule="atLeast"/>
          <w:jc w:val="center"/>
        </w:trPr>
        <w:tc>
          <w:tcPr>
            <w:tcW w:w="3528" w:type="dxa"/>
            <w:gridSpan w:val="2"/>
            <w:noWrap w:val="0"/>
            <w:vAlign w:val="center"/>
          </w:tcPr>
          <w:p w14:paraId="49379624">
            <w:pPr>
              <w:keepNext w:val="0"/>
              <w:keepLines w:val="0"/>
              <w:pageBreakBefore w:val="0"/>
              <w:kinsoku/>
              <w:overflowPunct/>
              <w:topLinePunct w:val="0"/>
              <w:autoSpaceDE/>
              <w:autoSpaceDN/>
              <w:bidi w:val="0"/>
              <w:adjustRightInd/>
              <w:spacing w:line="520" w:lineRule="exact"/>
              <w:jc w:val="left"/>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rPr>
              <w:t>付款方式、时间、条件</w:t>
            </w:r>
          </w:p>
        </w:tc>
        <w:tc>
          <w:tcPr>
            <w:tcW w:w="6672" w:type="dxa"/>
            <w:noWrap w:val="0"/>
            <w:vAlign w:val="center"/>
          </w:tcPr>
          <w:p w14:paraId="34A41522">
            <w:pPr>
              <w:keepNext w:val="0"/>
              <w:keepLines w:val="0"/>
              <w:pageBreakBefore w:val="0"/>
              <w:kinsoku/>
              <w:overflowPunct/>
              <w:topLinePunct w:val="0"/>
              <w:autoSpaceDE/>
              <w:autoSpaceDN/>
              <w:bidi w:val="0"/>
              <w:adjustRightInd/>
              <w:spacing w:line="520" w:lineRule="exact"/>
              <w:textAlignment w:val="auto"/>
              <w:rPr>
                <w:rFonts w:hint="eastAsia" w:ascii="宋体" w:hAnsi="宋体" w:eastAsia="宋体" w:cs="宋体"/>
                <w:color w:val="auto"/>
                <w:sz w:val="21"/>
                <w:szCs w:val="21"/>
                <w:highlight w:val="none"/>
                <w:lang w:val="en-US" w:eastAsia="zh-CN"/>
              </w:rPr>
            </w:pPr>
            <w:r>
              <w:rPr>
                <w:rFonts w:hint="eastAsia" w:ascii="宋体" w:hAnsi="宋体" w:cs="宋体"/>
                <w:b/>
                <w:bCs/>
                <w:color w:val="auto"/>
                <w:sz w:val="21"/>
                <w:szCs w:val="21"/>
                <w:highlight w:val="none"/>
                <w:lang w:val="en-US" w:eastAsia="zh-CN"/>
              </w:rPr>
              <w:t>中标人</w:t>
            </w:r>
            <w:r>
              <w:rPr>
                <w:rFonts w:hint="eastAsia" w:ascii="宋体" w:hAnsi="宋体" w:eastAsia="宋体" w:cs="宋体"/>
                <w:b/>
                <w:bCs/>
                <w:color w:val="auto"/>
                <w:sz w:val="21"/>
                <w:szCs w:val="21"/>
                <w:highlight w:val="none"/>
                <w:lang w:val="en-US" w:eastAsia="zh-CN"/>
              </w:rPr>
              <w:t>出具</w:t>
            </w:r>
            <w:r>
              <w:rPr>
                <w:rFonts w:hint="eastAsia" w:ascii="宋体" w:hAnsi="宋体" w:cs="宋体"/>
                <w:b/>
                <w:bCs/>
                <w:color w:val="auto"/>
                <w:sz w:val="21"/>
                <w:szCs w:val="21"/>
                <w:highlight w:val="none"/>
                <w:lang w:val="en-US" w:eastAsia="zh-CN"/>
              </w:rPr>
              <w:t>资产评估</w:t>
            </w:r>
            <w:r>
              <w:rPr>
                <w:rFonts w:hint="eastAsia" w:ascii="宋体" w:hAnsi="宋体" w:eastAsia="宋体" w:cs="宋体"/>
                <w:b/>
                <w:bCs/>
                <w:color w:val="auto"/>
                <w:sz w:val="21"/>
                <w:szCs w:val="21"/>
                <w:highlight w:val="none"/>
                <w:lang w:val="en-US" w:eastAsia="zh-CN"/>
              </w:rPr>
              <w:t>报告</w:t>
            </w:r>
            <w:r>
              <w:rPr>
                <w:rFonts w:hint="eastAsia" w:ascii="宋体" w:hAnsi="宋体" w:cs="宋体"/>
                <w:b/>
                <w:bCs/>
                <w:color w:val="auto"/>
                <w:sz w:val="21"/>
                <w:szCs w:val="21"/>
                <w:highlight w:val="none"/>
                <w:lang w:val="en-US" w:eastAsia="zh-CN"/>
              </w:rPr>
              <w:t>且开具增值税发票后30</w:t>
            </w:r>
            <w:r>
              <w:rPr>
                <w:rFonts w:hint="eastAsia" w:ascii="宋体" w:hAnsi="宋体" w:eastAsia="宋体" w:cs="宋体"/>
                <w:b/>
                <w:bCs/>
                <w:color w:val="auto"/>
                <w:sz w:val="21"/>
                <w:szCs w:val="21"/>
                <w:highlight w:val="none"/>
                <w:lang w:val="en-US" w:eastAsia="zh-CN"/>
              </w:rPr>
              <w:t>个日历天内</w:t>
            </w:r>
            <w:r>
              <w:rPr>
                <w:rFonts w:hint="eastAsia" w:ascii="宋体" w:hAnsi="宋体" w:cs="宋体"/>
                <w:b/>
                <w:bCs/>
                <w:color w:val="auto"/>
                <w:sz w:val="21"/>
                <w:szCs w:val="21"/>
                <w:highlight w:val="none"/>
                <w:lang w:val="en-US" w:eastAsia="zh-CN"/>
              </w:rPr>
              <w:t>招标人</w:t>
            </w:r>
            <w:r>
              <w:rPr>
                <w:rFonts w:hint="eastAsia" w:ascii="宋体" w:hAnsi="宋体" w:eastAsia="宋体" w:cs="宋体"/>
                <w:b/>
                <w:bCs/>
                <w:color w:val="auto"/>
                <w:sz w:val="21"/>
                <w:szCs w:val="21"/>
                <w:highlight w:val="none"/>
                <w:lang w:val="en-US" w:eastAsia="zh-CN"/>
              </w:rPr>
              <w:t>一次性付清合同价款。</w:t>
            </w:r>
          </w:p>
        </w:tc>
      </w:tr>
    </w:tbl>
    <w:p w14:paraId="5D092569">
      <w:pPr>
        <w:pageBreakBefore/>
        <w:spacing w:before="312" w:beforeLines="100" w:after="312" w:afterLines="100" w:line="440" w:lineRule="exact"/>
        <w:jc w:val="center"/>
        <w:outlineLvl w:val="1"/>
        <w:rPr>
          <w:rFonts w:hint="eastAsia" w:ascii="宋体" w:hAnsi="宋体" w:cs="宋体"/>
          <w:b/>
          <w:color w:val="auto"/>
          <w:sz w:val="28"/>
          <w:szCs w:val="32"/>
          <w:highlight w:val="none"/>
        </w:rPr>
      </w:pPr>
      <w:bookmarkStart w:id="26" w:name="_Toc449028866"/>
      <w:bookmarkStart w:id="27" w:name="_Toc58430315"/>
      <w:bookmarkStart w:id="28" w:name="_Toc10260"/>
      <w:r>
        <w:rPr>
          <w:rFonts w:hint="eastAsia" w:ascii="宋体" w:hAnsi="宋体" w:cs="宋体"/>
          <w:b/>
          <w:color w:val="auto"/>
          <w:sz w:val="28"/>
          <w:szCs w:val="28"/>
          <w:highlight w:val="none"/>
        </w:rPr>
        <w:t>二、投标人须知</w:t>
      </w:r>
      <w:bookmarkEnd w:id="26"/>
      <w:bookmarkEnd w:id="27"/>
      <w:bookmarkEnd w:id="28"/>
    </w:p>
    <w:p w14:paraId="7DB5F582">
      <w:pPr>
        <w:spacing w:line="440" w:lineRule="exact"/>
        <w:jc w:val="center"/>
        <w:rPr>
          <w:rFonts w:hint="eastAsia" w:ascii="宋体" w:hAnsi="宋体" w:cs="宋体"/>
          <w:color w:val="auto"/>
          <w:sz w:val="28"/>
          <w:szCs w:val="28"/>
          <w:highlight w:val="none"/>
        </w:rPr>
      </w:pPr>
      <w:bookmarkStart w:id="29" w:name="_Toc449028867"/>
      <w:r>
        <w:rPr>
          <w:rFonts w:hint="eastAsia" w:ascii="宋体" w:hAnsi="宋体" w:cs="宋体"/>
          <w:b/>
          <w:color w:val="auto"/>
          <w:sz w:val="28"/>
          <w:szCs w:val="28"/>
          <w:highlight w:val="none"/>
        </w:rPr>
        <w:t>（一）</w:t>
      </w:r>
      <w:r>
        <w:rPr>
          <w:rFonts w:hint="eastAsia" w:ascii="宋体" w:hAnsi="宋体" w:cs="宋体"/>
          <w:b/>
          <w:color w:val="auto"/>
          <w:sz w:val="28"/>
          <w:szCs w:val="32"/>
          <w:highlight w:val="none"/>
        </w:rPr>
        <w:t>总  则</w:t>
      </w:r>
      <w:bookmarkEnd w:id="29"/>
    </w:p>
    <w:p w14:paraId="265DF29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1.项目概况</w:t>
      </w:r>
    </w:p>
    <w:p w14:paraId="18ED1D73">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1.1本次招标采购项目名称：见投标人须知前附表。</w:t>
      </w:r>
    </w:p>
    <w:p w14:paraId="7A91EC09">
      <w:pPr>
        <w:snapToGrid w:val="0"/>
        <w:spacing w:line="440" w:lineRule="exact"/>
        <w:ind w:firstLine="840" w:firstLineChars="400"/>
        <w:rPr>
          <w:rFonts w:hint="eastAsia" w:ascii="宋体" w:hAnsi="宋体" w:cs="宋体"/>
          <w:color w:val="auto"/>
          <w:szCs w:val="21"/>
          <w:highlight w:val="none"/>
          <w:u w:val="single"/>
        </w:rPr>
      </w:pPr>
      <w:r>
        <w:rPr>
          <w:rFonts w:hint="eastAsia" w:ascii="宋体" w:hAnsi="宋体" w:cs="宋体"/>
          <w:color w:val="auto"/>
          <w:szCs w:val="21"/>
          <w:highlight w:val="none"/>
        </w:rPr>
        <w:t>项目编号：见投标人须知前附表。</w:t>
      </w:r>
    </w:p>
    <w:p w14:paraId="350DBABB">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招 标 人：见投标人须知前附表。</w:t>
      </w:r>
    </w:p>
    <w:p w14:paraId="5A56A65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期：见投标人须知前附表。</w:t>
      </w:r>
    </w:p>
    <w:p w14:paraId="40B7F4A5">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 xml:space="preserve">    </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地点：见投标人须知前附表。</w:t>
      </w:r>
    </w:p>
    <w:p w14:paraId="45923DFC">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1.2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及联系人</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见投标人须知前附表。</w:t>
      </w:r>
    </w:p>
    <w:p w14:paraId="485C55DF">
      <w:pPr>
        <w:snapToGrid w:val="0"/>
        <w:spacing w:line="440" w:lineRule="exact"/>
        <w:ind w:firstLine="525" w:firstLineChars="250"/>
        <w:rPr>
          <w:rFonts w:hint="eastAsia" w:ascii="宋体" w:hAnsi="宋体" w:cs="宋体"/>
          <w:color w:val="auto"/>
          <w:szCs w:val="21"/>
          <w:highlight w:val="none"/>
          <w:u w:val="single"/>
        </w:rPr>
      </w:pPr>
      <w:r>
        <w:rPr>
          <w:rFonts w:hint="eastAsia" w:ascii="宋体" w:hAnsi="宋体" w:cs="宋体"/>
          <w:color w:val="auto"/>
          <w:szCs w:val="21"/>
          <w:highlight w:val="none"/>
        </w:rPr>
        <w:t xml:space="preserve">  采购代理机构及联系人</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见投标人须知前附表。</w:t>
      </w:r>
    </w:p>
    <w:p w14:paraId="35DDE2D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1.3资金来源：见投标人须知前附表。</w:t>
      </w:r>
    </w:p>
    <w:p w14:paraId="28EB262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1.4本项目预算：见投标人须知前附表。</w:t>
      </w:r>
    </w:p>
    <w:p w14:paraId="02575EC6">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1.5本项目最高限价：见投标人须知前附表。</w:t>
      </w:r>
    </w:p>
    <w:p w14:paraId="60B181E8">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2.招标范围：</w:t>
      </w:r>
    </w:p>
    <w:p w14:paraId="18C046DE">
      <w:pPr>
        <w:snapToGrid w:val="0"/>
        <w:spacing w:line="440" w:lineRule="exact"/>
        <w:ind w:firstLine="420" w:firstLineChars="200"/>
        <w:rPr>
          <w:rFonts w:hint="eastAsia" w:ascii="宋体" w:hAnsi="宋体" w:cs="宋体"/>
          <w:color w:val="auto"/>
          <w:szCs w:val="21"/>
          <w:highlight w:val="none"/>
          <w:u w:val="single"/>
        </w:rPr>
      </w:pPr>
      <w:r>
        <w:rPr>
          <w:rFonts w:hint="eastAsia" w:ascii="宋体" w:hAnsi="宋体" w:cs="宋体"/>
          <w:color w:val="auto"/>
          <w:szCs w:val="21"/>
          <w:highlight w:val="none"/>
        </w:rPr>
        <w:t>2.1 采购内容：见投标人须知前附表。</w:t>
      </w:r>
    </w:p>
    <w:p w14:paraId="39FEBFC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 技术要求：详见招标文件第四章采购需求。</w:t>
      </w:r>
    </w:p>
    <w:p w14:paraId="5CAEEE87">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3.标包划分：</w:t>
      </w:r>
    </w:p>
    <w:p w14:paraId="09616024">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3.1本项目划分：见投标人须知前附表。</w:t>
      </w:r>
    </w:p>
    <w:p w14:paraId="0330D5CA">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4.招标方式：</w:t>
      </w:r>
    </w:p>
    <w:p w14:paraId="3DE3642C">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4.1本项目招标方式：见投标人须知前附表。</w:t>
      </w:r>
    </w:p>
    <w:p w14:paraId="0B79A7EB">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5.计价方式：</w:t>
      </w:r>
    </w:p>
    <w:p w14:paraId="02E2CAA1">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5.1本次招标项目合同采用</w:t>
      </w:r>
      <w:r>
        <w:rPr>
          <w:rFonts w:hint="eastAsia" w:ascii="宋体" w:hAnsi="宋体" w:cs="宋体"/>
          <w:color w:val="auto"/>
          <w:szCs w:val="21"/>
          <w:highlight w:val="none"/>
          <w:u w:val="single"/>
        </w:rPr>
        <w:t xml:space="preserve">  固定</w:t>
      </w:r>
      <w:r>
        <w:rPr>
          <w:rFonts w:hint="eastAsia" w:ascii="宋体" w:hAnsi="宋体" w:cs="宋体"/>
          <w:color w:val="auto"/>
          <w:szCs w:val="21"/>
          <w:highlight w:val="none"/>
          <w:u w:val="single"/>
          <w:lang w:val="en-US" w:eastAsia="zh-CN"/>
        </w:rPr>
        <w:t>总价</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none"/>
        </w:rPr>
        <w:t>。</w:t>
      </w:r>
    </w:p>
    <w:p w14:paraId="08B6D253">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6.评标办法：</w:t>
      </w:r>
    </w:p>
    <w:p w14:paraId="2657D199">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6.1本次招标评标采用</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u w:val="single"/>
          <w:lang w:val="en-US" w:eastAsia="zh-CN"/>
        </w:rPr>
        <w:t>合理低价法</w:t>
      </w:r>
      <w:r>
        <w:rPr>
          <w:rFonts w:hint="eastAsia" w:ascii="宋体" w:hAnsi="宋体" w:cs="宋体"/>
          <w:color w:val="auto"/>
          <w:szCs w:val="21"/>
          <w:highlight w:val="none"/>
          <w:u w:val="single"/>
        </w:rPr>
        <w:t xml:space="preserve"> </w:t>
      </w:r>
      <w:r>
        <w:rPr>
          <w:rFonts w:hint="eastAsia" w:ascii="宋体" w:hAnsi="宋体" w:cs="宋体"/>
          <w:color w:val="auto"/>
          <w:szCs w:val="21"/>
          <w:highlight w:val="none"/>
        </w:rPr>
        <w:t>（详见第三章评标办法）</w:t>
      </w:r>
    </w:p>
    <w:p w14:paraId="30C0A9E2">
      <w:pPr>
        <w:snapToGrid w:val="0"/>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7.投标人资格：</w:t>
      </w:r>
    </w:p>
    <w:p w14:paraId="7768583A">
      <w:pPr>
        <w:widowControl/>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7.1本项目投标人资格：见投标人须知前附表。</w:t>
      </w:r>
    </w:p>
    <w:p w14:paraId="2C6408C4">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8. 投标费用</w:t>
      </w:r>
    </w:p>
    <w:p w14:paraId="22A1C685">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8.1投标人准备和参加投标活动发生的费用自理。</w:t>
      </w:r>
    </w:p>
    <w:p w14:paraId="1F585B69">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9.</w:t>
      </w:r>
      <w:bookmarkStart w:id="30" w:name="_Toc152042315"/>
      <w:bookmarkStart w:id="31" w:name="_Toc247592876"/>
      <w:bookmarkStart w:id="32" w:name="_Toc152045539"/>
      <w:bookmarkStart w:id="33" w:name="_Toc247527563"/>
      <w:bookmarkStart w:id="34" w:name="_Toc144974507"/>
      <w:bookmarkStart w:id="35" w:name="_Toc247513962"/>
      <w:bookmarkStart w:id="36" w:name="_Toc296602429"/>
      <w:r>
        <w:rPr>
          <w:rFonts w:hint="eastAsia" w:ascii="宋体" w:hAnsi="宋体" w:cs="宋体"/>
          <w:b/>
          <w:color w:val="auto"/>
          <w:szCs w:val="21"/>
          <w:highlight w:val="none"/>
        </w:rPr>
        <w:t xml:space="preserve"> 踏勘现场</w:t>
      </w:r>
      <w:bookmarkEnd w:id="30"/>
      <w:bookmarkEnd w:id="31"/>
      <w:bookmarkEnd w:id="32"/>
      <w:bookmarkEnd w:id="33"/>
      <w:bookmarkEnd w:id="34"/>
      <w:bookmarkEnd w:id="35"/>
      <w:bookmarkEnd w:id="36"/>
    </w:p>
    <w:p w14:paraId="6292D57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 9.1 投标人须知前附表规定组织踏勘现场的，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 xml:space="preserve">按投标人须知前附表规定的时间、地点组织投标人踏勘项目现场。 </w:t>
      </w:r>
    </w:p>
    <w:p w14:paraId="40A25EED">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9.2 投标人踏勘现场发生的费用自理。</w:t>
      </w:r>
    </w:p>
    <w:p w14:paraId="2E6F200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9.3 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的原因外，投标人自行负责在踏勘现场中所发生的人员伤亡和财产损失。</w:t>
      </w:r>
    </w:p>
    <w:p w14:paraId="3C8DC6BA">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 xml:space="preserve">9.4 </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在踏勘现场中介绍的场地和相关的周边环境情况，供投标人在编制投标文件时参考，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不对投标人据此作出的判断和决策负责。</w:t>
      </w:r>
      <w:bookmarkStart w:id="37" w:name="_Toc247592877"/>
      <w:bookmarkStart w:id="38" w:name="_Toc247527564"/>
      <w:bookmarkStart w:id="39" w:name="_Toc247513963"/>
      <w:bookmarkStart w:id="40" w:name="_Toc144974508"/>
      <w:bookmarkStart w:id="41" w:name="_Toc152042316"/>
      <w:bookmarkStart w:id="42" w:name="_Toc152045540"/>
      <w:bookmarkStart w:id="43" w:name="_Toc296602430"/>
    </w:p>
    <w:p w14:paraId="095043B3">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10. 投标预备会</w:t>
      </w:r>
      <w:bookmarkEnd w:id="37"/>
      <w:bookmarkEnd w:id="38"/>
      <w:bookmarkEnd w:id="39"/>
      <w:bookmarkEnd w:id="40"/>
      <w:bookmarkEnd w:id="41"/>
      <w:bookmarkEnd w:id="42"/>
      <w:bookmarkEnd w:id="43"/>
      <w:r>
        <w:rPr>
          <w:rFonts w:hint="eastAsia" w:ascii="宋体" w:hAnsi="宋体" w:cs="宋体"/>
          <w:b/>
          <w:color w:val="auto"/>
          <w:szCs w:val="21"/>
          <w:highlight w:val="none"/>
        </w:rPr>
        <w:t>（本项目不采用）</w:t>
      </w:r>
    </w:p>
    <w:p w14:paraId="1CFF504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10.1投标人须知前附表规定召开投标预备会的，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按投标人须知前附表规定的时间和地点召开投标预备会，澄清投标人提出的问题。</w:t>
      </w:r>
    </w:p>
    <w:p w14:paraId="4D94E919">
      <w:pPr>
        <w:numPr>
          <w:ilvl w:val="0"/>
          <w:numId w:val="8"/>
        </w:num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联合投标、合同分包（本项目不采用）</w:t>
      </w:r>
    </w:p>
    <w:p w14:paraId="47527F15">
      <w:pPr>
        <w:numPr>
          <w:ilvl w:val="0"/>
          <w:numId w:val="0"/>
        </w:num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11.1 两个以上投标人可以组成一个投标联合体，以一个投标人的身份投标。以联合体形式参加投标的，联合体各方均应当符合《</w:t>
      </w:r>
      <w:r>
        <w:rPr>
          <w:rFonts w:hint="eastAsia" w:ascii="宋体" w:hAnsi="宋体" w:cs="宋体"/>
          <w:color w:val="auto"/>
          <w:highlight w:val="none"/>
        </w:rPr>
        <w:t>中华人民共和国政府采购法</w:t>
      </w:r>
      <w:r>
        <w:rPr>
          <w:rFonts w:hint="eastAsia" w:ascii="宋体" w:hAnsi="宋体" w:cs="宋体"/>
          <w:color w:val="auto"/>
          <w:szCs w:val="21"/>
          <w:highlight w:val="none"/>
        </w:rPr>
        <w:t>》第二十二条规定的条件。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根据采购项目的特殊要求规定投标人特定条件的，联合体各方中至少应当有一方符合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规定的特定条件。</w:t>
      </w:r>
    </w:p>
    <w:p w14:paraId="417C0F55">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11.2联合体各方之间应当签订共同投标协议，明确约定联合体各方承担的工作和相应的责任，并将共同投标协议连同投标文件一并提交</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。联合体各方签订共同投标协议后，不得再以自己名义单独在同一项目中投标，也不得组成新的联合体参加同一项目投标。</w:t>
      </w:r>
    </w:p>
    <w:p w14:paraId="3A466176">
      <w:pPr>
        <w:spacing w:line="440" w:lineRule="exact"/>
        <w:ind w:firstLine="411" w:firstLineChars="196"/>
        <w:rPr>
          <w:rFonts w:hint="eastAsia" w:ascii="宋体" w:hAnsi="宋体" w:cs="宋体"/>
          <w:color w:val="auto"/>
          <w:szCs w:val="21"/>
          <w:highlight w:val="none"/>
        </w:rPr>
      </w:pPr>
      <w:r>
        <w:rPr>
          <w:rFonts w:hint="eastAsia" w:ascii="宋体" w:hAnsi="宋体" w:cs="宋体"/>
          <w:color w:val="auto"/>
          <w:szCs w:val="21"/>
          <w:highlight w:val="none"/>
        </w:rPr>
        <w:t>11.3 联合体应当确定其中一个单位为投标的全权代表，负责参加投标的一切事务，并承担投标及履约中应承担的全部责任与义务。</w:t>
      </w:r>
    </w:p>
    <w:p w14:paraId="27BC6C0D">
      <w:pPr>
        <w:spacing w:line="440" w:lineRule="exact"/>
        <w:ind w:firstLine="435"/>
        <w:rPr>
          <w:rFonts w:hint="eastAsia" w:ascii="宋体" w:hAnsi="宋体" w:cs="宋体"/>
          <w:color w:val="auto"/>
          <w:szCs w:val="21"/>
          <w:highlight w:val="none"/>
        </w:rPr>
      </w:pPr>
      <w:r>
        <w:rPr>
          <w:rFonts w:hint="eastAsia" w:ascii="宋体" w:hAnsi="宋体" w:cs="宋体"/>
          <w:color w:val="auto"/>
          <w:szCs w:val="21"/>
          <w:highlight w:val="none"/>
        </w:rPr>
        <w:t>11.4 联合体各方应当共同与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签订采购合同，就采购合同约定的事项对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承担连带责任。</w:t>
      </w:r>
    </w:p>
    <w:p w14:paraId="1B156C5F">
      <w:pPr>
        <w:spacing w:line="440" w:lineRule="exact"/>
        <w:ind w:firstLine="409" w:firstLineChars="195"/>
        <w:rPr>
          <w:rFonts w:hint="eastAsia" w:ascii="宋体" w:hAnsi="宋体" w:cs="宋体"/>
          <w:color w:val="auto"/>
          <w:szCs w:val="21"/>
          <w:highlight w:val="none"/>
        </w:rPr>
      </w:pPr>
      <w:r>
        <w:rPr>
          <w:rFonts w:hint="eastAsia" w:ascii="宋体" w:hAnsi="宋体" w:cs="宋体"/>
          <w:color w:val="auto"/>
          <w:szCs w:val="21"/>
          <w:highlight w:val="none"/>
        </w:rPr>
        <w:t>11.5 联合体中有同类资质的供应商按照联合体分工承担相同工作的，应当按照资质等级较低的供应商确定资质等级。</w:t>
      </w:r>
    </w:p>
    <w:p w14:paraId="17407B56">
      <w:pPr>
        <w:pStyle w:val="2"/>
        <w:spacing w:after="0" w:line="440" w:lineRule="exact"/>
        <w:ind w:left="0" w:leftChars="0"/>
        <w:rPr>
          <w:rFonts w:hint="eastAsia" w:ascii="宋体" w:hAnsi="宋体" w:cs="宋体"/>
          <w:b/>
          <w:color w:val="auto"/>
          <w:szCs w:val="21"/>
          <w:highlight w:val="none"/>
        </w:rPr>
      </w:pPr>
      <w:r>
        <w:rPr>
          <w:rFonts w:hint="eastAsia" w:ascii="宋体" w:hAnsi="宋体" w:cs="宋体"/>
          <w:color w:val="auto"/>
          <w:szCs w:val="21"/>
          <w:highlight w:val="none"/>
        </w:rPr>
        <w:t>11.6 非专门面向中小企业采购项目是否允许大中型企业向一家或者多家小微企业分包见投标人须知前附表。</w:t>
      </w:r>
    </w:p>
    <w:p w14:paraId="179F2911">
      <w:pPr>
        <w:spacing w:line="440" w:lineRule="exact"/>
        <w:ind w:firstLine="413" w:firstLineChars="196"/>
        <w:jc w:val="left"/>
        <w:rPr>
          <w:rFonts w:hint="default" w:ascii="宋体" w:hAnsi="宋体" w:eastAsia="宋体" w:cs="宋体"/>
          <w:b/>
          <w:color w:val="auto"/>
          <w:szCs w:val="21"/>
          <w:highlight w:val="none"/>
          <w:lang w:val="en-US" w:eastAsia="zh-CN"/>
        </w:rPr>
      </w:pPr>
      <w:r>
        <w:rPr>
          <w:rFonts w:hint="eastAsia" w:ascii="宋体" w:hAnsi="宋体" w:cs="宋体"/>
          <w:b/>
          <w:color w:val="auto"/>
          <w:szCs w:val="21"/>
          <w:highlight w:val="none"/>
        </w:rPr>
        <w:t>12.招标代理费和</w:t>
      </w:r>
      <w:r>
        <w:rPr>
          <w:rFonts w:hint="eastAsia" w:ascii="宋体" w:hAnsi="宋体" w:cs="宋体"/>
          <w:b/>
          <w:color w:val="auto"/>
          <w:szCs w:val="21"/>
          <w:highlight w:val="none"/>
          <w:lang w:val="en-US" w:eastAsia="zh-CN"/>
        </w:rPr>
        <w:t>其他费用</w:t>
      </w:r>
    </w:p>
    <w:p w14:paraId="7E4B18A1">
      <w:pPr>
        <w:spacing w:line="440" w:lineRule="exact"/>
        <w:ind w:firstLine="420" w:firstLineChars="200"/>
        <w:jc w:val="left"/>
        <w:rPr>
          <w:rFonts w:hint="eastAsia" w:ascii="宋体" w:hAnsi="宋体" w:cs="宋体"/>
          <w:color w:val="auto"/>
          <w:szCs w:val="21"/>
          <w:highlight w:val="none"/>
        </w:rPr>
      </w:pPr>
      <w:r>
        <w:rPr>
          <w:rFonts w:hint="eastAsia" w:ascii="宋体" w:hAnsi="宋体" w:cs="宋体"/>
          <w:bCs/>
          <w:color w:val="auto"/>
          <w:szCs w:val="21"/>
          <w:highlight w:val="none"/>
        </w:rPr>
        <w:t>12.1</w:t>
      </w:r>
      <w:r>
        <w:rPr>
          <w:rFonts w:hint="eastAsia" w:ascii="宋体" w:hAnsi="宋体" w:cs="宋体"/>
          <w:color w:val="auto"/>
          <w:szCs w:val="21"/>
          <w:highlight w:val="none"/>
        </w:rPr>
        <w:t>见投标人须知前附表。</w:t>
      </w:r>
    </w:p>
    <w:p w14:paraId="07F943C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13.投标人应注意的事项</w:t>
      </w:r>
    </w:p>
    <w:p w14:paraId="29A558E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13.1投标人一旦参加投标，即被认为接受了本招标文件中的所有条件和规定。投标人必须严格按招标文件的要求编制投标文件，以便评委审核。否则，由此产生的一切后果由投标人承担。</w:t>
      </w:r>
    </w:p>
    <w:p w14:paraId="09C11E2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13.2投标人对采购内容中规定的技术参数、规格、数量和要求等必须最大限度</w:t>
      </w:r>
      <w:r>
        <w:rPr>
          <w:rFonts w:hint="eastAsia" w:ascii="宋体" w:hAnsi="宋体" w:cs="宋体"/>
          <w:color w:val="auto"/>
          <w:szCs w:val="21"/>
          <w:highlight w:val="none"/>
          <w:lang w:eastAsia="zh-CN"/>
        </w:rPr>
        <w:t>地</w:t>
      </w:r>
      <w:r>
        <w:rPr>
          <w:rFonts w:hint="eastAsia" w:ascii="宋体" w:hAnsi="宋体" w:cs="宋体"/>
          <w:color w:val="auto"/>
          <w:szCs w:val="21"/>
          <w:highlight w:val="none"/>
        </w:rPr>
        <w:t>满足招标文件的相关要求。</w:t>
      </w:r>
    </w:p>
    <w:p w14:paraId="66AC8D5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3</w:t>
      </w:r>
      <w:r>
        <w:rPr>
          <w:rFonts w:hint="eastAsia" w:ascii="宋体" w:hAnsi="宋体" w:cs="宋体"/>
          <w:bCs/>
          <w:color w:val="auto"/>
          <w:szCs w:val="21"/>
          <w:highlight w:val="none"/>
        </w:rPr>
        <w:t>单位负责人为同一人或者存在直接控股、管理关系的不同投标人，不得参加同一合同项下的政府采购活动。</w:t>
      </w:r>
      <w:r>
        <w:rPr>
          <w:rFonts w:hint="eastAsia" w:ascii="宋体" w:hAnsi="宋体" w:cs="宋体"/>
          <w:color w:val="auto"/>
          <w:szCs w:val="21"/>
          <w:highlight w:val="none"/>
        </w:rPr>
        <w:t>为采购项目提供整体设计、规范编制或者项目管理、监理、检测等服务的投标人，不得再参加该采购项目的其他采购活动。</w:t>
      </w:r>
    </w:p>
    <w:p w14:paraId="2210261B">
      <w:pPr>
        <w:spacing w:line="440" w:lineRule="exact"/>
        <w:ind w:firstLine="417" w:firstLineChars="199"/>
        <w:jc w:val="left"/>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投标人被视为充分熟悉本招标项目所在地的与履行合同有关的各种情况，包括但不限于：</w:t>
      </w:r>
    </w:p>
    <w:p w14:paraId="42199CAE">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（1）国家对本次投标货物和服务的生产、安装调试、验收、维修等有关法律、法规及行业管理标准；</w:t>
      </w:r>
    </w:p>
    <w:p w14:paraId="4D937245">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（2）安徽省及滁州市等有关管理部门的相关规定；</w:t>
      </w:r>
    </w:p>
    <w:p w14:paraId="3004E621">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（3）</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的相关场地情况、基础建设、电力供应情况及相关设计标准。</w:t>
      </w:r>
    </w:p>
    <w:p w14:paraId="14A55628">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本招标文件不再对上述情况进行描述。</w:t>
      </w:r>
    </w:p>
    <w:p w14:paraId="5C1B24B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13.</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中标候选人无正当理由放弃中标候选人资格的，其将被记不良信息记录。</w:t>
      </w:r>
    </w:p>
    <w:p w14:paraId="61066CC8">
      <w:pPr>
        <w:spacing w:before="312" w:beforeLines="100" w:after="312" w:afterLines="100" w:line="440" w:lineRule="exact"/>
        <w:jc w:val="center"/>
        <w:rPr>
          <w:rFonts w:hint="eastAsia" w:ascii="宋体" w:hAnsi="宋体" w:cs="宋体"/>
          <w:b/>
          <w:color w:val="auto"/>
          <w:sz w:val="28"/>
          <w:szCs w:val="28"/>
          <w:highlight w:val="none"/>
        </w:rPr>
      </w:pPr>
      <w:bookmarkStart w:id="44" w:name="_Toc449028868"/>
      <w:r>
        <w:rPr>
          <w:rFonts w:hint="eastAsia" w:ascii="宋体" w:hAnsi="宋体" w:cs="宋体"/>
          <w:b/>
          <w:color w:val="auto"/>
          <w:sz w:val="28"/>
          <w:szCs w:val="28"/>
          <w:highlight w:val="none"/>
        </w:rPr>
        <w:t>（二）</w:t>
      </w:r>
      <w:bookmarkEnd w:id="44"/>
      <w:r>
        <w:rPr>
          <w:rFonts w:hint="eastAsia" w:ascii="宋体" w:hAnsi="宋体" w:cs="宋体"/>
          <w:b/>
          <w:color w:val="auto"/>
          <w:sz w:val="28"/>
          <w:szCs w:val="28"/>
          <w:highlight w:val="none"/>
        </w:rPr>
        <w:t>招标文件</w:t>
      </w:r>
    </w:p>
    <w:p w14:paraId="46A44023">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14. 招标文件的编制依据</w:t>
      </w:r>
    </w:p>
    <w:p w14:paraId="777EEBC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根据</w:t>
      </w:r>
      <w:r>
        <w:rPr>
          <w:rFonts w:hint="eastAsia" w:ascii="宋体" w:hAnsi="宋体" w:cs="宋体"/>
          <w:color w:val="auto"/>
          <w:highlight w:val="none"/>
        </w:rPr>
        <w:t>《中华人民共和国政府采购法》、《中华人民共和国政府采购法实施条例》</w:t>
      </w:r>
      <w:r>
        <w:rPr>
          <w:rFonts w:hint="eastAsia" w:ascii="宋体" w:hAnsi="宋体" w:cs="宋体"/>
          <w:color w:val="auto"/>
          <w:szCs w:val="21"/>
          <w:highlight w:val="none"/>
        </w:rPr>
        <w:t>、《政府采购货物和服务招标投标管理办法》和</w:t>
      </w:r>
      <w:r>
        <w:rPr>
          <w:rFonts w:hint="eastAsia" w:ascii="宋体" w:hAnsi="宋体" w:cs="宋体"/>
          <w:color w:val="auto"/>
          <w:highlight w:val="none"/>
        </w:rPr>
        <w:t>《中华人民共和国民法典》</w:t>
      </w:r>
      <w:r>
        <w:rPr>
          <w:rFonts w:hint="eastAsia" w:ascii="宋体" w:hAnsi="宋体" w:cs="宋体"/>
          <w:color w:val="auto"/>
          <w:spacing w:val="-2"/>
          <w:szCs w:val="21"/>
          <w:highlight w:val="none"/>
        </w:rPr>
        <w:t>等相关法律法规和规章及部、省、市级规范性文件的规定，编制本招标文件。</w:t>
      </w:r>
    </w:p>
    <w:p w14:paraId="40878A9D">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15. 招标文件的组成</w:t>
      </w:r>
    </w:p>
    <w:p w14:paraId="1055017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15.1 招标文件包括内容：</w:t>
      </w:r>
    </w:p>
    <w:p w14:paraId="6295F93E">
      <w:pPr>
        <w:spacing w:line="440" w:lineRule="exact"/>
        <w:ind w:firstLine="1470" w:firstLineChars="700"/>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rPr>
        <w:t xml:space="preserve">第一章  </w:t>
      </w:r>
      <w:r>
        <w:rPr>
          <w:rFonts w:hint="eastAsia" w:ascii="宋体" w:hAnsi="宋体" w:cs="宋体"/>
          <w:color w:val="auto"/>
          <w:szCs w:val="21"/>
          <w:highlight w:val="none"/>
          <w:lang w:val="en-US" w:eastAsia="zh-CN"/>
        </w:rPr>
        <w:t>招标公告</w:t>
      </w:r>
    </w:p>
    <w:p w14:paraId="79FDCAE1">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第二章  投标人须知</w:t>
      </w:r>
    </w:p>
    <w:p w14:paraId="7092E14E">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第三章  评标办法</w:t>
      </w:r>
    </w:p>
    <w:p w14:paraId="5A2E8E89">
      <w:pPr>
        <w:spacing w:line="440" w:lineRule="exact"/>
        <w:ind w:firstLine="1470" w:firstLineChars="700"/>
        <w:rPr>
          <w:rFonts w:hint="eastAsia" w:ascii="宋体" w:hAnsi="宋体" w:cs="宋体"/>
          <w:color w:val="auto"/>
          <w:szCs w:val="21"/>
          <w:highlight w:val="none"/>
        </w:rPr>
      </w:pPr>
      <w:r>
        <w:rPr>
          <w:rFonts w:hint="eastAsia" w:ascii="宋体" w:hAnsi="宋体" w:cs="宋体"/>
          <w:color w:val="auto"/>
          <w:szCs w:val="21"/>
          <w:highlight w:val="none"/>
        </w:rPr>
        <w:t>第</w:t>
      </w:r>
      <w:r>
        <w:rPr>
          <w:rFonts w:hint="eastAsia" w:ascii="宋体" w:hAnsi="宋体" w:cs="宋体"/>
          <w:color w:val="auto"/>
          <w:szCs w:val="21"/>
          <w:highlight w:val="none"/>
          <w:lang w:val="en-US" w:eastAsia="zh-CN"/>
        </w:rPr>
        <w:t>四</w:t>
      </w:r>
      <w:r>
        <w:rPr>
          <w:rFonts w:hint="eastAsia" w:ascii="宋体" w:hAnsi="宋体" w:cs="宋体"/>
          <w:color w:val="auto"/>
          <w:szCs w:val="21"/>
          <w:highlight w:val="none"/>
        </w:rPr>
        <w:t>章  投标文件格式</w:t>
      </w:r>
    </w:p>
    <w:p w14:paraId="12C92DCA">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15.2 除15.1款内容外，招标答疑亦为招标文件的组成部分，对</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和投标人起约束作用。</w:t>
      </w:r>
    </w:p>
    <w:p w14:paraId="1F97DF2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15.3投标人应仔细阅读和检查招标文件的全部内容。如发现缺页或附件不全，应及时向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提出，以便补齐。</w:t>
      </w:r>
    </w:p>
    <w:p w14:paraId="7F0264F9">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15.4 投标人可以通过</w:t>
      </w:r>
      <w:r>
        <w:rPr>
          <w:rFonts w:hint="eastAsia" w:ascii="宋体" w:hAnsi="宋体" w:cs="宋体"/>
          <w:color w:val="auto"/>
          <w:szCs w:val="21"/>
          <w:highlight w:val="none"/>
          <w:lang w:val="en-US" w:eastAsia="zh-CN"/>
        </w:rPr>
        <w:t>书面形式</w:t>
      </w:r>
      <w:r>
        <w:rPr>
          <w:rFonts w:hint="eastAsia" w:ascii="宋体" w:hAnsi="宋体" w:cs="宋体"/>
          <w:color w:val="auto"/>
          <w:szCs w:val="21"/>
          <w:highlight w:val="none"/>
        </w:rPr>
        <w:t>对招标文件提出澄清（质疑）。招标文件的澄清</w:t>
      </w:r>
      <w:r>
        <w:rPr>
          <w:rFonts w:hint="eastAsia" w:ascii="宋体" w:hAnsi="宋体" w:cs="宋体"/>
          <w:color w:val="auto"/>
          <w:szCs w:val="21"/>
          <w:highlight w:val="none"/>
          <w:lang w:val="en-US" w:eastAsia="zh-CN"/>
        </w:rPr>
        <w:t>将以更正公告形式在滁州市扬子工业投资集团有限公司官网（https://czyzgtjt.com/）予以公布</w:t>
      </w:r>
      <w:r>
        <w:rPr>
          <w:rFonts w:hint="eastAsia" w:ascii="宋体" w:hAnsi="宋体" w:cs="宋体"/>
          <w:color w:val="auto"/>
          <w:szCs w:val="21"/>
          <w:highlight w:val="none"/>
        </w:rPr>
        <w:t>，但不指明澄清问题的来源。如果澄清内容影响投标文件编制的，将相应延长投标截止时间。</w:t>
      </w:r>
    </w:p>
    <w:p w14:paraId="1642BB00">
      <w:pPr>
        <w:spacing w:line="440" w:lineRule="exact"/>
        <w:ind w:firstLine="422" w:firstLineChars="200"/>
        <w:rPr>
          <w:rFonts w:hint="eastAsia" w:ascii="宋体" w:hAnsi="宋体" w:cs="宋体"/>
          <w:b/>
          <w:bCs/>
          <w:color w:val="auto"/>
          <w:szCs w:val="21"/>
          <w:highlight w:val="none"/>
        </w:rPr>
      </w:pPr>
      <w:r>
        <w:rPr>
          <w:rFonts w:hint="eastAsia" w:ascii="宋体" w:hAnsi="宋体" w:cs="宋体"/>
          <w:b/>
          <w:bCs/>
          <w:color w:val="auto"/>
          <w:szCs w:val="21"/>
          <w:highlight w:val="none"/>
        </w:rPr>
        <w:t>16. 招标文件的修改、补充、解释</w:t>
      </w:r>
    </w:p>
    <w:p w14:paraId="147FC37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16.1 招标文件发出后，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在规定的投标截止时间前可对招标文件进行必要的修改和补充，并以更正公告形式</w:t>
      </w:r>
      <w:r>
        <w:rPr>
          <w:rFonts w:hint="eastAsia" w:ascii="宋体" w:hAnsi="宋体" w:cs="宋体"/>
          <w:color w:val="auto"/>
          <w:szCs w:val="21"/>
          <w:highlight w:val="none"/>
          <w:lang w:val="en-US" w:eastAsia="zh-CN"/>
        </w:rPr>
        <w:t>在滁州市扬子工业投资集团有限公司官网（https://czyzgtjt.com/）予以公布。</w:t>
      </w:r>
      <w:r>
        <w:rPr>
          <w:rFonts w:hint="eastAsia" w:ascii="宋体" w:hAnsi="宋体" w:cs="宋体"/>
          <w:color w:val="auto"/>
          <w:szCs w:val="21"/>
          <w:highlight w:val="none"/>
        </w:rPr>
        <w:t>请各位投标人注意查看有关澄清内容，如不及时查看造成后果由投标人自负。招标文件的修改、补充等内容作为招标文件的组成部分，具有约束作用。</w:t>
      </w:r>
    </w:p>
    <w:p w14:paraId="084A3441">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16.</w:t>
      </w:r>
      <w:r>
        <w:rPr>
          <w:rFonts w:hint="eastAsia" w:ascii="宋体" w:hAnsi="宋体" w:cs="宋体"/>
          <w:bCs/>
          <w:color w:val="auto"/>
          <w:szCs w:val="21"/>
          <w:highlight w:val="none"/>
          <w:lang w:val="en-US" w:eastAsia="zh-CN"/>
        </w:rPr>
        <w:t>2</w:t>
      </w:r>
      <w:r>
        <w:rPr>
          <w:rFonts w:hint="eastAsia" w:ascii="宋体" w:hAnsi="宋体" w:cs="宋体"/>
          <w:bCs/>
          <w:color w:val="auto"/>
          <w:szCs w:val="21"/>
          <w:highlight w:val="none"/>
        </w:rPr>
        <w:t>招标文件的解释</w:t>
      </w:r>
    </w:p>
    <w:p w14:paraId="31A55C49">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（1）构成本招标文件的各个组成文件应互为解释，互为说明；</w:t>
      </w:r>
    </w:p>
    <w:p w14:paraId="5CC6CDCE">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（2）同一组成文件中就同一事项的规定或约定不一致的，以编排顺序在后者为准；</w:t>
      </w:r>
    </w:p>
    <w:p w14:paraId="39EDD97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（3）如有不明确或不一致，构成合同文件组成内容的，以合同文件约定内容为准，且以专用合同条款约定的合同文件优先顺序解释；</w:t>
      </w:r>
    </w:p>
    <w:p w14:paraId="2EEBE02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（4）系统中提供的表格（或格式文件）与招标文件中不一致时，以招标文件中提供的为准；</w:t>
      </w:r>
    </w:p>
    <w:p w14:paraId="135B59B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（5）按本款前述规定仍不能形成结论的，由</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（或其委托的采购代理机构）负责解释。</w:t>
      </w:r>
    </w:p>
    <w:p w14:paraId="59288502">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 xml:space="preserve">    17. 招标文件的发出</w:t>
      </w:r>
    </w:p>
    <w:p w14:paraId="0A2CBA3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17.1招标文件、招标文件的澄清、修改、补充及招标答疑等在网站发出。</w:t>
      </w:r>
    </w:p>
    <w:p w14:paraId="7AE5F188">
      <w:pPr>
        <w:spacing w:line="440" w:lineRule="exact"/>
        <w:ind w:firstLine="280" w:firstLineChars="133"/>
        <w:rPr>
          <w:rFonts w:ascii="宋体" w:hAnsi="宋体" w:cs="宋体"/>
          <w:b/>
          <w:color w:val="auto"/>
          <w:szCs w:val="21"/>
          <w:highlight w:val="none"/>
        </w:rPr>
      </w:pPr>
      <w:r>
        <w:rPr>
          <w:rFonts w:hint="eastAsia" w:ascii="宋体" w:hAnsi="宋体" w:cs="宋体"/>
          <w:b/>
          <w:color w:val="auto"/>
          <w:szCs w:val="21"/>
          <w:highlight w:val="none"/>
        </w:rPr>
        <w:t>18. 样品（本项目不采用）</w:t>
      </w:r>
    </w:p>
    <w:p w14:paraId="1823EE2A">
      <w:pPr>
        <w:spacing w:line="440" w:lineRule="exact"/>
        <w:ind w:firstLine="279" w:firstLineChars="133"/>
        <w:rPr>
          <w:rFonts w:hint="eastAsia" w:ascii="宋体" w:hAnsi="宋体" w:cs="宋体"/>
          <w:color w:val="auto"/>
          <w:szCs w:val="21"/>
          <w:highlight w:val="none"/>
        </w:rPr>
      </w:pPr>
      <w:r>
        <w:rPr>
          <w:rFonts w:hint="eastAsia" w:ascii="宋体" w:hAnsi="宋体" w:cs="宋体"/>
          <w:color w:val="auto"/>
          <w:szCs w:val="21"/>
          <w:highlight w:val="none"/>
        </w:rPr>
        <w:t>18.1凡需要设置样品情形时，必须明确是否需要随样品提交检测报告，并明确检测机构的要求、检测内容、中标样品封存等事项。评标委员会无法判断样品是否合格且样品需要提供给第三方权威检测机构检测的</w:t>
      </w:r>
      <w:r>
        <w:rPr>
          <w:rFonts w:hint="eastAsia" w:ascii="宋体" w:hAnsi="宋体" w:cs="宋体"/>
          <w:color w:val="auto"/>
          <w:szCs w:val="21"/>
          <w:highlight w:val="none"/>
          <w:lang w:eastAsia="zh-CN"/>
        </w:rPr>
        <w:t>，</w:t>
      </w:r>
      <w:r>
        <w:rPr>
          <w:rFonts w:hint="eastAsia" w:ascii="宋体" w:hAnsi="宋体" w:cs="宋体"/>
          <w:color w:val="auto"/>
          <w:szCs w:val="21"/>
          <w:highlight w:val="none"/>
        </w:rPr>
        <w:t>在投标人提供</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认可的第三方权威检测机构检测报告后，评标委员会推荐的中标候选人方可生效，</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或代理机构发布中标（成交）结果公告。</w:t>
      </w:r>
    </w:p>
    <w:p w14:paraId="6AA2827A">
      <w:pPr>
        <w:spacing w:line="440" w:lineRule="exact"/>
        <w:ind w:firstLine="420"/>
        <w:rPr>
          <w:rFonts w:hint="eastAsia" w:ascii="宋体" w:hAnsi="宋体" w:cs="宋体"/>
          <w:color w:val="auto"/>
          <w:szCs w:val="21"/>
          <w:highlight w:val="none"/>
        </w:rPr>
      </w:pPr>
      <w:r>
        <w:rPr>
          <w:rFonts w:hint="eastAsia" w:ascii="宋体" w:hAnsi="宋体" w:cs="宋体"/>
          <w:color w:val="auto"/>
          <w:szCs w:val="21"/>
          <w:highlight w:val="none"/>
        </w:rPr>
        <w:t>18.2招标文件中应明确样品送检方式、检测费用支付方法、投标人在规定时间内无法提供第三方权威检测机构检测报告的处理方式。（</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根据项目需求按上述要求自行描述）</w:t>
      </w:r>
    </w:p>
    <w:p w14:paraId="4FC9C7E5">
      <w:pPr>
        <w:spacing w:before="312" w:beforeLines="100" w:after="312" w:afterLines="100" w:line="440" w:lineRule="exact"/>
        <w:jc w:val="center"/>
        <w:rPr>
          <w:rFonts w:hint="eastAsia" w:ascii="宋体" w:hAnsi="宋体" w:cs="宋体"/>
          <w:b/>
          <w:color w:val="auto"/>
          <w:sz w:val="28"/>
          <w:szCs w:val="28"/>
          <w:highlight w:val="none"/>
        </w:rPr>
      </w:pPr>
      <w:bookmarkStart w:id="45" w:name="_Toc449028869"/>
      <w:r>
        <w:rPr>
          <w:rFonts w:hint="eastAsia" w:ascii="宋体" w:hAnsi="宋体" w:cs="宋体"/>
          <w:b/>
          <w:color w:val="auto"/>
          <w:sz w:val="28"/>
          <w:szCs w:val="28"/>
          <w:highlight w:val="none"/>
        </w:rPr>
        <w:t>（三）投标文件的编制</w:t>
      </w:r>
      <w:bookmarkEnd w:id="45"/>
    </w:p>
    <w:p w14:paraId="7C9D5282">
      <w:pPr>
        <w:spacing w:line="440" w:lineRule="exact"/>
        <w:ind w:firstLine="306" w:firstLineChars="145"/>
        <w:rPr>
          <w:rFonts w:hint="eastAsia" w:ascii="宋体" w:hAnsi="宋体" w:cs="宋体"/>
          <w:b/>
          <w:color w:val="auto"/>
          <w:szCs w:val="21"/>
          <w:highlight w:val="none"/>
        </w:rPr>
      </w:pPr>
      <w:r>
        <w:rPr>
          <w:rFonts w:hint="eastAsia" w:ascii="宋体" w:hAnsi="宋体" w:cs="宋体"/>
          <w:b/>
          <w:color w:val="auto"/>
          <w:szCs w:val="21"/>
          <w:highlight w:val="none"/>
        </w:rPr>
        <w:t>19. 投标的语言及度量衡单位</w:t>
      </w:r>
    </w:p>
    <w:p w14:paraId="788D9573">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19.1投标人的投标文件、以及投标人与</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就投标的所有往来函电，均须使用简体中文。</w:t>
      </w:r>
    </w:p>
    <w:p w14:paraId="4DADC22B">
      <w:pPr>
        <w:spacing w:line="440" w:lineRule="exact"/>
        <w:ind w:left="267" w:leftChars="127" w:firstLine="105" w:firstLineChars="50"/>
        <w:rPr>
          <w:rFonts w:hint="eastAsia" w:ascii="宋体" w:hAnsi="宋体" w:cs="宋体"/>
          <w:color w:val="auto"/>
          <w:szCs w:val="21"/>
          <w:highlight w:val="none"/>
        </w:rPr>
      </w:pPr>
      <w:r>
        <w:rPr>
          <w:rFonts w:hint="eastAsia" w:ascii="宋体" w:hAnsi="宋体" w:cs="宋体"/>
          <w:color w:val="auto"/>
          <w:szCs w:val="21"/>
          <w:highlight w:val="none"/>
        </w:rPr>
        <w:t>19.2除招标文件中另有规定外，投标文件所使用的度量衡均须采用法定计量单位。</w:t>
      </w:r>
    </w:p>
    <w:p w14:paraId="6DB94D96">
      <w:pPr>
        <w:spacing w:line="440" w:lineRule="exact"/>
        <w:ind w:firstLine="207" w:firstLineChars="98"/>
        <w:rPr>
          <w:rFonts w:hint="eastAsia" w:ascii="宋体" w:hAnsi="宋体" w:cs="宋体"/>
          <w:b/>
          <w:color w:val="auto"/>
          <w:szCs w:val="21"/>
          <w:highlight w:val="none"/>
        </w:rPr>
      </w:pPr>
      <w:r>
        <w:rPr>
          <w:rFonts w:hint="eastAsia" w:ascii="宋体" w:hAnsi="宋体" w:cs="宋体"/>
          <w:b/>
          <w:color w:val="auto"/>
          <w:szCs w:val="21"/>
          <w:highlight w:val="none"/>
        </w:rPr>
        <w:t>20. 投标文件的组成</w:t>
      </w:r>
    </w:p>
    <w:p w14:paraId="2A6B9B4A">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20.1投标文件的组成</w:t>
      </w:r>
    </w:p>
    <w:p w14:paraId="1C4F64E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具体内容详见第六章投标文件格式内容。</w:t>
      </w:r>
    </w:p>
    <w:p w14:paraId="39666C4B">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20.</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投标文件的编制</w:t>
      </w:r>
    </w:p>
    <w:p w14:paraId="3934078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（1）投标文件应按第六章“投标文件格式”进行编写，如有必要，可以增加附页，作为投标文件的组成部分。</w:t>
      </w:r>
    </w:p>
    <w:p w14:paraId="0C3D5DA2">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（2）投标人应按照</w:t>
      </w:r>
      <w:r>
        <w:rPr>
          <w:rFonts w:hint="eastAsia" w:ascii="宋体" w:hAnsi="宋体" w:cs="宋体"/>
          <w:color w:val="auto"/>
          <w:szCs w:val="21"/>
          <w:highlight w:val="none"/>
          <w:lang w:val="en-US" w:eastAsia="zh-CN"/>
        </w:rPr>
        <w:t>招标文件的</w:t>
      </w:r>
      <w:r>
        <w:rPr>
          <w:rFonts w:hint="eastAsia" w:ascii="宋体" w:hAnsi="宋体" w:cs="宋体"/>
          <w:color w:val="auto"/>
          <w:szCs w:val="21"/>
          <w:highlight w:val="none"/>
        </w:rPr>
        <w:t>要求，制作投标文件。</w:t>
      </w:r>
    </w:p>
    <w:p w14:paraId="01F38C13">
      <w:pPr>
        <w:spacing w:line="440" w:lineRule="exact"/>
        <w:ind w:firstLine="424" w:firstLineChars="202"/>
        <w:rPr>
          <w:rFonts w:hint="eastAsia" w:ascii="宋体" w:hAnsi="宋体" w:cs="宋体"/>
          <w:color w:val="auto"/>
          <w:szCs w:val="21"/>
          <w:highlight w:val="none"/>
        </w:rPr>
      </w:pPr>
      <w:r>
        <w:rPr>
          <w:rFonts w:hint="eastAsia" w:ascii="宋体" w:hAnsi="宋体" w:cs="宋体"/>
          <w:color w:val="auto"/>
          <w:szCs w:val="21"/>
          <w:highlight w:val="none"/>
        </w:rPr>
        <w:t>（4）</w:t>
      </w:r>
      <w:r>
        <w:rPr>
          <w:rFonts w:hint="eastAsia" w:ascii="宋体" w:hAnsi="宋体" w:cs="宋体"/>
          <w:color w:val="auto"/>
          <w:szCs w:val="21"/>
          <w:highlight w:val="none"/>
          <w:lang w:eastAsia="zh-CN"/>
        </w:rPr>
        <w:t>网上</w:t>
      </w:r>
      <w:r>
        <w:rPr>
          <w:rFonts w:hint="eastAsia" w:ascii="宋体" w:hAnsi="宋体" w:cs="宋体"/>
          <w:color w:val="auto"/>
          <w:szCs w:val="21"/>
          <w:highlight w:val="none"/>
        </w:rPr>
        <w:t>递交的投标文件应按招标文件规定的格式由投标人的法定代表人和投标人分别签</w:t>
      </w:r>
      <w:r>
        <w:rPr>
          <w:rFonts w:hint="eastAsia" w:ascii="宋体" w:hAnsi="宋体" w:cs="宋体"/>
          <w:color w:val="auto"/>
          <w:szCs w:val="21"/>
          <w:highlight w:val="none"/>
          <w:lang w:val="en-US" w:eastAsia="zh-CN"/>
        </w:rPr>
        <w:t>字或盖章</w:t>
      </w:r>
      <w:r>
        <w:rPr>
          <w:rFonts w:hint="eastAsia" w:ascii="宋体" w:hAnsi="宋体" w:cs="宋体"/>
          <w:color w:val="auto"/>
          <w:szCs w:val="21"/>
          <w:highlight w:val="none"/>
        </w:rPr>
        <w:t>。</w:t>
      </w:r>
    </w:p>
    <w:p w14:paraId="7D53EE2F">
      <w:pPr>
        <w:spacing w:line="440" w:lineRule="exact"/>
        <w:ind w:firstLine="422" w:firstLineChars="200"/>
        <w:rPr>
          <w:rFonts w:hint="eastAsia" w:ascii="宋体" w:hAnsi="宋体" w:cs="宋体"/>
          <w:color w:val="auto"/>
          <w:szCs w:val="21"/>
          <w:highlight w:val="none"/>
        </w:rPr>
      </w:pPr>
      <w:r>
        <w:rPr>
          <w:rFonts w:hint="eastAsia" w:ascii="宋体" w:hAnsi="宋体" w:cs="宋体"/>
          <w:b/>
          <w:color w:val="auto"/>
          <w:szCs w:val="21"/>
          <w:highlight w:val="none"/>
        </w:rPr>
        <w:t>21</w:t>
      </w:r>
      <w:r>
        <w:rPr>
          <w:rFonts w:hint="eastAsia" w:ascii="宋体" w:hAnsi="宋体" w:cs="宋体"/>
          <w:color w:val="auto"/>
          <w:szCs w:val="21"/>
          <w:highlight w:val="none"/>
        </w:rPr>
        <w:t>.</w:t>
      </w:r>
      <w:r>
        <w:rPr>
          <w:rFonts w:hint="eastAsia" w:ascii="宋体" w:hAnsi="宋体" w:cs="宋体"/>
          <w:b/>
          <w:color w:val="auto"/>
          <w:szCs w:val="21"/>
          <w:highlight w:val="none"/>
        </w:rPr>
        <w:t>投标报价</w:t>
      </w:r>
    </w:p>
    <w:p w14:paraId="02219291">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21.1投标报价文件中的单价和总价全部采用人民币表示。投标人的报价应含有服务（货物）、利润、税金、政策性文件规定及合同包含的所有风险、责任、义务等，即为完成招标文件要求的服务（货物）内容所包含的一切应有费用，中标价格今后将不作任何调整，</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后期不再追加费用，投标供应商自行考虑投标风险。</w:t>
      </w:r>
    </w:p>
    <w:p w14:paraId="051CF945">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投标人只允许有一个方案、一个报价。</w:t>
      </w:r>
    </w:p>
    <w:p w14:paraId="1F1352B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投标人应按“采购</w:t>
      </w:r>
      <w:r>
        <w:rPr>
          <w:rFonts w:hint="eastAsia" w:ascii="宋体" w:hAnsi="宋体" w:cs="宋体"/>
          <w:color w:val="auto"/>
          <w:szCs w:val="21"/>
          <w:highlight w:val="none"/>
          <w:lang w:val="en-US" w:eastAsia="zh-CN"/>
        </w:rPr>
        <w:t>需求”</w:t>
      </w:r>
      <w:r>
        <w:rPr>
          <w:rFonts w:hint="eastAsia" w:ascii="宋体" w:hAnsi="宋体" w:cs="宋体"/>
          <w:color w:val="auto"/>
          <w:szCs w:val="21"/>
          <w:highlight w:val="none"/>
        </w:rPr>
        <w:t>所列</w:t>
      </w:r>
      <w:r>
        <w:rPr>
          <w:rFonts w:hint="eastAsia" w:ascii="宋体" w:hAnsi="宋体" w:cs="宋体"/>
          <w:color w:val="auto"/>
          <w:szCs w:val="21"/>
          <w:highlight w:val="none"/>
          <w:lang w:val="en-US" w:eastAsia="zh-CN"/>
        </w:rPr>
        <w:t>服务</w:t>
      </w:r>
      <w:r>
        <w:rPr>
          <w:rFonts w:hint="eastAsia" w:ascii="宋体" w:hAnsi="宋体" w:cs="宋体"/>
          <w:color w:val="auto"/>
          <w:szCs w:val="21"/>
          <w:highlight w:val="none"/>
        </w:rPr>
        <w:t>进行单报价，不得采用总价下浮的方式进行报价。</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包括国家对中标单位征收的各种税费等所有一切费用，</w:t>
      </w:r>
      <w:r>
        <w:rPr>
          <w:rFonts w:hint="eastAsia" w:ascii="宋体" w:hAnsi="宋体" w:cs="宋体"/>
          <w:color w:val="auto"/>
          <w:szCs w:val="21"/>
          <w:highlight w:val="none"/>
          <w:lang w:val="en-US" w:eastAsia="zh-CN"/>
        </w:rPr>
        <w:t>投标报价</w:t>
      </w:r>
      <w:r>
        <w:rPr>
          <w:rFonts w:hint="eastAsia" w:ascii="宋体" w:hAnsi="宋体" w:cs="宋体"/>
          <w:color w:val="auto"/>
          <w:szCs w:val="21"/>
          <w:highlight w:val="none"/>
        </w:rPr>
        <w:t>今后将不</w:t>
      </w:r>
      <w:r>
        <w:rPr>
          <w:rFonts w:hint="eastAsia" w:ascii="宋体" w:hAnsi="宋体" w:cs="宋体"/>
          <w:color w:val="auto"/>
          <w:szCs w:val="21"/>
          <w:highlight w:val="none"/>
          <w:lang w:eastAsia="zh-CN"/>
        </w:rPr>
        <w:t>做</w:t>
      </w:r>
      <w:r>
        <w:rPr>
          <w:rFonts w:hint="eastAsia" w:ascii="宋体" w:hAnsi="宋体" w:cs="宋体"/>
          <w:color w:val="auto"/>
          <w:szCs w:val="21"/>
          <w:highlight w:val="none"/>
        </w:rPr>
        <w:t>任何调整。</w:t>
      </w:r>
    </w:p>
    <w:p w14:paraId="26CF0DB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投标报价应由法定代表人或被授权人签署。</w:t>
      </w:r>
    </w:p>
    <w:p w14:paraId="5552ED46">
      <w:pPr>
        <w:spacing w:line="440" w:lineRule="exact"/>
        <w:ind w:firstLine="420" w:firstLineChars="200"/>
        <w:rPr>
          <w:rFonts w:hint="eastAsia" w:ascii="宋体" w:hAnsi="宋体" w:cs="宋体"/>
          <w:bCs/>
          <w:color w:val="auto"/>
          <w:szCs w:val="21"/>
          <w:highlight w:val="none"/>
        </w:rPr>
      </w:pPr>
      <w:r>
        <w:rPr>
          <w:rFonts w:hint="eastAsia" w:ascii="宋体" w:hAnsi="宋体" w:cs="宋体"/>
          <w:bCs/>
          <w:color w:val="auto"/>
          <w:szCs w:val="21"/>
          <w:highlight w:val="none"/>
        </w:rPr>
        <w:t>21.</w:t>
      </w:r>
      <w:r>
        <w:rPr>
          <w:rFonts w:hint="eastAsia" w:ascii="宋体" w:hAnsi="宋体" w:cs="宋体"/>
          <w:bCs/>
          <w:color w:val="auto"/>
          <w:szCs w:val="21"/>
          <w:highlight w:val="none"/>
          <w:lang w:val="en-US" w:eastAsia="zh-CN"/>
        </w:rPr>
        <w:t>5</w:t>
      </w:r>
      <w:r>
        <w:rPr>
          <w:rFonts w:hint="eastAsia" w:ascii="宋体"/>
          <w:bCs/>
          <w:color w:val="auto"/>
          <w:szCs w:val="21"/>
          <w:highlight w:val="none"/>
        </w:rPr>
        <w:t>投标人的报价不得高于本次招标最高限价</w:t>
      </w:r>
      <w:r>
        <w:rPr>
          <w:rFonts w:hint="eastAsia" w:ascii="宋体" w:hAnsi="宋体"/>
          <w:b/>
          <w:color w:val="auto"/>
          <w:szCs w:val="21"/>
          <w:highlight w:val="none"/>
        </w:rPr>
        <w:t>，</w:t>
      </w:r>
      <w:r>
        <w:rPr>
          <w:rFonts w:hint="eastAsia" w:ascii="宋体" w:hAnsi="宋体"/>
          <w:b/>
          <w:bCs/>
          <w:color w:val="auto"/>
          <w:szCs w:val="21"/>
          <w:highlight w:val="none"/>
        </w:rPr>
        <w:t>否则将作为无效投标处理。</w:t>
      </w:r>
    </w:p>
    <w:p w14:paraId="3BA8D03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如投标文件中未列明全面实现投标货物功能而必须配置的配套或辅助设施及相应技术措施的费用，这些费用将被视为已包含在总投标价中。</w:t>
      </w:r>
    </w:p>
    <w:p w14:paraId="661B54F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总投标价中不得包含招标文件要求以外的内容，否则，在评标时不予核减，但在授予合同时，</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有权将这部分价格从其中标价格中扣除。</w:t>
      </w:r>
    </w:p>
    <w:p w14:paraId="3CEAF67A">
      <w:pPr>
        <w:spacing w:line="440" w:lineRule="exact"/>
        <w:ind w:firstLine="403" w:firstLineChars="192"/>
        <w:rPr>
          <w:rFonts w:hint="eastAsia" w:ascii="宋体" w:hAnsi="宋体" w:cs="宋体"/>
          <w:color w:val="auto"/>
          <w:szCs w:val="21"/>
          <w:highlight w:val="none"/>
        </w:rPr>
      </w:pPr>
      <w:r>
        <w:rPr>
          <w:rFonts w:hint="eastAsia" w:ascii="宋体" w:hAnsi="宋体" w:cs="宋体"/>
          <w:color w:val="auto"/>
          <w:szCs w:val="21"/>
          <w:highlight w:val="none"/>
        </w:rPr>
        <w:t>21.</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总投标价中不得缺漏招标文件所要求的内容，否则，评标时将有效投标中该项内容的最高价计入其评标总价，但在授予合同时，缺漏项目的报价视作已含在其他项目的报价中，这些项目将作为免费赠送而包含在合同内。</w:t>
      </w:r>
    </w:p>
    <w:p w14:paraId="36E90D1F">
      <w:pPr>
        <w:spacing w:line="440" w:lineRule="exact"/>
        <w:ind w:firstLine="422" w:firstLineChars="200"/>
        <w:rPr>
          <w:rFonts w:hint="eastAsia" w:ascii="宋体" w:hAnsi="宋体" w:cs="宋体"/>
          <w:b/>
          <w:color w:val="auto"/>
          <w:szCs w:val="21"/>
          <w:highlight w:val="none"/>
        </w:rPr>
      </w:pPr>
      <w:r>
        <w:rPr>
          <w:rFonts w:hint="eastAsia" w:ascii="宋体" w:hAnsi="宋体" w:cs="宋体"/>
          <w:b/>
          <w:color w:val="auto"/>
          <w:szCs w:val="21"/>
          <w:highlight w:val="none"/>
        </w:rPr>
        <w:t>22. 投标有效期</w:t>
      </w:r>
    </w:p>
    <w:p w14:paraId="16F2C616">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22.1 投标有效期见投标人须知前附表。</w:t>
      </w:r>
    </w:p>
    <w:p w14:paraId="24565008">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22.2在投标有效期内，投标人撤销或修改其投标文件的，应承担招标文件和法律规定的责任。</w:t>
      </w:r>
    </w:p>
    <w:p w14:paraId="615A0C4D">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22.3出现特殊情况需要延长投标有效期的，</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以书面形式通知所有投标人延长投标有效期。投标人同意延长的，不得要求或被允许修改或撤销其投标文件；投标人拒绝延长的，其投标失效。</w:t>
      </w:r>
    </w:p>
    <w:p w14:paraId="517F2154">
      <w:pPr>
        <w:spacing w:line="440" w:lineRule="exact"/>
        <w:ind w:firstLine="405" w:firstLineChars="192"/>
        <w:rPr>
          <w:rFonts w:hint="eastAsia" w:ascii="宋体" w:hAnsi="宋体" w:cs="宋体"/>
          <w:b/>
          <w:color w:val="auto"/>
          <w:szCs w:val="21"/>
          <w:highlight w:val="none"/>
        </w:rPr>
      </w:pPr>
      <w:r>
        <w:rPr>
          <w:rFonts w:hint="eastAsia" w:ascii="宋体" w:hAnsi="宋体" w:cs="宋体"/>
          <w:b/>
          <w:color w:val="auto"/>
          <w:szCs w:val="21"/>
          <w:highlight w:val="none"/>
        </w:rPr>
        <w:t>23. 投标保证金</w:t>
      </w:r>
    </w:p>
    <w:p w14:paraId="01F99030">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23.1投标人须知前附表规定递交投标保证金的，投标人在递交投标文件的同时，应按投标人须知前附表规定的金额、担保形式规定的或者事先经过招标人认可的保证金格式递交保证金，并作为其投标文件的组成部分。</w:t>
      </w:r>
    </w:p>
    <w:p w14:paraId="04C711A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.2投标人不按</w:t>
      </w:r>
      <w:r>
        <w:rPr>
          <w:rFonts w:hint="eastAsia" w:ascii="宋体" w:hAnsi="宋体" w:cs="宋体"/>
          <w:color w:val="auto"/>
          <w:szCs w:val="21"/>
          <w:highlight w:val="none"/>
          <w:lang w:val="en-US" w:eastAsia="zh-CN"/>
        </w:rPr>
        <w:t>招标文件</w:t>
      </w:r>
      <w:r>
        <w:rPr>
          <w:rFonts w:hint="eastAsia" w:ascii="宋体" w:hAnsi="宋体" w:cs="宋体"/>
          <w:color w:val="auto"/>
          <w:szCs w:val="21"/>
          <w:highlight w:val="none"/>
        </w:rPr>
        <w:t>要求提交投标保证金的，评标委员会将否决其投标。</w:t>
      </w:r>
    </w:p>
    <w:p w14:paraId="1E9EA90F">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.3未中标投标人的投标保证金，</w:t>
      </w:r>
      <w:r>
        <w:rPr>
          <w:rFonts w:hint="eastAsia" w:ascii="宋体" w:hAnsi="宋体" w:cs="宋体"/>
          <w:color w:val="auto"/>
          <w:szCs w:val="21"/>
          <w:highlight w:val="none"/>
          <w:lang w:val="en-US" w:eastAsia="zh-CN"/>
        </w:rPr>
        <w:t>在</w:t>
      </w:r>
      <w:r>
        <w:rPr>
          <w:rFonts w:hint="eastAsia" w:ascii="宋体" w:hAnsi="宋体" w:cs="宋体"/>
          <w:color w:val="auto"/>
          <w:szCs w:val="21"/>
          <w:highlight w:val="none"/>
        </w:rPr>
        <w:t>中标通知书</w:t>
      </w:r>
      <w:r>
        <w:rPr>
          <w:rFonts w:hint="eastAsia" w:ascii="宋体" w:hAnsi="宋体" w:cs="宋体"/>
          <w:color w:val="auto"/>
          <w:szCs w:val="21"/>
          <w:highlight w:val="none"/>
          <w:lang w:val="en-US" w:eastAsia="zh-CN"/>
        </w:rPr>
        <w:t>发放后5个工作日内退还</w:t>
      </w:r>
      <w:r>
        <w:rPr>
          <w:rFonts w:hint="eastAsia" w:ascii="宋体" w:hAnsi="宋体" w:cs="宋体"/>
          <w:color w:val="auto"/>
          <w:szCs w:val="21"/>
          <w:highlight w:val="none"/>
        </w:rPr>
        <w:t>。</w:t>
      </w:r>
    </w:p>
    <w:p w14:paraId="143228FB">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xml:space="preserve">.4有下列情形之一的，投标保证金将不予退还： </w:t>
      </w:r>
    </w:p>
    <w:p w14:paraId="5079D754">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（1）投标截止后投标人撤销投标文件的；</w:t>
      </w:r>
    </w:p>
    <w:p w14:paraId="04F5B07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（2）中标人无正当理由不与招标人订立合同，在签订合同时向招标人提出附加条件，或者不按照招标文件要求提交履约保证金的。</w:t>
      </w:r>
    </w:p>
    <w:p w14:paraId="4CDE01CD">
      <w:pPr>
        <w:spacing w:before="312" w:beforeLines="100" w:after="312" w:afterLines="100" w:line="440" w:lineRule="exact"/>
        <w:jc w:val="center"/>
        <w:rPr>
          <w:rFonts w:hint="eastAsia" w:ascii="宋体" w:hAnsi="宋体" w:eastAsia="宋体" w:cs="宋体"/>
          <w:b/>
          <w:color w:val="auto"/>
          <w:sz w:val="28"/>
          <w:szCs w:val="28"/>
          <w:highlight w:val="none"/>
        </w:rPr>
      </w:pPr>
      <w:bookmarkStart w:id="46" w:name="_Toc449028870"/>
      <w:r>
        <w:rPr>
          <w:rFonts w:hint="eastAsia" w:ascii="宋体" w:hAnsi="宋体" w:eastAsia="宋体" w:cs="宋体"/>
          <w:b/>
          <w:color w:val="auto"/>
          <w:sz w:val="28"/>
          <w:szCs w:val="28"/>
          <w:highlight w:val="none"/>
        </w:rPr>
        <w:t>（四）投标文件的递交</w:t>
      </w:r>
      <w:bookmarkEnd w:id="46"/>
    </w:p>
    <w:p w14:paraId="188FD95D">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24. 投标文件的份数和签署</w:t>
      </w:r>
    </w:p>
    <w:p w14:paraId="30F5148C">
      <w:pPr>
        <w:spacing w:line="440" w:lineRule="exact"/>
        <w:ind w:firstLine="315" w:firstLineChars="150"/>
        <w:jc w:val="left"/>
        <w:rPr>
          <w:rFonts w:hint="eastAsia" w:ascii="宋体" w:hAnsi="宋体" w:cs="宋体"/>
          <w:b w:val="0"/>
          <w:bCs w:val="0"/>
          <w:color w:val="auto"/>
          <w:szCs w:val="21"/>
          <w:highlight w:val="none"/>
        </w:rPr>
      </w:pPr>
      <w:bookmarkStart w:id="47" w:name="_Toc449028871"/>
      <w:r>
        <w:rPr>
          <w:rFonts w:hint="eastAsia" w:ascii="宋体" w:hAnsi="宋体" w:cs="宋体"/>
          <w:b w:val="0"/>
          <w:bCs w:val="0"/>
          <w:color w:val="auto"/>
          <w:szCs w:val="21"/>
          <w:highlight w:val="none"/>
        </w:rPr>
        <w:t>24.</w:t>
      </w:r>
      <w:r>
        <w:rPr>
          <w:rFonts w:hint="eastAsia" w:ascii="宋体" w:hAnsi="宋体" w:cs="宋体"/>
          <w:b w:val="0"/>
          <w:bCs w:val="0"/>
          <w:color w:val="auto"/>
          <w:szCs w:val="21"/>
          <w:highlight w:val="none"/>
          <w:lang w:val="en-US" w:eastAsia="zh-CN"/>
        </w:rPr>
        <w:t>1</w:t>
      </w:r>
      <w:r>
        <w:rPr>
          <w:rFonts w:hint="eastAsia" w:ascii="宋体" w:hAnsi="宋体" w:cs="宋体"/>
          <w:b w:val="0"/>
          <w:bCs w:val="0"/>
          <w:color w:val="auto"/>
          <w:szCs w:val="21"/>
          <w:highlight w:val="none"/>
        </w:rPr>
        <w:t>投标文件须按格式文件要求签字或盖章，否则经评委会一致认定后</w:t>
      </w:r>
      <w:r>
        <w:rPr>
          <w:rFonts w:hint="eastAsia" w:ascii="宋体" w:hAnsi="宋体" w:cs="宋体"/>
          <w:b w:val="0"/>
          <w:bCs w:val="0"/>
          <w:color w:val="auto"/>
          <w:szCs w:val="21"/>
          <w:highlight w:val="none"/>
          <w:lang w:eastAsia="zh-CN"/>
        </w:rPr>
        <w:t>，</w:t>
      </w:r>
      <w:r>
        <w:rPr>
          <w:rFonts w:hint="eastAsia" w:ascii="宋体" w:hAnsi="宋体" w:cs="宋体"/>
          <w:b w:val="0"/>
          <w:bCs w:val="0"/>
          <w:color w:val="auto"/>
          <w:szCs w:val="21"/>
          <w:highlight w:val="none"/>
        </w:rPr>
        <w:t xml:space="preserve"> 按照无效投标处理。</w:t>
      </w:r>
    </w:p>
    <w:p w14:paraId="0BBFAA11">
      <w:pPr>
        <w:spacing w:line="440" w:lineRule="exact"/>
        <w:ind w:firstLine="312" w:firstLineChars="148"/>
        <w:jc w:val="left"/>
        <w:rPr>
          <w:rFonts w:hint="eastAsia" w:ascii="宋体" w:hAnsi="宋体" w:cs="宋体"/>
          <w:b/>
          <w:color w:val="auto"/>
          <w:szCs w:val="21"/>
          <w:highlight w:val="none"/>
        </w:rPr>
      </w:pPr>
      <w:r>
        <w:rPr>
          <w:rFonts w:hint="eastAsia" w:ascii="宋体" w:hAnsi="宋体" w:cs="宋体"/>
          <w:b/>
          <w:color w:val="auto"/>
          <w:szCs w:val="21"/>
          <w:highlight w:val="none"/>
        </w:rPr>
        <w:t>25. 投标文件的提交</w:t>
      </w:r>
    </w:p>
    <w:p w14:paraId="203AAEB9">
      <w:pPr>
        <w:spacing w:line="440" w:lineRule="exact"/>
        <w:ind w:firstLine="310" w:firstLineChars="148"/>
        <w:jc w:val="left"/>
        <w:rPr>
          <w:rFonts w:hint="eastAsia" w:ascii="宋体" w:hAnsi="宋体" w:cs="宋体"/>
          <w:b w:val="0"/>
          <w:bCs/>
          <w:color w:val="auto"/>
          <w:szCs w:val="21"/>
          <w:highlight w:val="none"/>
        </w:rPr>
      </w:pPr>
      <w:r>
        <w:rPr>
          <w:rFonts w:hint="eastAsia" w:ascii="宋体" w:hAnsi="宋体" w:cs="宋体"/>
          <w:b w:val="0"/>
          <w:bCs/>
          <w:color w:val="auto"/>
          <w:szCs w:val="21"/>
          <w:highlight w:val="none"/>
        </w:rPr>
        <w:t>25.1 投标人应在投标人须知前附表规定的投标截止时间</w:t>
      </w:r>
      <w:r>
        <w:rPr>
          <w:rFonts w:hint="eastAsia" w:ascii="宋体" w:hAnsi="宋体" w:cs="宋体"/>
          <w:b w:val="0"/>
          <w:bCs/>
          <w:color w:val="auto"/>
          <w:szCs w:val="21"/>
          <w:highlight w:val="none"/>
          <w:lang w:eastAsia="zh-CN"/>
        </w:rPr>
        <w:t>前</w:t>
      </w:r>
      <w:r>
        <w:rPr>
          <w:rFonts w:hint="eastAsia" w:ascii="宋体" w:hAnsi="宋体" w:cs="宋体"/>
          <w:b w:val="0"/>
          <w:bCs/>
          <w:color w:val="auto"/>
          <w:szCs w:val="21"/>
          <w:highlight w:val="none"/>
        </w:rPr>
        <w:t>递交投标文件。未在开标截止时间前递交投标文件的，投标将被拒绝。</w:t>
      </w:r>
    </w:p>
    <w:p w14:paraId="4DBC5CD5">
      <w:pPr>
        <w:spacing w:line="440" w:lineRule="exact"/>
        <w:ind w:firstLine="314" w:firstLineChars="149"/>
        <w:rPr>
          <w:rFonts w:hint="eastAsia" w:ascii="宋体" w:hAnsi="宋体" w:cs="宋体"/>
          <w:b/>
          <w:color w:val="auto"/>
          <w:szCs w:val="21"/>
          <w:highlight w:val="none"/>
        </w:rPr>
      </w:pPr>
      <w:r>
        <w:rPr>
          <w:rFonts w:hint="eastAsia" w:ascii="宋体" w:hAnsi="宋体" w:cs="宋体"/>
          <w:b/>
          <w:color w:val="auto"/>
          <w:szCs w:val="21"/>
          <w:highlight w:val="none"/>
        </w:rPr>
        <w:t>26．投标文件的修改与撤回</w:t>
      </w:r>
    </w:p>
    <w:p w14:paraId="73AF4EAE">
      <w:pPr>
        <w:spacing w:line="440" w:lineRule="exact"/>
        <w:ind w:firstLine="310" w:firstLineChars="148"/>
        <w:jc w:val="left"/>
        <w:rPr>
          <w:rFonts w:hint="eastAsia" w:ascii="宋体" w:hAnsi="宋体" w:eastAsia="宋体" w:cs="宋体"/>
          <w:b w:val="0"/>
          <w:bCs/>
          <w:color w:val="auto"/>
          <w:szCs w:val="21"/>
          <w:highlight w:val="none"/>
        </w:rPr>
      </w:pPr>
      <w:r>
        <w:rPr>
          <w:rFonts w:hint="eastAsia" w:ascii="宋体" w:hAnsi="宋体" w:eastAsia="宋体" w:cs="宋体"/>
          <w:b w:val="0"/>
          <w:bCs/>
          <w:color w:val="auto"/>
          <w:szCs w:val="21"/>
          <w:highlight w:val="none"/>
        </w:rPr>
        <w:t>26.1在规定的投标截止时间前，投标人可以撤回已递交的投标文件，并可修改后重新</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，开标时以投标截止时间前投标人最终</w:t>
      </w:r>
      <w:r>
        <w:rPr>
          <w:rFonts w:hint="eastAsia" w:ascii="宋体" w:hAnsi="宋体" w:eastAsia="宋体" w:cs="宋体"/>
          <w:b w:val="0"/>
          <w:bCs/>
          <w:color w:val="auto"/>
          <w:szCs w:val="21"/>
          <w:highlight w:val="none"/>
          <w:lang w:val="en-US" w:eastAsia="zh-CN"/>
        </w:rPr>
        <w:t>递交</w:t>
      </w:r>
      <w:r>
        <w:rPr>
          <w:rFonts w:hint="eastAsia" w:ascii="宋体" w:hAnsi="宋体" w:eastAsia="宋体" w:cs="宋体"/>
          <w:b w:val="0"/>
          <w:bCs/>
          <w:color w:val="auto"/>
          <w:szCs w:val="21"/>
          <w:highlight w:val="none"/>
        </w:rPr>
        <w:t>的投标文件为准。</w:t>
      </w:r>
    </w:p>
    <w:p w14:paraId="5C9A4D67">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（五）开标、评标和定标</w:t>
      </w:r>
      <w:bookmarkEnd w:id="47"/>
    </w:p>
    <w:p w14:paraId="65B91A2F">
      <w:pPr>
        <w:spacing w:line="440" w:lineRule="exact"/>
        <w:rPr>
          <w:rFonts w:hint="eastAsia" w:ascii="宋体" w:hAnsi="宋体" w:cs="宋体"/>
          <w:b/>
          <w:color w:val="auto"/>
          <w:szCs w:val="21"/>
          <w:highlight w:val="none"/>
        </w:rPr>
      </w:pPr>
      <w:r>
        <w:rPr>
          <w:rFonts w:hint="eastAsia" w:ascii="宋体" w:hAnsi="宋体" w:cs="宋体"/>
          <w:b/>
          <w:color w:val="auto"/>
          <w:sz w:val="24"/>
          <w:highlight w:val="none"/>
        </w:rPr>
        <w:t xml:space="preserve">  </w:t>
      </w:r>
      <w:r>
        <w:rPr>
          <w:rFonts w:hint="eastAsia" w:ascii="宋体" w:hAnsi="宋体" w:cs="宋体"/>
          <w:b/>
          <w:color w:val="auto"/>
          <w:szCs w:val="21"/>
          <w:highlight w:val="none"/>
        </w:rPr>
        <w:t xml:space="preserve"> 27. 开标</w:t>
      </w:r>
    </w:p>
    <w:p w14:paraId="4928C5EA">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  开标的时间和地点</w:t>
      </w:r>
    </w:p>
    <w:p w14:paraId="1122FB3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27.1.1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按招标公告中的开标时间和地点公开开标，并邀请所有投标人参加。</w:t>
      </w:r>
    </w:p>
    <w:p w14:paraId="6E9A2C7D">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  参与开标的监督部门</w:t>
      </w:r>
    </w:p>
    <w:p w14:paraId="0071EB82">
      <w:pPr>
        <w:spacing w:line="440" w:lineRule="exact"/>
        <w:ind w:firstLine="315" w:firstLineChars="150"/>
        <w:jc w:val="left"/>
        <w:rPr>
          <w:rFonts w:hint="eastAsia" w:ascii="宋体" w:hAnsi="宋体" w:cs="宋体"/>
          <w:color w:val="auto"/>
          <w:szCs w:val="21"/>
          <w:highlight w:val="none"/>
        </w:rPr>
      </w:pPr>
      <w:r>
        <w:rPr>
          <w:rFonts w:hint="eastAsia" w:ascii="宋体" w:hAnsi="宋体" w:cs="宋体"/>
          <w:color w:val="auto"/>
          <w:szCs w:val="21"/>
          <w:highlight w:val="none"/>
        </w:rPr>
        <w:t>27.2.1</w:t>
      </w:r>
      <w:r>
        <w:rPr>
          <w:rFonts w:hint="eastAsia" w:ascii="宋体" w:hAnsi="宋体" w:cs="宋体"/>
          <w:color w:val="auto"/>
          <w:highlight w:val="none"/>
          <w:lang w:eastAsia="zh-CN"/>
        </w:rPr>
        <w:t>招标人</w:t>
      </w:r>
      <w:r>
        <w:rPr>
          <w:rFonts w:hint="eastAsia" w:ascii="宋体" w:hAnsi="宋体" w:cs="宋体"/>
          <w:color w:val="auto"/>
          <w:highlight w:val="none"/>
        </w:rPr>
        <w:t>可以邀请相关监管部门参加</w:t>
      </w:r>
      <w:r>
        <w:rPr>
          <w:rFonts w:hint="eastAsia" w:ascii="宋体" w:hAnsi="宋体" w:cs="宋体"/>
          <w:color w:val="auto"/>
          <w:szCs w:val="21"/>
          <w:highlight w:val="none"/>
        </w:rPr>
        <w:t>。</w:t>
      </w:r>
    </w:p>
    <w:p w14:paraId="3036A2A2">
      <w:pPr>
        <w:adjustRightInd w:val="0"/>
        <w:snapToGrid w:val="0"/>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27.3开标程序</w:t>
      </w:r>
    </w:p>
    <w:p w14:paraId="5C27A3B3">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开标会议由代理机构主持。</w:t>
      </w:r>
    </w:p>
    <w:p w14:paraId="0346E18A">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（1）宣布开标纪律；</w:t>
      </w:r>
    </w:p>
    <w:p w14:paraId="686E769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（2）宣布</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、代理机构主持人等有关人员姓名；</w:t>
      </w:r>
    </w:p>
    <w:p w14:paraId="1E27BAA0">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 xml:space="preserve">（3）公布投标截止时间前，递交投标文件的投标人名称等； </w:t>
      </w:r>
    </w:p>
    <w:p w14:paraId="6DF1C5EB">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）公布投标人投标报价、质量目标、供货期及其他内容，并记录在案；</w:t>
      </w:r>
    </w:p>
    <w:p w14:paraId="5906DA52">
      <w:pPr>
        <w:spacing w:line="440" w:lineRule="exact"/>
        <w:ind w:right="-155" w:rightChars="-74" w:firstLine="630" w:firstLineChars="30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）开标结束。</w:t>
      </w:r>
    </w:p>
    <w:p w14:paraId="22572585">
      <w:pPr>
        <w:spacing w:line="440" w:lineRule="exact"/>
        <w:ind w:right="-155" w:rightChars="-74" w:firstLine="210" w:firstLineChars="100"/>
        <w:jc w:val="left"/>
        <w:rPr>
          <w:rFonts w:hint="eastAsia" w:ascii="宋体" w:hAnsi="宋体" w:cs="宋体"/>
          <w:color w:val="auto"/>
          <w:szCs w:val="21"/>
          <w:highlight w:val="none"/>
        </w:rPr>
      </w:pPr>
      <w:r>
        <w:rPr>
          <w:rFonts w:hint="eastAsia" w:ascii="宋体" w:hAnsi="宋体" w:cs="宋体"/>
          <w:color w:val="auto"/>
          <w:szCs w:val="21"/>
          <w:highlight w:val="none"/>
        </w:rPr>
        <w:t xml:space="preserve"> 27.4开标疑义</w:t>
      </w:r>
    </w:p>
    <w:p w14:paraId="33523C3C">
      <w:pPr>
        <w:spacing w:line="440" w:lineRule="exact"/>
        <w:ind w:right="-155" w:rightChars="-74"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投标人代表对开标过程和开标记录有疑义，以及认为</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、采购代理机构相关工作人员有需要回避的情形的，应当场提出询问或者回避申请。</w:t>
      </w:r>
    </w:p>
    <w:p w14:paraId="0AF92ACC">
      <w:pPr>
        <w:spacing w:line="440" w:lineRule="exact"/>
        <w:ind w:firstLine="421"/>
        <w:jc w:val="left"/>
        <w:rPr>
          <w:rFonts w:hint="eastAsia" w:ascii="宋体" w:hAnsi="宋体" w:cs="宋体"/>
          <w:b/>
          <w:color w:val="auto"/>
          <w:szCs w:val="21"/>
          <w:highlight w:val="none"/>
        </w:rPr>
      </w:pPr>
      <w:r>
        <w:rPr>
          <w:rFonts w:hint="eastAsia" w:ascii="宋体" w:hAnsi="宋体" w:cs="宋体"/>
          <w:b/>
          <w:color w:val="auto"/>
          <w:szCs w:val="21"/>
          <w:highlight w:val="none"/>
        </w:rPr>
        <w:t>28.评标委员会</w:t>
      </w:r>
    </w:p>
    <w:p w14:paraId="72582DBF">
      <w:pPr>
        <w:spacing w:line="420" w:lineRule="exact"/>
        <w:ind w:firstLine="420" w:firstLineChars="200"/>
        <w:jc w:val="left"/>
        <w:rPr>
          <w:rFonts w:ascii="宋体" w:cs="宋体"/>
          <w:color w:val="auto"/>
          <w:szCs w:val="21"/>
          <w:highlight w:val="none"/>
        </w:rPr>
      </w:pPr>
      <w:r>
        <w:rPr>
          <w:rFonts w:hint="eastAsia" w:ascii="宋体"/>
          <w:color w:val="auto"/>
          <w:szCs w:val="21"/>
          <w:highlight w:val="none"/>
          <w:lang w:val="en-US" w:eastAsia="zh-CN"/>
        </w:rPr>
        <w:t>28</w:t>
      </w:r>
      <w:r>
        <w:rPr>
          <w:rFonts w:hint="eastAsia" w:ascii="宋体"/>
          <w:color w:val="auto"/>
          <w:szCs w:val="21"/>
          <w:highlight w:val="none"/>
        </w:rPr>
        <w:t>.1</w:t>
      </w:r>
      <w:r>
        <w:rPr>
          <w:rFonts w:hint="eastAsia" w:ascii="宋体" w:hAnsi="宋体" w:cs="宋体"/>
          <w:color w:val="auto"/>
          <w:szCs w:val="21"/>
          <w:highlight w:val="none"/>
        </w:rPr>
        <w:t>评标由招标人依法组建的评标委员会负责。评标委员会由招标人或其委托的招标代理机构熟悉相关业务的代表，以及有关技术、经济等方面的专家组成。评标委员会成员人数以及技术、经济等方面专家的确定方式见投标人须知前附表。</w:t>
      </w:r>
    </w:p>
    <w:p w14:paraId="72334D38">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lang w:val="en-US" w:eastAsia="zh-CN"/>
        </w:rPr>
        <w:t>28</w:t>
      </w:r>
      <w:r>
        <w:rPr>
          <w:rFonts w:ascii="宋体" w:hAnsi="宋体" w:cs="宋体"/>
          <w:color w:val="auto"/>
          <w:szCs w:val="21"/>
          <w:highlight w:val="none"/>
        </w:rPr>
        <w:t xml:space="preserve">.2 </w:t>
      </w:r>
      <w:r>
        <w:rPr>
          <w:rFonts w:hint="eastAsia" w:ascii="宋体" w:hAnsi="宋体" w:cs="宋体"/>
          <w:color w:val="auto"/>
          <w:szCs w:val="21"/>
          <w:highlight w:val="none"/>
        </w:rPr>
        <w:t>评标委员会成员有下列情形之一的，应当回避：</w:t>
      </w:r>
    </w:p>
    <w:p w14:paraId="24E37664">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1</w:t>
      </w:r>
      <w:r>
        <w:rPr>
          <w:rFonts w:hint="eastAsia" w:ascii="宋体" w:hAnsi="宋体" w:cs="宋体"/>
          <w:color w:val="auto"/>
          <w:szCs w:val="21"/>
          <w:highlight w:val="none"/>
        </w:rPr>
        <w:t>）投标人或投标人主要负责人的近亲属；</w:t>
      </w:r>
    </w:p>
    <w:p w14:paraId="5E64454A">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2</w:t>
      </w:r>
      <w:r>
        <w:rPr>
          <w:rFonts w:hint="eastAsia" w:ascii="宋体" w:hAnsi="宋体" w:cs="宋体"/>
          <w:color w:val="auto"/>
          <w:szCs w:val="21"/>
          <w:highlight w:val="none"/>
        </w:rPr>
        <w:t>）项目主管部门或者行政监督部门的人员；</w:t>
      </w:r>
    </w:p>
    <w:p w14:paraId="1BD179E4">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3</w:t>
      </w:r>
      <w:r>
        <w:rPr>
          <w:rFonts w:hint="eastAsia" w:ascii="宋体" w:hAnsi="宋体" w:cs="宋体"/>
          <w:color w:val="auto"/>
          <w:szCs w:val="21"/>
          <w:highlight w:val="none"/>
        </w:rPr>
        <w:t>）与投标人有经济利益关系；</w:t>
      </w:r>
    </w:p>
    <w:p w14:paraId="5768C106">
      <w:pPr>
        <w:spacing w:line="420" w:lineRule="exact"/>
        <w:ind w:firstLine="420" w:firstLineChars="200"/>
        <w:jc w:val="left"/>
        <w:rPr>
          <w:rFonts w:ascii="宋体" w:cs="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4</w:t>
      </w:r>
      <w:r>
        <w:rPr>
          <w:rFonts w:hint="eastAsia" w:ascii="宋体" w:hAnsi="宋体" w:cs="宋体"/>
          <w:color w:val="auto"/>
          <w:szCs w:val="21"/>
          <w:highlight w:val="none"/>
        </w:rPr>
        <w:t>）曾因在招标、评标以及其他与招标投标有关活动中从事违法行为而受过行政处罚或刑事处罚的；</w:t>
      </w:r>
    </w:p>
    <w:p w14:paraId="45ED8E7F">
      <w:pPr>
        <w:spacing w:line="420" w:lineRule="exact"/>
        <w:ind w:firstLine="420" w:firstLineChars="200"/>
        <w:jc w:val="left"/>
        <w:rPr>
          <w:rFonts w:hint="eastAsia" w:ascii="宋体"/>
          <w:color w:val="auto"/>
          <w:szCs w:val="21"/>
          <w:highlight w:val="none"/>
        </w:rPr>
      </w:pPr>
      <w:r>
        <w:rPr>
          <w:rFonts w:hint="eastAsia" w:ascii="宋体" w:hAnsi="宋体" w:cs="宋体"/>
          <w:color w:val="auto"/>
          <w:szCs w:val="21"/>
          <w:highlight w:val="none"/>
        </w:rPr>
        <w:t>（</w:t>
      </w:r>
      <w:r>
        <w:rPr>
          <w:rFonts w:ascii="宋体" w:hAnsi="宋体" w:cs="宋体"/>
          <w:color w:val="auto"/>
          <w:szCs w:val="21"/>
          <w:highlight w:val="none"/>
        </w:rPr>
        <w:t>5</w:t>
      </w:r>
      <w:r>
        <w:rPr>
          <w:rFonts w:hint="eastAsia" w:ascii="宋体" w:hAnsi="宋体" w:cs="宋体"/>
          <w:color w:val="auto"/>
          <w:szCs w:val="21"/>
          <w:highlight w:val="none"/>
        </w:rPr>
        <w:t>）与投标人有其他利害关系。</w:t>
      </w:r>
    </w:p>
    <w:p w14:paraId="3B189A38">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28</w:t>
      </w:r>
      <w:r>
        <w:rPr>
          <w:rFonts w:hint="eastAsia" w:ascii="宋体" w:hAnsi="宋体" w:cs="宋体"/>
          <w:color w:val="auto"/>
          <w:szCs w:val="21"/>
          <w:highlight w:val="none"/>
        </w:rPr>
        <w:t>.3评标过程中，评标委员会成员有回避事由、擅离职守或因健康等原因不能继续评标的， 招标人有权更换。被更换的评标委员会成员作出的评审结论无效，由更换后的评标委员会成员重新进行评审。</w:t>
      </w:r>
    </w:p>
    <w:p w14:paraId="762A94FE">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29. 评标</w:t>
      </w:r>
    </w:p>
    <w:p w14:paraId="70BEEED7">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.1评标委员会按照第三章“评标办法”规定的方法、评审因素、标准和程序对投标文件进行评审。第三章“评标办法”没有规定的方法、评审因素和标准，不作为评标依据。</w:t>
      </w:r>
    </w:p>
    <w:p w14:paraId="26922152">
      <w:pPr>
        <w:spacing w:line="42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29</w:t>
      </w:r>
      <w:r>
        <w:rPr>
          <w:rFonts w:hint="eastAsia" w:ascii="宋体" w:hAnsi="宋体" w:cs="宋体"/>
          <w:color w:val="auto"/>
          <w:szCs w:val="21"/>
          <w:highlight w:val="none"/>
        </w:rPr>
        <w:t>.2评标完成后，评标委员会应向招标人提交书面评标报告和中标候选人名单。评标委员会推荐中标候选人的人数见投标人须知前附表。</w:t>
      </w:r>
    </w:p>
    <w:p w14:paraId="260E0B5A">
      <w:pPr>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.3评标原则：遵循公平、公正、科学和择优的原则。</w:t>
      </w:r>
    </w:p>
    <w:p w14:paraId="3865BCA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.4投标文件的澄清</w:t>
      </w:r>
    </w:p>
    <w:p w14:paraId="2BE859A2">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.4.1在评标过程中，评标委员会认为需要，在公共资源交易监督管理部门的监督下，可要求投标人对投标文件中的有关问题进行澄清或提供补充说明及有关资料，投标人应做出书面答复。</w:t>
      </w:r>
    </w:p>
    <w:p w14:paraId="1AFB7AB9">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.4.2书面答复须经投标人法定代表人或其委托代理人签字或盖章，签字或盖章的书面答复将被视为投标文件的组成部分。</w:t>
      </w:r>
    </w:p>
    <w:p w14:paraId="49E336EA">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.5报价合理性的判断</w:t>
      </w:r>
    </w:p>
    <w:p w14:paraId="7A2C5D0C">
      <w:pPr>
        <w:spacing w:line="420" w:lineRule="exact"/>
        <w:ind w:firstLine="420" w:firstLineChars="200"/>
        <w:jc w:val="left"/>
        <w:rPr>
          <w:rFonts w:hint="eastAsia" w:ascii="宋体" w:hAnsi="宋体"/>
          <w:b w:val="0"/>
          <w:bCs w:val="0"/>
          <w:color w:val="auto"/>
          <w:szCs w:val="21"/>
          <w:highlight w:val="none"/>
        </w:rPr>
      </w:pPr>
      <w:r>
        <w:rPr>
          <w:rFonts w:hint="eastAsia" w:ascii="宋体" w:hAnsi="宋体"/>
          <w:b w:val="0"/>
          <w:bCs w:val="0"/>
          <w:color w:val="auto"/>
          <w:szCs w:val="21"/>
          <w:highlight w:val="none"/>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38CAE898">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.6评审意见分歧的处理办法</w:t>
      </w:r>
    </w:p>
    <w:p w14:paraId="737D7BB3">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（1）评标委员会应当对投标人提供的报告、证明材料及详细说明认真研究。对存在意见分歧的，可采用投票方式表决决定（按多数评委意见为准）；</w:t>
      </w:r>
    </w:p>
    <w:p w14:paraId="027B1FD1">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（2）招标投标当事人对评标结果提出异议或者投诉，公共资源交易监督机构认为需要重新进行评标的，评标委员会成员应当按照公共资源交易监督机构要求重新评标。</w:t>
      </w:r>
    </w:p>
    <w:p w14:paraId="761DA60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.7评标报告的签署</w:t>
      </w:r>
    </w:p>
    <w:p w14:paraId="29ADB630">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.7.1评标委员会应当编制书面评标报告</w:t>
      </w:r>
      <w:r>
        <w:rPr>
          <w:rFonts w:hint="eastAsia" w:ascii="宋体"/>
          <w:color w:val="auto"/>
          <w:szCs w:val="21"/>
          <w:highlight w:val="none"/>
          <w:lang w:eastAsia="zh-CN"/>
        </w:rPr>
        <w:t>，</w:t>
      </w:r>
      <w:r>
        <w:rPr>
          <w:rFonts w:hint="eastAsia" w:ascii="宋体"/>
          <w:color w:val="auto"/>
          <w:szCs w:val="21"/>
          <w:highlight w:val="none"/>
        </w:rPr>
        <w:t>所有成员应签字确认。对评标结论持有异议的评标委员会成员可以书面方式阐述其不同意见和理由。评标委员会成员拒绝在评标报告上签字且不陈述其不同意见和理由的，视为同意评标结论。</w:t>
      </w:r>
    </w:p>
    <w:p w14:paraId="385207F7">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.8评标过程的保密</w:t>
      </w:r>
    </w:p>
    <w:p w14:paraId="4067CB7B">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rPr>
        <w:t>评标委员会成员和与评标活动有关的工作人员不得透露对投标文件的评审和比较、中标人的推荐情况以及与评标有关的其他情况。</w:t>
      </w:r>
    </w:p>
    <w:p w14:paraId="42677946">
      <w:pPr>
        <w:tabs>
          <w:tab w:val="left" w:pos="720"/>
        </w:tabs>
        <w:spacing w:line="420" w:lineRule="exact"/>
        <w:ind w:firstLine="420" w:firstLineChars="200"/>
        <w:jc w:val="left"/>
        <w:rPr>
          <w:rFonts w:hint="eastAsia" w:ascii="宋体"/>
          <w:color w:val="auto"/>
          <w:szCs w:val="21"/>
          <w:highlight w:val="none"/>
        </w:rPr>
      </w:pPr>
      <w:r>
        <w:rPr>
          <w:rFonts w:hint="eastAsia" w:ascii="宋体"/>
          <w:color w:val="auto"/>
          <w:szCs w:val="21"/>
          <w:highlight w:val="none"/>
          <w:lang w:val="en-US" w:eastAsia="zh-CN"/>
        </w:rPr>
        <w:t>29</w:t>
      </w:r>
      <w:r>
        <w:rPr>
          <w:rFonts w:hint="eastAsia" w:ascii="宋体"/>
          <w:color w:val="auto"/>
          <w:szCs w:val="21"/>
          <w:highlight w:val="none"/>
        </w:rPr>
        <w:t>.9评标结果公告</w:t>
      </w:r>
    </w:p>
    <w:p w14:paraId="41B5F6AE">
      <w:pPr>
        <w:spacing w:line="440" w:lineRule="exact"/>
        <w:ind w:firstLine="420" w:firstLineChars="200"/>
        <w:jc w:val="left"/>
        <w:rPr>
          <w:rFonts w:hint="eastAsia" w:ascii="宋体" w:hAnsi="宋体" w:cs="宋体"/>
          <w:color w:val="auto"/>
          <w:szCs w:val="21"/>
          <w:highlight w:val="none"/>
        </w:rPr>
      </w:pPr>
      <w:r>
        <w:rPr>
          <w:rFonts w:hint="eastAsia" w:ascii="宋体"/>
          <w:color w:val="auto"/>
          <w:szCs w:val="21"/>
          <w:highlight w:val="none"/>
        </w:rPr>
        <w:t>招标人应将中标人的情况在</w:t>
      </w:r>
      <w:r>
        <w:rPr>
          <w:rFonts w:hint="eastAsia" w:ascii="宋体" w:hAnsi="宋体" w:cs="宋体"/>
          <w:color w:val="auto"/>
          <w:szCs w:val="21"/>
          <w:highlight w:val="none"/>
          <w:lang w:val="en-US" w:eastAsia="zh-CN"/>
        </w:rPr>
        <w:t>滁州市扬子工业投资集团有限公司官网（https://czyzgtjt.com/）</w:t>
      </w:r>
      <w:r>
        <w:rPr>
          <w:rFonts w:hint="eastAsia" w:ascii="宋体"/>
          <w:color w:val="auto"/>
          <w:szCs w:val="21"/>
          <w:highlight w:val="none"/>
        </w:rPr>
        <w:t>予以公告，公告期为3日。</w:t>
      </w:r>
      <w:r>
        <w:rPr>
          <w:rFonts w:hint="eastAsia" w:ascii="宋体" w:hAnsi="宋体" w:cs="宋体"/>
          <w:b/>
          <w:bCs/>
          <w:color w:val="auto"/>
          <w:szCs w:val="21"/>
          <w:highlight w:val="none"/>
        </w:rPr>
        <w:t xml:space="preserve">  </w:t>
      </w:r>
    </w:p>
    <w:p w14:paraId="2893B7B8">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30. 定标</w:t>
      </w:r>
    </w:p>
    <w:p w14:paraId="656E47C5">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 xml:space="preserve">    30.1 中标人的确定</w:t>
      </w:r>
    </w:p>
    <w:p w14:paraId="14E6A893">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30.1.1除投标人须知前附表规定评标委员会直接确定中标人外，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依据评标委员会推荐的</w:t>
      </w:r>
      <w:r>
        <w:rPr>
          <w:rFonts w:hint="eastAsia" w:ascii="宋体" w:hAnsi="宋体" w:cs="宋体"/>
          <w:color w:val="auto"/>
          <w:szCs w:val="21"/>
          <w:highlight w:val="none"/>
          <w:lang w:val="en-US" w:eastAsia="zh-CN"/>
        </w:rPr>
        <w:t>第一</w:t>
      </w:r>
      <w:r>
        <w:rPr>
          <w:rFonts w:hint="eastAsia" w:ascii="宋体" w:hAnsi="宋体" w:cs="宋体"/>
          <w:color w:val="auto"/>
          <w:szCs w:val="21"/>
          <w:highlight w:val="none"/>
        </w:rPr>
        <w:t>中标候选人确定</w:t>
      </w:r>
      <w:r>
        <w:rPr>
          <w:rFonts w:hint="eastAsia" w:ascii="宋体" w:hAnsi="宋体" w:cs="宋体"/>
          <w:color w:val="auto"/>
          <w:szCs w:val="21"/>
          <w:highlight w:val="none"/>
          <w:lang w:val="en-US" w:eastAsia="zh-CN"/>
        </w:rPr>
        <w:t>为</w:t>
      </w:r>
      <w:r>
        <w:rPr>
          <w:rFonts w:hint="eastAsia" w:ascii="宋体" w:hAnsi="宋体" w:cs="宋体"/>
          <w:color w:val="auto"/>
          <w:szCs w:val="21"/>
          <w:highlight w:val="none"/>
        </w:rPr>
        <w:t>中标人，评标委员会推荐中标候选人的人数见投标人须知前附表。</w:t>
      </w:r>
    </w:p>
    <w:p w14:paraId="7C485893">
      <w:pPr>
        <w:spacing w:line="440" w:lineRule="exact"/>
        <w:ind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30.2 中标通知书</w:t>
      </w:r>
    </w:p>
    <w:p w14:paraId="0BA81D80">
      <w:pPr>
        <w:pStyle w:val="15"/>
        <w:spacing w:line="440" w:lineRule="exact"/>
        <w:ind w:firstLine="420" w:firstLineChars="200"/>
        <w:rPr>
          <w:rFonts w:hint="eastAsia" w:ascii="宋体" w:hAnsi="宋体" w:cs="宋体"/>
          <w:color w:val="auto"/>
          <w:highlight w:val="none"/>
        </w:rPr>
      </w:pPr>
      <w:r>
        <w:rPr>
          <w:rFonts w:hint="eastAsia" w:ascii="宋体" w:hAnsi="宋体" w:cs="宋体"/>
          <w:color w:val="auto"/>
          <w:szCs w:val="21"/>
          <w:highlight w:val="none"/>
        </w:rPr>
        <w:t>30.2.1</w:t>
      </w:r>
      <w:r>
        <w:rPr>
          <w:rFonts w:hint="eastAsia" w:ascii="宋体" w:hAnsi="宋体" w:cs="宋体"/>
          <w:color w:val="auto"/>
          <w:highlight w:val="none"/>
          <w:lang w:eastAsia="zh-CN"/>
        </w:rPr>
        <w:t>招标人</w:t>
      </w:r>
      <w:r>
        <w:rPr>
          <w:rFonts w:hint="eastAsia" w:ascii="宋体" w:hAnsi="宋体" w:cs="宋体"/>
          <w:color w:val="auto"/>
          <w:highlight w:val="none"/>
        </w:rPr>
        <w:t>或采购代理机构应在中标人确定之日起</w:t>
      </w:r>
      <w:r>
        <w:rPr>
          <w:rFonts w:hint="eastAsia" w:ascii="宋体" w:hAnsi="宋体" w:cs="宋体"/>
          <w:color w:val="auto"/>
          <w:highlight w:val="none"/>
          <w:lang w:val="en-US" w:eastAsia="zh-CN"/>
        </w:rPr>
        <w:t>2</w:t>
      </w:r>
      <w:r>
        <w:rPr>
          <w:rFonts w:hint="eastAsia" w:ascii="宋体" w:hAnsi="宋体" w:cs="宋体"/>
          <w:color w:val="auto"/>
          <w:highlight w:val="none"/>
        </w:rPr>
        <w:t>个工作日内</w:t>
      </w:r>
      <w:r>
        <w:rPr>
          <w:rFonts w:hint="eastAsia" w:ascii="宋体" w:hAnsi="宋体" w:cs="宋体"/>
          <w:color w:val="auto"/>
          <w:highlight w:val="none"/>
          <w:lang w:eastAsia="zh-CN"/>
        </w:rPr>
        <w:t>，</w:t>
      </w:r>
      <w:r>
        <w:rPr>
          <w:rFonts w:hint="eastAsia" w:ascii="宋体" w:hAnsi="宋体" w:cs="宋体"/>
          <w:color w:val="auto"/>
          <w:highlight w:val="none"/>
        </w:rPr>
        <w:t>向中标人发出中标通知书。</w:t>
      </w:r>
    </w:p>
    <w:p w14:paraId="429CF213">
      <w:pPr>
        <w:snapToGrid w:val="0"/>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30.2.2中标通知书须加盖</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、采购代理机构公章后，方可发出。</w:t>
      </w:r>
    </w:p>
    <w:p w14:paraId="37CE5548">
      <w:pPr>
        <w:spacing w:line="440" w:lineRule="exact"/>
        <w:ind w:firstLine="207" w:firstLineChars="98"/>
        <w:jc w:val="left"/>
        <w:rPr>
          <w:rFonts w:hint="eastAsia" w:ascii="宋体" w:hAnsi="宋体" w:cs="宋体"/>
          <w:b/>
          <w:color w:val="auto"/>
          <w:szCs w:val="21"/>
          <w:highlight w:val="none"/>
        </w:rPr>
      </w:pPr>
      <w:r>
        <w:rPr>
          <w:rFonts w:hint="eastAsia" w:ascii="宋体" w:hAnsi="宋体" w:cs="宋体"/>
          <w:b/>
          <w:color w:val="auto"/>
          <w:szCs w:val="21"/>
          <w:highlight w:val="none"/>
        </w:rPr>
        <w:t>31. 开评标异常情况处理</w:t>
      </w:r>
    </w:p>
    <w:p w14:paraId="0348926A">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31.1废标（重新招标）</w:t>
      </w:r>
    </w:p>
    <w:p w14:paraId="45A4E481">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有下列情形之一的，</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将废标（重新招标）：</w:t>
      </w:r>
    </w:p>
    <w:p w14:paraId="2B4A84D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rPr>
        <w:t>(1) 出现影响采购公正的违法、违规行为的；</w:t>
      </w:r>
    </w:p>
    <w:p w14:paraId="5E083CCE">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lang w:eastAsia="zh-CN"/>
        </w:rPr>
        <w:t>（</w:t>
      </w:r>
      <w:r>
        <w:rPr>
          <w:rFonts w:hint="eastAsia" w:ascii="宋体" w:hAnsi="宋体" w:cs="宋体"/>
          <w:color w:val="auto"/>
          <w:kern w:val="10"/>
          <w:szCs w:val="21"/>
          <w:highlight w:val="none"/>
        </w:rPr>
        <w:t>2</w:t>
      </w:r>
      <w:r>
        <w:rPr>
          <w:rFonts w:hint="eastAsia" w:ascii="宋体" w:hAnsi="宋体" w:cs="宋体"/>
          <w:color w:val="auto"/>
          <w:kern w:val="10"/>
          <w:szCs w:val="21"/>
          <w:highlight w:val="none"/>
          <w:lang w:eastAsia="zh-CN"/>
        </w:rPr>
        <w:t>）</w:t>
      </w:r>
      <w:r>
        <w:rPr>
          <w:rFonts w:hint="eastAsia" w:ascii="宋体" w:hAnsi="宋体" w:cs="宋体"/>
          <w:color w:val="auto"/>
          <w:kern w:val="10"/>
          <w:szCs w:val="21"/>
          <w:highlight w:val="none"/>
        </w:rPr>
        <w:t>投标人的报价均脱离实际且无充分证据的；</w:t>
      </w:r>
    </w:p>
    <w:p w14:paraId="3C00AD82">
      <w:pPr>
        <w:adjustRightInd w:val="0"/>
        <w:snapToGrid w:val="0"/>
        <w:spacing w:line="440" w:lineRule="exact"/>
        <w:ind w:firstLine="420" w:firstLineChars="200"/>
        <w:rPr>
          <w:rFonts w:hint="eastAsia" w:ascii="宋体" w:hAnsi="宋体" w:cs="宋体"/>
          <w:color w:val="auto"/>
          <w:kern w:val="10"/>
          <w:szCs w:val="21"/>
          <w:highlight w:val="none"/>
        </w:rPr>
      </w:pPr>
      <w:r>
        <w:rPr>
          <w:rFonts w:hint="eastAsia" w:ascii="宋体" w:hAnsi="宋体" w:cs="宋体"/>
          <w:color w:val="auto"/>
          <w:kern w:val="10"/>
          <w:szCs w:val="21"/>
          <w:highlight w:val="none"/>
          <w:lang w:eastAsia="zh-CN"/>
        </w:rPr>
        <w:t>（</w:t>
      </w:r>
      <w:r>
        <w:rPr>
          <w:rFonts w:hint="eastAsia" w:ascii="宋体" w:hAnsi="宋体" w:cs="宋体"/>
          <w:color w:val="auto"/>
          <w:kern w:val="10"/>
          <w:szCs w:val="21"/>
          <w:highlight w:val="none"/>
        </w:rPr>
        <w:t>3</w:t>
      </w:r>
      <w:r>
        <w:rPr>
          <w:rFonts w:hint="eastAsia" w:ascii="宋体" w:hAnsi="宋体" w:cs="宋体"/>
          <w:color w:val="auto"/>
          <w:kern w:val="10"/>
          <w:szCs w:val="21"/>
          <w:highlight w:val="none"/>
          <w:lang w:eastAsia="zh-CN"/>
        </w:rPr>
        <w:t>）</w:t>
      </w:r>
      <w:r>
        <w:rPr>
          <w:rFonts w:hint="eastAsia" w:ascii="宋体" w:hAnsi="宋体" w:eastAsia="宋体" w:cs="宋体"/>
          <w:color w:val="auto"/>
          <w:kern w:val="10"/>
          <w:szCs w:val="21"/>
          <w:highlight w:val="none"/>
        </w:rPr>
        <w:t>因重大变故，采购任务取消的。</w:t>
      </w:r>
    </w:p>
    <w:p w14:paraId="7438AA4B">
      <w:pPr>
        <w:adjustRightInd w:val="0"/>
        <w:snapToGrid w:val="0"/>
        <w:spacing w:line="440" w:lineRule="exact"/>
        <w:ind w:firstLine="420" w:firstLineChars="200"/>
        <w:rPr>
          <w:rFonts w:hint="eastAsia" w:ascii="宋体" w:hAnsi="宋体" w:eastAsia="宋体" w:cs="宋体"/>
          <w:color w:val="auto"/>
          <w:kern w:val="10"/>
          <w:szCs w:val="21"/>
          <w:highlight w:val="none"/>
        </w:rPr>
      </w:pPr>
      <w:r>
        <w:rPr>
          <w:rFonts w:hint="eastAsia" w:ascii="宋体" w:hAnsi="宋体" w:eastAsia="宋体" w:cs="宋体"/>
          <w:color w:val="auto"/>
          <w:kern w:val="10"/>
          <w:szCs w:val="21"/>
          <w:highlight w:val="none"/>
        </w:rPr>
        <w:t>31.2变更采购方式</w:t>
      </w:r>
    </w:p>
    <w:p w14:paraId="68D6B96A">
      <w:pPr>
        <w:adjustRightInd w:val="0"/>
        <w:snapToGrid w:val="0"/>
        <w:spacing w:line="440" w:lineRule="exact"/>
        <w:ind w:firstLine="420" w:firstLineChars="200"/>
        <w:rPr>
          <w:rFonts w:hint="eastAsia" w:ascii="宋体" w:hAnsi="宋体" w:eastAsia="宋体" w:cs="宋体"/>
          <w:color w:val="auto"/>
          <w:kern w:val="10"/>
          <w:szCs w:val="21"/>
          <w:highlight w:val="none"/>
        </w:rPr>
      </w:pPr>
      <w:bookmarkStart w:id="48" w:name="_Toc449028872"/>
      <w:r>
        <w:rPr>
          <w:rFonts w:hint="eastAsia" w:ascii="宋体" w:hAnsi="宋体" w:eastAsia="宋体" w:cs="宋体"/>
          <w:color w:val="auto"/>
          <w:kern w:val="10"/>
          <w:szCs w:val="21"/>
          <w:highlight w:val="none"/>
        </w:rPr>
        <w:t>按照滁州市公管局和财政局相关规定执行。</w:t>
      </w:r>
      <w:bookmarkEnd w:id="48"/>
      <w:bookmarkStart w:id="49" w:name="_Toc449028873"/>
    </w:p>
    <w:p w14:paraId="4168FF84">
      <w:pPr>
        <w:spacing w:before="312" w:beforeLines="100" w:after="312" w:afterLines="100" w:line="440" w:lineRule="exact"/>
        <w:jc w:val="center"/>
        <w:rPr>
          <w:rFonts w:hint="eastAsia" w:ascii="宋体" w:hAnsi="宋体" w:eastAsia="宋体" w:cs="宋体"/>
          <w:b/>
          <w:color w:val="auto"/>
          <w:sz w:val="28"/>
          <w:szCs w:val="28"/>
          <w:highlight w:val="none"/>
        </w:rPr>
      </w:pPr>
      <w:r>
        <w:rPr>
          <w:rFonts w:hint="eastAsia" w:ascii="宋体" w:hAnsi="宋体" w:eastAsia="宋体" w:cs="宋体"/>
          <w:b/>
          <w:color w:val="auto"/>
          <w:sz w:val="28"/>
          <w:szCs w:val="28"/>
          <w:highlight w:val="none"/>
        </w:rPr>
        <w:t>（六）合同的授予</w:t>
      </w:r>
      <w:bookmarkEnd w:id="49"/>
    </w:p>
    <w:p w14:paraId="57DDED54">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32. 合同授予标准</w:t>
      </w:r>
    </w:p>
    <w:p w14:paraId="05481F39">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 xml:space="preserve">32.1 本招标项目的合同将授予按本投标须知第30条规定所确定的中标人。 </w:t>
      </w:r>
    </w:p>
    <w:p w14:paraId="18539A6E">
      <w:pPr>
        <w:spacing w:line="440" w:lineRule="exact"/>
        <w:ind w:firstLine="521" w:firstLineChars="247"/>
        <w:jc w:val="left"/>
        <w:rPr>
          <w:rFonts w:hint="eastAsia" w:ascii="宋体" w:hAnsi="宋体" w:cs="宋体"/>
          <w:b/>
          <w:color w:val="auto"/>
          <w:szCs w:val="21"/>
          <w:highlight w:val="none"/>
        </w:rPr>
      </w:pPr>
      <w:r>
        <w:rPr>
          <w:rFonts w:hint="eastAsia" w:ascii="宋体" w:hAnsi="宋体" w:cs="宋体"/>
          <w:b/>
          <w:color w:val="auto"/>
          <w:szCs w:val="21"/>
          <w:highlight w:val="none"/>
        </w:rPr>
        <w:t>33. 合同协议书的签订</w:t>
      </w:r>
    </w:p>
    <w:p w14:paraId="0D2F171D">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33.1</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与中标人将于中标通知书发出之日起</w:t>
      </w:r>
      <w:r>
        <w:rPr>
          <w:rFonts w:hint="eastAsia" w:ascii="宋体" w:hAnsi="宋体" w:cs="宋体"/>
          <w:color w:val="auto"/>
          <w:szCs w:val="21"/>
          <w:highlight w:val="none"/>
          <w:lang w:val="en-US" w:eastAsia="zh-CN"/>
        </w:rPr>
        <w:t>30</w:t>
      </w:r>
      <w:r>
        <w:rPr>
          <w:rFonts w:hint="eastAsia" w:ascii="宋体" w:hAnsi="宋体" w:cs="宋体"/>
          <w:color w:val="auto"/>
          <w:szCs w:val="21"/>
          <w:highlight w:val="none"/>
        </w:rPr>
        <w:t>个</w:t>
      </w:r>
      <w:r>
        <w:rPr>
          <w:rFonts w:hint="eastAsia" w:ascii="宋体" w:hAnsi="宋体" w:cs="宋体"/>
          <w:color w:val="auto"/>
          <w:szCs w:val="21"/>
          <w:highlight w:val="none"/>
          <w:lang w:val="en-US" w:eastAsia="zh-CN"/>
        </w:rPr>
        <w:t>日历天</w:t>
      </w:r>
      <w:r>
        <w:rPr>
          <w:rFonts w:hint="eastAsia" w:ascii="宋体" w:hAnsi="宋体" w:cs="宋体"/>
          <w:color w:val="auto"/>
          <w:szCs w:val="21"/>
          <w:highlight w:val="none"/>
        </w:rPr>
        <w:t>内，按照招标文件和中标人的投标文件订立书面采购合同。</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和中标人不得再行订立背离合同实质性内容的其他协议。</w:t>
      </w:r>
    </w:p>
    <w:p w14:paraId="3486D175">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33.2</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如不按本投标须知第30条的规定与中标人订立合同，或者</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、中标人订立背离合同实质性内容的协议，给他人造成损失的，依法承担民事责任，同时依法承担相应法律责任。</w:t>
      </w:r>
    </w:p>
    <w:p w14:paraId="0389EBB8">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33.3</w:t>
      </w:r>
      <w:r>
        <w:rPr>
          <w:rFonts w:hint="eastAsia" w:ascii="宋体" w:hAnsi="宋体" w:cs="宋体"/>
          <w:color w:val="auto"/>
          <w:szCs w:val="21"/>
          <w:highlight w:val="none"/>
          <w:lang w:val="en-US" w:eastAsia="zh-CN"/>
        </w:rPr>
        <w:t>中标人如不按本投标须知第30条的规定与招标人订立合同，依法承担民事责任，同时依法承担相应法律责任。</w:t>
      </w:r>
    </w:p>
    <w:p w14:paraId="43E9CC35">
      <w:pPr>
        <w:spacing w:line="440" w:lineRule="exact"/>
        <w:ind w:firstLine="525" w:firstLineChars="250"/>
        <w:jc w:val="left"/>
        <w:rPr>
          <w:rFonts w:hint="eastAsia" w:ascii="宋体" w:hAnsi="宋体" w:cs="宋体"/>
          <w:color w:val="auto"/>
          <w:szCs w:val="21"/>
          <w:highlight w:val="none"/>
        </w:rPr>
      </w:pPr>
      <w:r>
        <w:rPr>
          <w:rFonts w:hint="eastAsia" w:ascii="宋体" w:hAnsi="宋体" w:cs="宋体"/>
          <w:color w:val="auto"/>
          <w:szCs w:val="21"/>
          <w:highlight w:val="none"/>
        </w:rPr>
        <w:t>33.4中标人应当按照合同约定履行义务，完成中标项目，不得将中标项目转让（转包）给他人。</w:t>
      </w:r>
    </w:p>
    <w:p w14:paraId="252D67BE">
      <w:pPr>
        <w:spacing w:line="440" w:lineRule="exact"/>
        <w:rPr>
          <w:rFonts w:hint="default" w:ascii="宋体" w:hAnsi="宋体" w:eastAsia="宋体" w:cs="宋体"/>
          <w:b/>
          <w:color w:val="auto"/>
          <w:szCs w:val="21"/>
          <w:highlight w:val="none"/>
          <w:lang w:val="en-US" w:eastAsia="zh-CN"/>
        </w:rPr>
      </w:pPr>
      <w:r>
        <w:rPr>
          <w:rFonts w:hint="eastAsia" w:ascii="宋体" w:hAnsi="宋体" w:cs="宋体"/>
          <w:color w:val="auto"/>
          <w:szCs w:val="21"/>
          <w:highlight w:val="none"/>
        </w:rPr>
        <w:t xml:space="preserve">    34.</w:t>
      </w:r>
      <w:bookmarkStart w:id="50" w:name="_Toc217446068"/>
      <w:r>
        <w:rPr>
          <w:rFonts w:hint="eastAsia" w:ascii="宋体" w:hAnsi="宋体" w:cs="宋体"/>
          <w:color w:val="auto"/>
          <w:szCs w:val="21"/>
          <w:highlight w:val="none"/>
        </w:rPr>
        <w:t xml:space="preserve"> </w:t>
      </w:r>
      <w:r>
        <w:rPr>
          <w:rFonts w:hint="eastAsia" w:ascii="宋体" w:hAnsi="宋体" w:cs="宋体"/>
          <w:b/>
          <w:color w:val="auto"/>
          <w:szCs w:val="21"/>
          <w:highlight w:val="none"/>
        </w:rPr>
        <w:t>履约保证金</w:t>
      </w:r>
      <w:bookmarkEnd w:id="50"/>
      <w:r>
        <w:rPr>
          <w:rFonts w:hint="eastAsia" w:ascii="宋体" w:hAnsi="宋体" w:cs="宋体"/>
          <w:b/>
          <w:color w:val="auto"/>
          <w:szCs w:val="21"/>
          <w:highlight w:val="none"/>
          <w:lang w:eastAsia="zh-CN"/>
        </w:rPr>
        <w:t>（</w:t>
      </w:r>
      <w:r>
        <w:rPr>
          <w:rFonts w:hint="eastAsia" w:ascii="宋体" w:hAnsi="宋体" w:cs="宋体"/>
          <w:b/>
          <w:color w:val="auto"/>
          <w:szCs w:val="21"/>
          <w:highlight w:val="none"/>
          <w:lang w:val="en-US" w:eastAsia="zh-CN"/>
        </w:rPr>
        <w:t>本项目不采用）</w:t>
      </w:r>
    </w:p>
    <w:p w14:paraId="63A4609A">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34.1在签订合同前，中标人应按投标人须知前附表规定的担保形式、金额和招标文件第五章“合同条款及格式”规定的或者事先经过</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书面认可的履约担保格式向</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提交履约担保。</w:t>
      </w:r>
    </w:p>
    <w:p w14:paraId="4DC61C21">
      <w:pPr>
        <w:spacing w:line="440" w:lineRule="exact"/>
        <w:ind w:firstLine="420" w:firstLineChars="200"/>
        <w:rPr>
          <w:rFonts w:hint="eastAsia" w:ascii="宋体" w:hAnsi="宋体" w:cs="宋体"/>
          <w:color w:val="auto"/>
          <w:szCs w:val="21"/>
          <w:highlight w:val="none"/>
        </w:rPr>
      </w:pPr>
      <w:r>
        <w:rPr>
          <w:rFonts w:hint="eastAsia" w:ascii="宋体" w:hAnsi="宋体" w:cs="宋体"/>
          <w:color w:val="auto"/>
          <w:szCs w:val="21"/>
          <w:highlight w:val="none"/>
        </w:rPr>
        <w:t>34.2 中标人不能按本章第34.1款要求提交履约担保的，视为放弃中标，</w:t>
      </w:r>
      <w:r>
        <w:rPr>
          <w:rFonts w:hint="eastAsia" w:ascii="宋体" w:hAnsi="宋体" w:cs="宋体"/>
          <w:color w:val="auto"/>
          <w:szCs w:val="21"/>
          <w:highlight w:val="none"/>
          <w:shd w:val="clear" w:color="auto" w:fill="FFFFFF"/>
        </w:rPr>
        <w:t>给</w:t>
      </w:r>
      <w:r>
        <w:rPr>
          <w:rFonts w:hint="eastAsia" w:ascii="宋体" w:hAnsi="宋体" w:cs="宋体"/>
          <w:color w:val="auto"/>
          <w:szCs w:val="21"/>
          <w:highlight w:val="none"/>
          <w:shd w:val="clear" w:color="auto" w:fill="FFFFFF"/>
          <w:lang w:eastAsia="zh-CN"/>
        </w:rPr>
        <w:t>招标人</w:t>
      </w:r>
      <w:r>
        <w:rPr>
          <w:rFonts w:hint="eastAsia" w:ascii="宋体" w:hAnsi="宋体" w:cs="宋体"/>
          <w:color w:val="auto"/>
          <w:szCs w:val="21"/>
          <w:highlight w:val="none"/>
          <w:shd w:val="clear" w:color="auto" w:fill="FFFFFF"/>
        </w:rPr>
        <w:t>造成损失的，依法承担民事责任</w:t>
      </w:r>
      <w:r>
        <w:rPr>
          <w:rFonts w:hint="eastAsia" w:ascii="宋体" w:hAnsi="宋体" w:cs="宋体"/>
          <w:color w:val="auto"/>
          <w:szCs w:val="21"/>
          <w:highlight w:val="none"/>
        </w:rPr>
        <w:t>。</w:t>
      </w:r>
    </w:p>
    <w:p w14:paraId="38E9C6F9">
      <w:pPr>
        <w:spacing w:before="312" w:beforeLines="100" w:after="312" w:afterLines="100" w:line="440" w:lineRule="exact"/>
        <w:jc w:val="center"/>
        <w:rPr>
          <w:rFonts w:hint="eastAsia" w:ascii="宋体" w:hAnsi="宋体" w:eastAsia="宋体" w:cs="宋体"/>
          <w:b/>
          <w:color w:val="auto"/>
          <w:sz w:val="28"/>
          <w:szCs w:val="28"/>
          <w:highlight w:val="none"/>
        </w:rPr>
      </w:pPr>
      <w:bookmarkStart w:id="51" w:name="_Toc449028874"/>
      <w:r>
        <w:rPr>
          <w:rFonts w:hint="eastAsia" w:ascii="宋体" w:hAnsi="宋体" w:eastAsia="宋体" w:cs="宋体"/>
          <w:b/>
          <w:color w:val="auto"/>
          <w:sz w:val="28"/>
          <w:szCs w:val="28"/>
          <w:highlight w:val="none"/>
        </w:rPr>
        <w:t>（七）纪律和监督</w:t>
      </w:r>
      <w:bookmarkEnd w:id="51"/>
    </w:p>
    <w:p w14:paraId="26553498">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35. 对</w:t>
      </w:r>
      <w:r>
        <w:rPr>
          <w:rFonts w:hint="eastAsia" w:ascii="宋体" w:hAnsi="宋体" w:cs="宋体"/>
          <w:b/>
          <w:color w:val="auto"/>
          <w:szCs w:val="21"/>
          <w:highlight w:val="none"/>
          <w:lang w:eastAsia="zh-CN"/>
        </w:rPr>
        <w:t>招标人</w:t>
      </w:r>
      <w:r>
        <w:rPr>
          <w:rFonts w:hint="eastAsia" w:ascii="宋体" w:hAnsi="宋体" w:cs="宋体"/>
          <w:b/>
          <w:color w:val="auto"/>
          <w:szCs w:val="21"/>
          <w:highlight w:val="none"/>
        </w:rPr>
        <w:t xml:space="preserve">的纪律要求 </w:t>
      </w:r>
    </w:p>
    <w:p w14:paraId="05EEEA0D">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35.1</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 xml:space="preserve">不得泄漏招标投标活动中应当保密的情况和资料，不得与投标人串通损害国家利益，社会公共利益或者他人合法权益。 </w:t>
      </w:r>
    </w:p>
    <w:p w14:paraId="7B232892">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36. 对投标人的纪律要求 </w:t>
      </w:r>
    </w:p>
    <w:p w14:paraId="3090510F">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36.1投标人不得相互串通投标或者与</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串通投标，不得向</w:t>
      </w:r>
      <w:r>
        <w:rPr>
          <w:rFonts w:hint="eastAsia" w:ascii="宋体" w:hAnsi="宋体" w:cs="宋体"/>
          <w:color w:val="auto"/>
          <w:kern w:val="10"/>
          <w:szCs w:val="21"/>
          <w:highlight w:val="none"/>
          <w:lang w:eastAsia="zh-CN"/>
        </w:rPr>
        <w:t>招标人</w:t>
      </w:r>
      <w:r>
        <w:rPr>
          <w:rFonts w:hint="eastAsia" w:ascii="宋体" w:hAnsi="宋体" w:cs="宋体"/>
          <w:color w:val="auto"/>
          <w:kern w:val="10"/>
          <w:szCs w:val="21"/>
          <w:highlight w:val="none"/>
        </w:rPr>
        <w:t>或者评标委员会成员行贿谋取中标，不得以他人名义投标或者以其他方式弄虚作假骗取中标；投标人不得以任何方式干扰、影响评标工作。</w:t>
      </w:r>
    </w:p>
    <w:p w14:paraId="46E99431">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37. 对评标委员会成员的纪律要求 </w:t>
      </w:r>
    </w:p>
    <w:p w14:paraId="65471E57">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37.1评标委员会成员不得收受他人的财物或者其他好处，不得向他人透漏对投标文件的评审和比较、中标候选人的推荐情况以及评标有关的其他情况。</w:t>
      </w:r>
    </w:p>
    <w:p w14:paraId="3EE85A00">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 xml:space="preserve">37.2在评标活动中，评标委员会成员不得擅离职守，影响评标程序正常进行，不得使用第三章“评标办法”没有规定的评审因素和标准进行评标。 </w:t>
      </w:r>
    </w:p>
    <w:p w14:paraId="684E0BD7">
      <w:pPr>
        <w:spacing w:line="440" w:lineRule="exact"/>
        <w:ind w:firstLine="310" w:firstLineChars="147"/>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38. 对与评标活动有关的工作人员的纪律要求 </w:t>
      </w:r>
    </w:p>
    <w:p w14:paraId="31F13EA7">
      <w:pPr>
        <w:adjustRightInd w:val="0"/>
        <w:snapToGrid w:val="0"/>
        <w:spacing w:line="440" w:lineRule="exact"/>
        <w:ind w:firstLine="315" w:firstLineChars="150"/>
        <w:rPr>
          <w:rFonts w:hint="eastAsia" w:ascii="宋体" w:hAnsi="宋体" w:cs="宋体"/>
          <w:color w:val="auto"/>
          <w:kern w:val="10"/>
          <w:szCs w:val="21"/>
          <w:highlight w:val="none"/>
        </w:rPr>
      </w:pPr>
      <w:r>
        <w:rPr>
          <w:rFonts w:hint="eastAsia" w:ascii="宋体" w:hAnsi="宋体" w:cs="宋体"/>
          <w:color w:val="auto"/>
          <w:kern w:val="10"/>
          <w:szCs w:val="21"/>
          <w:highlight w:val="none"/>
        </w:rPr>
        <w:t>38.1与评标活动有关的工作人员不得收受他人的财物或者其他好处，不得向他人透漏对投标文件的评审和比较、中标候选人的推荐情况以及评标有关的其他情况。在评标活动中，与评标活动有关的工作人员不得擅离职守，影响评标程序正常进行。</w:t>
      </w:r>
    </w:p>
    <w:p w14:paraId="35A25735">
      <w:pPr>
        <w:spacing w:before="312" w:beforeLines="100" w:after="312" w:afterLines="100" w:line="440" w:lineRule="exact"/>
        <w:jc w:val="center"/>
        <w:rPr>
          <w:rFonts w:hint="eastAsia" w:ascii="宋体" w:hAnsi="宋体" w:eastAsia="宋体" w:cs="宋体"/>
          <w:b/>
          <w:color w:val="auto"/>
          <w:sz w:val="28"/>
          <w:szCs w:val="28"/>
          <w:highlight w:val="none"/>
        </w:rPr>
      </w:pPr>
      <w:bookmarkStart w:id="52" w:name="_Toc449028875"/>
      <w:r>
        <w:rPr>
          <w:rFonts w:hint="eastAsia" w:ascii="宋体" w:hAnsi="宋体" w:eastAsia="宋体" w:cs="宋体"/>
          <w:b/>
          <w:color w:val="auto"/>
          <w:sz w:val="28"/>
          <w:szCs w:val="28"/>
          <w:highlight w:val="none"/>
        </w:rPr>
        <w:t>（八）质疑与投诉</w:t>
      </w:r>
      <w:bookmarkEnd w:id="52"/>
    </w:p>
    <w:p w14:paraId="77D3D939">
      <w:pPr>
        <w:spacing w:line="380" w:lineRule="exact"/>
        <w:ind w:firstLine="314" w:firstLineChars="149"/>
        <w:jc w:val="left"/>
        <w:rPr>
          <w:rFonts w:hint="eastAsia" w:ascii="宋体" w:hAnsi="宋体"/>
          <w:b/>
          <w:color w:val="auto"/>
          <w:szCs w:val="21"/>
          <w:highlight w:val="none"/>
        </w:rPr>
      </w:pPr>
      <w:r>
        <w:rPr>
          <w:rFonts w:hint="eastAsia" w:ascii="宋体" w:hAnsi="宋体"/>
          <w:b/>
          <w:color w:val="auto"/>
          <w:szCs w:val="21"/>
          <w:highlight w:val="none"/>
          <w:lang w:val="en-US" w:eastAsia="zh-CN"/>
        </w:rPr>
        <w:t>39</w:t>
      </w:r>
      <w:r>
        <w:rPr>
          <w:rFonts w:hint="eastAsia" w:ascii="宋体" w:hAnsi="宋体"/>
          <w:b/>
          <w:color w:val="auto"/>
          <w:szCs w:val="21"/>
          <w:highlight w:val="none"/>
        </w:rPr>
        <w:t>. 投诉</w:t>
      </w:r>
    </w:p>
    <w:p w14:paraId="7B2D3B5F">
      <w:pPr>
        <w:adjustRightInd w:val="0"/>
        <w:snapToGrid w:val="0"/>
        <w:spacing w:line="420" w:lineRule="exact"/>
        <w:ind w:firstLine="315" w:firstLineChars="150"/>
        <w:rPr>
          <w:rFonts w:hint="eastAsia" w:ascii="宋体"/>
          <w:color w:val="auto"/>
          <w:kern w:val="10"/>
          <w:szCs w:val="21"/>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.1投标人或者其他利害关系人认为招标投标活动违反法律、法规和规章规定的，有权向相关行政监督部门投诉。投诉应当有明确的请求和必要的证明材料。</w:t>
      </w:r>
    </w:p>
    <w:p w14:paraId="433CA35D">
      <w:pPr>
        <w:adjustRightInd w:val="0"/>
        <w:snapToGrid w:val="0"/>
        <w:spacing w:line="420" w:lineRule="exact"/>
        <w:ind w:firstLine="315" w:firstLineChars="150"/>
        <w:rPr>
          <w:rFonts w:hint="eastAsia" w:ascii="黑体" w:eastAsia="黑体"/>
          <w:color w:val="auto"/>
          <w:sz w:val="30"/>
          <w:szCs w:val="30"/>
          <w:highlight w:val="none"/>
        </w:rPr>
      </w:pPr>
      <w:r>
        <w:rPr>
          <w:rFonts w:hint="eastAsia" w:ascii="宋体"/>
          <w:color w:val="auto"/>
          <w:kern w:val="10"/>
          <w:szCs w:val="21"/>
          <w:highlight w:val="none"/>
          <w:lang w:val="en-US" w:eastAsia="zh-CN"/>
        </w:rPr>
        <w:t>39</w:t>
      </w:r>
      <w:r>
        <w:rPr>
          <w:rFonts w:hint="eastAsia" w:ascii="宋体"/>
          <w:color w:val="auto"/>
          <w:kern w:val="10"/>
          <w:szCs w:val="21"/>
          <w:highlight w:val="none"/>
        </w:rPr>
        <w:t>.2投标人和其他利害关系人对招标文件、开标和评标结果事项投诉的，应当按照投标人须知的规定先向招标人提出异议。异议答复期间不计算在第41.1项规定的期限内。</w:t>
      </w:r>
    </w:p>
    <w:p w14:paraId="63CB34A1">
      <w:pPr>
        <w:spacing w:line="440" w:lineRule="exact"/>
        <w:ind w:firstLine="450" w:firstLineChars="150"/>
        <w:jc w:val="left"/>
        <w:rPr>
          <w:rFonts w:hint="eastAsia" w:ascii="宋体" w:hAnsi="宋体" w:cs="宋体"/>
          <w:color w:val="auto"/>
          <w:sz w:val="30"/>
          <w:szCs w:val="30"/>
          <w:highlight w:val="none"/>
        </w:rPr>
      </w:pPr>
    </w:p>
    <w:p w14:paraId="79996EB8">
      <w:pPr>
        <w:spacing w:before="156" w:beforeLines="50" w:after="156" w:afterLines="50"/>
        <w:jc w:val="center"/>
        <w:outlineLvl w:val="0"/>
        <w:rPr>
          <w:rFonts w:hint="eastAsia" w:ascii="宋体"/>
          <w:b/>
          <w:color w:val="auto"/>
          <w:sz w:val="32"/>
          <w:szCs w:val="32"/>
          <w:highlight w:val="none"/>
        </w:rPr>
      </w:pPr>
      <w:r>
        <w:rPr>
          <w:rFonts w:hint="eastAsia" w:ascii="宋体"/>
          <w:b/>
          <w:color w:val="auto"/>
          <w:sz w:val="32"/>
          <w:szCs w:val="32"/>
          <w:highlight w:val="none"/>
        </w:rPr>
        <w:br w:type="page"/>
      </w:r>
      <w:bookmarkStart w:id="53" w:name="_Toc2363"/>
      <w:r>
        <w:rPr>
          <w:rFonts w:hint="eastAsia" w:ascii="宋体"/>
          <w:b/>
          <w:color w:val="auto"/>
          <w:sz w:val="32"/>
          <w:szCs w:val="32"/>
          <w:highlight w:val="none"/>
        </w:rPr>
        <w:t>第三章 评标办法</w:t>
      </w:r>
      <w:bookmarkEnd w:id="53"/>
    </w:p>
    <w:p w14:paraId="6C2BAEC5">
      <w:pPr>
        <w:spacing w:before="156" w:beforeLines="50" w:after="156" w:afterLines="50" w:line="440" w:lineRule="exact"/>
        <w:jc w:val="center"/>
        <w:outlineLvl w:val="1"/>
        <w:rPr>
          <w:rFonts w:hint="eastAsia" w:ascii="宋体"/>
          <w:b/>
          <w:color w:val="auto"/>
          <w:sz w:val="28"/>
          <w:szCs w:val="28"/>
          <w:highlight w:val="none"/>
        </w:rPr>
      </w:pPr>
      <w:bookmarkStart w:id="54" w:name="_Toc362983801"/>
      <w:bookmarkStart w:id="55" w:name="_Toc449028877"/>
      <w:bookmarkStart w:id="56" w:name="_Toc58430317"/>
      <w:bookmarkStart w:id="57" w:name="_Toc13462"/>
      <w:bookmarkStart w:id="58" w:name="_Toc267320058"/>
      <w:bookmarkStart w:id="59" w:name="_Toc363135205"/>
      <w:r>
        <w:rPr>
          <w:rFonts w:hint="eastAsia" w:ascii="宋体"/>
          <w:b/>
          <w:color w:val="auto"/>
          <w:sz w:val="28"/>
          <w:szCs w:val="28"/>
          <w:highlight w:val="none"/>
        </w:rPr>
        <w:t>一、总则</w:t>
      </w:r>
      <w:bookmarkEnd w:id="54"/>
      <w:bookmarkEnd w:id="55"/>
      <w:bookmarkEnd w:id="56"/>
      <w:bookmarkEnd w:id="57"/>
    </w:p>
    <w:p w14:paraId="40038418">
      <w:pPr>
        <w:spacing w:line="440" w:lineRule="exact"/>
        <w:ind w:firstLine="316" w:firstLineChars="150"/>
        <w:jc w:val="left"/>
        <w:rPr>
          <w:rFonts w:hint="default" w:ascii="宋体" w:eastAsia="宋体"/>
          <w:b/>
          <w:color w:val="auto"/>
          <w:szCs w:val="21"/>
          <w:highlight w:val="none"/>
          <w:lang w:val="en-US" w:eastAsia="zh-CN"/>
        </w:rPr>
      </w:pPr>
      <w:r>
        <w:rPr>
          <w:rFonts w:hint="eastAsia" w:ascii="宋体"/>
          <w:b/>
          <w:color w:val="auto"/>
          <w:szCs w:val="21"/>
          <w:highlight w:val="none"/>
        </w:rPr>
        <w:t xml:space="preserve"> 1. 本次评标采用</w:t>
      </w:r>
      <w:r>
        <w:rPr>
          <w:rFonts w:hint="eastAsia" w:ascii="宋体"/>
          <w:b/>
          <w:color w:val="auto"/>
          <w:szCs w:val="21"/>
          <w:highlight w:val="none"/>
          <w:lang w:val="en-US" w:eastAsia="zh-CN"/>
        </w:rPr>
        <w:t>合理低价法</w:t>
      </w:r>
    </w:p>
    <w:p w14:paraId="6B95FE98">
      <w:pPr>
        <w:spacing w:line="440" w:lineRule="exact"/>
        <w:ind w:firstLine="420" w:firstLineChars="200"/>
        <w:rPr>
          <w:rFonts w:hint="eastAsia" w:ascii="宋体"/>
          <w:color w:val="auto"/>
          <w:szCs w:val="21"/>
          <w:highlight w:val="none"/>
        </w:rPr>
      </w:pPr>
      <w:r>
        <w:rPr>
          <w:rFonts w:hint="eastAsia" w:ascii="宋体"/>
          <w:color w:val="auto"/>
          <w:szCs w:val="21"/>
          <w:highlight w:val="none"/>
        </w:rPr>
        <w:t>1.1合理低价法，标委员会对满足招标文件实质性要求的投标文件，最终按投标报价最低（扣除可抵扣进项税后价格）原则，推荐投标报价（扣除可抵扣进项税后价格）最低的为第一中标候选人，但投标报价低于其成本的除外，有效投标人的投标总报价（扣除可抵扣的进项税后的金额）低于【有效投标人投标总报价（扣除可抵扣的进项税后的金额）的平均价*（1-10%）】的视为低于成本价，不予选取确定为中标候选人。投标报价最低的投标人有两名或两名以上相同时，由招标人或评标委员会主任委员抽签确定第一中标候选人。</w:t>
      </w:r>
    </w:p>
    <w:p w14:paraId="5A95EDE7">
      <w:pPr>
        <w:spacing w:line="440" w:lineRule="exact"/>
        <w:ind w:firstLine="422" w:firstLineChars="200"/>
        <w:rPr>
          <w:rFonts w:hint="eastAsia" w:ascii="宋体"/>
          <w:b/>
          <w:color w:val="auto"/>
          <w:szCs w:val="21"/>
          <w:highlight w:val="none"/>
        </w:rPr>
      </w:pPr>
      <w:r>
        <w:rPr>
          <w:rFonts w:hint="eastAsia" w:ascii="宋体"/>
          <w:b/>
          <w:color w:val="auto"/>
          <w:szCs w:val="21"/>
          <w:highlight w:val="none"/>
        </w:rPr>
        <w:t>2．评标程序</w:t>
      </w:r>
    </w:p>
    <w:p w14:paraId="7194E114">
      <w:pPr>
        <w:spacing w:line="440" w:lineRule="exact"/>
        <w:ind w:firstLine="420" w:firstLineChars="200"/>
        <w:rPr>
          <w:rFonts w:hint="eastAsia" w:ascii="宋体"/>
          <w:color w:val="auto"/>
          <w:szCs w:val="21"/>
          <w:highlight w:val="none"/>
        </w:rPr>
      </w:pPr>
      <w:r>
        <w:rPr>
          <w:rFonts w:hint="eastAsia" w:ascii="宋体"/>
          <w:color w:val="auto"/>
          <w:szCs w:val="21"/>
          <w:highlight w:val="none"/>
        </w:rPr>
        <w:t>2.1投标文件的初审</w:t>
      </w:r>
    </w:p>
    <w:p w14:paraId="43898BA7">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2.1.1资格性检查。依据法律法规和招标文件的规定，对投标文件中的资格证明等进行审查，以确定投标人是否具备投标资格。 </w:t>
      </w:r>
    </w:p>
    <w:p w14:paraId="126B96E0">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2.1.2符合性检查。依据招标文件的规定，从投标文件的有效性、完整性和对招标文件的响应程度进行审查，以确定投标人是否对招标文件的实质性要求作出响应。</w:t>
      </w:r>
    </w:p>
    <w:p w14:paraId="752AB293">
      <w:pPr>
        <w:spacing w:line="440" w:lineRule="exact"/>
        <w:ind w:firstLine="420" w:firstLineChars="200"/>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比较与评价</w:t>
      </w:r>
    </w:p>
    <w:p w14:paraId="3F15C252">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2</w:t>
      </w:r>
      <w:r>
        <w:rPr>
          <w:rFonts w:hint="eastAsia" w:ascii="宋体"/>
          <w:color w:val="auto"/>
          <w:szCs w:val="21"/>
          <w:highlight w:val="none"/>
        </w:rPr>
        <w:t>.1按招标文件中规定的评标方法和标准，对资格性检查和符合性检查合格的投标文件进行商务报价评审，综合比较与评价。</w:t>
      </w:r>
    </w:p>
    <w:p w14:paraId="0EEEE6B4">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推荐中标候选人名单</w:t>
      </w:r>
    </w:p>
    <w:p w14:paraId="500B02CF">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3</w:t>
      </w:r>
      <w:r>
        <w:rPr>
          <w:rFonts w:hint="eastAsia" w:ascii="宋体"/>
          <w:color w:val="auto"/>
          <w:szCs w:val="21"/>
          <w:highlight w:val="none"/>
        </w:rPr>
        <w:t>.1中标候选人数量应当根据采购需要确定，但必须按顺序排列中标候选人。</w:t>
      </w:r>
    </w:p>
    <w:p w14:paraId="16B99517">
      <w:pPr>
        <w:spacing w:line="44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ascii="宋体"/>
          <w:color w:val="auto"/>
          <w:szCs w:val="21"/>
          <w:highlight w:val="none"/>
          <w:lang w:val="en-US" w:eastAsia="zh-CN"/>
        </w:rPr>
        <w:t>4</w:t>
      </w:r>
      <w:r>
        <w:rPr>
          <w:rFonts w:hint="eastAsia" w:ascii="宋体"/>
          <w:color w:val="auto"/>
          <w:szCs w:val="21"/>
          <w:highlight w:val="none"/>
        </w:rPr>
        <w:t>在投标文件的审查、澄清、评价和比较以及授予合同过程中，投标人对</w:t>
      </w:r>
      <w:r>
        <w:rPr>
          <w:rFonts w:hint="eastAsia" w:ascii="宋体"/>
          <w:color w:val="auto"/>
          <w:szCs w:val="21"/>
          <w:highlight w:val="none"/>
          <w:lang w:eastAsia="zh-CN"/>
        </w:rPr>
        <w:t>招标人</w:t>
      </w:r>
      <w:r>
        <w:rPr>
          <w:rFonts w:hint="eastAsia" w:ascii="宋体"/>
          <w:color w:val="auto"/>
          <w:szCs w:val="21"/>
          <w:highlight w:val="none"/>
        </w:rPr>
        <w:t>和评标委员会成员施加影响的任何行为，都将导致取消其中标资格。</w:t>
      </w:r>
    </w:p>
    <w:p w14:paraId="7B4C4FAC">
      <w:pPr>
        <w:jc w:val="center"/>
        <w:outlineLvl w:val="1"/>
        <w:rPr>
          <w:rFonts w:hint="eastAsia" w:ascii="宋体"/>
          <w:b/>
          <w:color w:val="auto"/>
          <w:sz w:val="28"/>
          <w:szCs w:val="28"/>
          <w:highlight w:val="none"/>
        </w:rPr>
      </w:pPr>
      <w:bookmarkStart w:id="60" w:name="_Toc362983802"/>
      <w:bookmarkStart w:id="61" w:name="_Toc58430318"/>
      <w:bookmarkStart w:id="62" w:name="_Toc449028878"/>
      <w:bookmarkStart w:id="63" w:name="_Toc22977"/>
      <w:r>
        <w:rPr>
          <w:rFonts w:hint="eastAsia" w:ascii="宋体"/>
          <w:b/>
          <w:color w:val="auto"/>
          <w:sz w:val="28"/>
          <w:szCs w:val="28"/>
          <w:highlight w:val="none"/>
        </w:rPr>
        <w:t>二、投标文件初审</w:t>
      </w:r>
      <w:bookmarkEnd w:id="60"/>
      <w:bookmarkEnd w:id="61"/>
      <w:bookmarkEnd w:id="62"/>
      <w:bookmarkEnd w:id="63"/>
    </w:p>
    <w:p w14:paraId="56CCA698">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3.资格性审查</w:t>
      </w:r>
      <w:r>
        <w:rPr>
          <w:rFonts w:hint="eastAsia" w:ascii="宋体" w:hAnsi="宋体" w:cs="宋体"/>
          <w:b/>
          <w:color w:val="auto"/>
          <w:szCs w:val="21"/>
          <w:highlight w:val="none"/>
          <w:lang w:eastAsia="zh-CN"/>
        </w:rPr>
        <w:t>：</w:t>
      </w:r>
    </w:p>
    <w:p w14:paraId="108E27B1">
      <w:pPr>
        <w:spacing w:line="440" w:lineRule="exact"/>
        <w:ind w:firstLine="308" w:firstLineChars="147"/>
        <w:rPr>
          <w:rFonts w:hint="eastAsia" w:ascii="宋体" w:hAnsi="宋体" w:cs="宋体"/>
          <w:color w:val="auto"/>
          <w:szCs w:val="21"/>
          <w:highlight w:val="none"/>
        </w:rPr>
      </w:pPr>
      <w:r>
        <w:rPr>
          <w:rFonts w:hint="eastAsia" w:ascii="宋体" w:hAnsi="宋体" w:cs="宋体"/>
          <w:color w:val="auto"/>
          <w:szCs w:val="21"/>
          <w:highlight w:val="none"/>
        </w:rPr>
        <w:t>3.1评审细则</w:t>
      </w:r>
    </w:p>
    <w:tbl>
      <w:tblPr>
        <w:tblStyle w:val="35"/>
        <w:tblW w:w="9930" w:type="dxa"/>
        <w:tblInd w:w="-47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5"/>
        <w:gridCol w:w="1275"/>
        <w:gridCol w:w="3644"/>
        <w:gridCol w:w="4216"/>
      </w:tblGrid>
      <w:tr w14:paraId="13DD4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795" w:type="dxa"/>
            <w:noWrap w:val="0"/>
            <w:vAlign w:val="center"/>
          </w:tcPr>
          <w:p w14:paraId="19D3AF4C">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919" w:type="dxa"/>
            <w:gridSpan w:val="2"/>
            <w:noWrap w:val="0"/>
            <w:vAlign w:val="center"/>
          </w:tcPr>
          <w:p w14:paraId="43EC144B">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评审因素</w:t>
            </w:r>
          </w:p>
        </w:tc>
        <w:tc>
          <w:tcPr>
            <w:tcW w:w="4216" w:type="dxa"/>
            <w:noWrap w:val="0"/>
            <w:vAlign w:val="center"/>
          </w:tcPr>
          <w:p w14:paraId="55D706CA">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评审标准</w:t>
            </w:r>
          </w:p>
        </w:tc>
      </w:tr>
      <w:tr w14:paraId="552FE1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1" w:hRule="atLeast"/>
        </w:trPr>
        <w:tc>
          <w:tcPr>
            <w:tcW w:w="795" w:type="dxa"/>
            <w:noWrap w:val="0"/>
            <w:vAlign w:val="center"/>
          </w:tcPr>
          <w:p w14:paraId="48A701A8">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75" w:type="dxa"/>
            <w:noWrap w:val="0"/>
            <w:vAlign w:val="center"/>
          </w:tcPr>
          <w:p w14:paraId="6DECD9B8">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重要要求</w:t>
            </w:r>
          </w:p>
        </w:tc>
        <w:tc>
          <w:tcPr>
            <w:tcW w:w="3644" w:type="dxa"/>
            <w:noWrap w:val="0"/>
            <w:vAlign w:val="center"/>
          </w:tcPr>
          <w:p w14:paraId="6E0C574E">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（1）法定代表人身份证明和本人有效身份证</w:t>
            </w:r>
            <w:r>
              <w:rPr>
                <w:rFonts w:hint="eastAsia" w:ascii="宋体" w:hAnsi="宋体" w:cs="宋体"/>
                <w:color w:val="auto"/>
                <w:szCs w:val="21"/>
                <w:highlight w:val="none"/>
                <w:lang w:eastAsia="zh-CN"/>
              </w:rPr>
              <w:t>（</w:t>
            </w:r>
            <w:r>
              <w:rPr>
                <w:rFonts w:hint="eastAsia" w:ascii="宋体" w:hAnsi="宋体" w:cs="宋体"/>
                <w:color w:val="auto"/>
                <w:szCs w:val="21"/>
                <w:highlight w:val="none"/>
              </w:rPr>
              <w:t>或法定代表人授权委托书和委托代理人有效身份证</w:t>
            </w:r>
            <w:r>
              <w:rPr>
                <w:rFonts w:hint="eastAsia" w:ascii="宋体" w:hAnsi="宋体" w:cs="宋体"/>
                <w:color w:val="auto"/>
                <w:szCs w:val="21"/>
                <w:highlight w:val="none"/>
                <w:lang w:eastAsia="zh-CN"/>
              </w:rPr>
              <w:t>）</w:t>
            </w:r>
          </w:p>
        </w:tc>
        <w:tc>
          <w:tcPr>
            <w:tcW w:w="4216" w:type="dxa"/>
            <w:noWrap w:val="0"/>
            <w:vAlign w:val="center"/>
          </w:tcPr>
          <w:p w14:paraId="4B8B61CC">
            <w:pPr>
              <w:spacing w:line="440" w:lineRule="exact"/>
              <w:jc w:val="left"/>
              <w:rPr>
                <w:rFonts w:hint="eastAsia" w:ascii="宋体" w:hAnsi="宋体" w:cs="宋体"/>
                <w:color w:val="auto"/>
                <w:szCs w:val="21"/>
                <w:highlight w:val="none"/>
              </w:rPr>
            </w:pPr>
            <w:r>
              <w:rPr>
                <w:rFonts w:hint="eastAsia" w:ascii="宋体" w:hAnsi="宋体" w:cs="宋体"/>
                <w:color w:val="auto"/>
                <w:szCs w:val="21"/>
                <w:highlight w:val="none"/>
              </w:rPr>
              <w:t>检验</w:t>
            </w:r>
            <w:r>
              <w:rPr>
                <w:rFonts w:hint="eastAsia" w:ascii="宋体" w:hAnsi="宋体" w:cs="宋体"/>
                <w:color w:val="auto"/>
                <w:szCs w:val="21"/>
                <w:highlight w:val="none"/>
                <w:lang w:val="en-US" w:eastAsia="zh-CN"/>
              </w:rPr>
              <w:t>投标文件</w:t>
            </w:r>
            <w:r>
              <w:rPr>
                <w:rFonts w:hint="eastAsia" w:ascii="宋体" w:hAnsi="宋体" w:cs="宋体"/>
                <w:color w:val="auto"/>
                <w:szCs w:val="21"/>
                <w:highlight w:val="none"/>
              </w:rPr>
              <w:t>。</w:t>
            </w:r>
          </w:p>
        </w:tc>
      </w:tr>
      <w:tr w14:paraId="73D593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restart"/>
            <w:noWrap w:val="0"/>
            <w:vAlign w:val="center"/>
          </w:tcPr>
          <w:p w14:paraId="1369A7A7">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75" w:type="dxa"/>
            <w:vMerge w:val="restart"/>
            <w:noWrap w:val="0"/>
            <w:vAlign w:val="center"/>
          </w:tcPr>
          <w:p w14:paraId="3225E76C">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投标人应符合的基本资格条件</w:t>
            </w:r>
          </w:p>
        </w:tc>
        <w:tc>
          <w:tcPr>
            <w:tcW w:w="3644" w:type="dxa"/>
            <w:noWrap w:val="0"/>
            <w:vAlign w:val="center"/>
          </w:tcPr>
          <w:p w14:paraId="06060267">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（2）具有独立承担民事责任的能力</w:t>
            </w:r>
          </w:p>
        </w:tc>
        <w:tc>
          <w:tcPr>
            <w:tcW w:w="4216" w:type="dxa"/>
            <w:noWrap w:val="0"/>
            <w:vAlign w:val="center"/>
          </w:tcPr>
          <w:p w14:paraId="160FBAD2">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6424BAAD">
            <w:pPr>
              <w:spacing w:line="440" w:lineRule="exact"/>
              <w:rPr>
                <w:rFonts w:hint="default" w:ascii="宋体" w:hAnsi="宋体" w:eastAsia="宋体" w:cs="宋体"/>
                <w:color w:val="auto"/>
                <w:szCs w:val="21"/>
                <w:highlight w:val="none"/>
                <w:lang w:val="en-US" w:eastAsia="zh-CN"/>
              </w:rPr>
            </w:pPr>
            <w:r>
              <w:rPr>
                <w:rFonts w:hint="eastAsia" w:ascii="宋体"/>
                <w:color w:val="auto"/>
                <w:szCs w:val="21"/>
                <w:highlight w:val="none"/>
                <w:lang w:val="en-US" w:eastAsia="zh-CN"/>
              </w:rPr>
              <w:t>有效的营业执照</w:t>
            </w:r>
          </w:p>
        </w:tc>
      </w:tr>
      <w:tr w14:paraId="533F30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3" w:hRule="atLeast"/>
        </w:trPr>
        <w:tc>
          <w:tcPr>
            <w:tcW w:w="795" w:type="dxa"/>
            <w:vMerge w:val="continue"/>
            <w:tcBorders/>
            <w:noWrap w:val="0"/>
            <w:vAlign w:val="center"/>
          </w:tcPr>
          <w:p w14:paraId="0BD23403">
            <w:pPr>
              <w:spacing w:line="440" w:lineRule="exact"/>
              <w:jc w:val="center"/>
              <w:rPr>
                <w:rFonts w:hint="eastAsia" w:ascii="宋体" w:hAnsi="宋体" w:cs="宋体"/>
                <w:color w:val="auto"/>
                <w:szCs w:val="21"/>
                <w:highlight w:val="none"/>
              </w:rPr>
            </w:pPr>
          </w:p>
        </w:tc>
        <w:tc>
          <w:tcPr>
            <w:tcW w:w="1275" w:type="dxa"/>
            <w:vMerge w:val="continue"/>
            <w:tcBorders/>
            <w:noWrap w:val="0"/>
            <w:vAlign w:val="center"/>
          </w:tcPr>
          <w:p w14:paraId="604DF1CD">
            <w:pPr>
              <w:spacing w:line="440" w:lineRule="exact"/>
              <w:rPr>
                <w:rFonts w:hint="eastAsia" w:ascii="宋体" w:hAnsi="宋体" w:cs="宋体"/>
                <w:color w:val="auto"/>
                <w:szCs w:val="21"/>
                <w:highlight w:val="none"/>
              </w:rPr>
            </w:pPr>
          </w:p>
        </w:tc>
        <w:tc>
          <w:tcPr>
            <w:tcW w:w="3644" w:type="dxa"/>
            <w:noWrap w:val="0"/>
            <w:vAlign w:val="center"/>
          </w:tcPr>
          <w:p w14:paraId="36123AB9">
            <w:pPr>
              <w:spacing w:line="440" w:lineRule="exact"/>
              <w:rPr>
                <w:rFonts w:hint="default" w:ascii="宋体" w:hAnsi="宋体" w:eastAsia="宋体" w:cs="宋体"/>
                <w:color w:val="auto"/>
                <w:szCs w:val="21"/>
                <w:highlight w:val="none"/>
                <w:lang w:val="en-US" w:eastAsia="zh-CN"/>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3）具备资产评估资格（需同时具备资产评估资格，附资产评估备案证明截图或其他证明材料复印件）</w:t>
            </w:r>
          </w:p>
        </w:tc>
        <w:tc>
          <w:tcPr>
            <w:tcW w:w="4216" w:type="dxa"/>
            <w:noWrap w:val="0"/>
            <w:vAlign w:val="center"/>
          </w:tcPr>
          <w:p w14:paraId="54D1189E">
            <w:pPr>
              <w:spacing w:line="440" w:lineRule="exact"/>
              <w:rPr>
                <w:rFonts w:hint="eastAsia" w:ascii="宋体" w:hAnsi="宋体" w:cs="宋体"/>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4BA29A79">
            <w:pPr>
              <w:spacing w:line="440" w:lineRule="exact"/>
              <w:rPr>
                <w:rFonts w:hint="default" w:ascii="宋体" w:eastAsia="宋体"/>
                <w:color w:val="auto"/>
                <w:szCs w:val="21"/>
                <w:highlight w:val="none"/>
                <w:lang w:val="en-US" w:eastAsia="zh-CN"/>
              </w:rPr>
            </w:pPr>
            <w:r>
              <w:rPr>
                <w:rFonts w:hint="eastAsia" w:ascii="宋体"/>
                <w:color w:val="auto"/>
                <w:szCs w:val="21"/>
                <w:highlight w:val="none"/>
                <w:lang w:val="en-US" w:eastAsia="zh-CN"/>
              </w:rPr>
              <w:t>有效的资质证明材料</w:t>
            </w:r>
          </w:p>
        </w:tc>
      </w:tr>
      <w:tr w14:paraId="16CB75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tcBorders/>
            <w:noWrap w:val="0"/>
            <w:vAlign w:val="center"/>
          </w:tcPr>
          <w:p w14:paraId="6FB68CE7">
            <w:pPr>
              <w:spacing w:line="440" w:lineRule="exact"/>
              <w:jc w:val="center"/>
              <w:rPr>
                <w:rFonts w:hint="eastAsia" w:ascii="宋体" w:hAnsi="宋体" w:cs="宋体"/>
                <w:color w:val="auto"/>
                <w:szCs w:val="21"/>
                <w:highlight w:val="none"/>
              </w:rPr>
            </w:pPr>
          </w:p>
        </w:tc>
        <w:tc>
          <w:tcPr>
            <w:tcW w:w="1275" w:type="dxa"/>
            <w:vMerge w:val="continue"/>
            <w:tcBorders/>
            <w:noWrap w:val="0"/>
            <w:vAlign w:val="center"/>
          </w:tcPr>
          <w:p w14:paraId="57078703">
            <w:pPr>
              <w:spacing w:line="440" w:lineRule="exact"/>
              <w:rPr>
                <w:rFonts w:hint="eastAsia" w:ascii="宋体" w:hAnsi="宋体" w:cs="宋体"/>
                <w:color w:val="auto"/>
                <w:szCs w:val="21"/>
                <w:highlight w:val="none"/>
              </w:rPr>
            </w:pPr>
          </w:p>
        </w:tc>
        <w:tc>
          <w:tcPr>
            <w:tcW w:w="3644" w:type="dxa"/>
            <w:shd w:val="clear" w:color="auto" w:fill="auto"/>
            <w:noWrap w:val="0"/>
            <w:vAlign w:val="top"/>
          </w:tcPr>
          <w:p w14:paraId="51040AA7">
            <w:pPr>
              <w:spacing w:line="440" w:lineRule="exact"/>
              <w:rPr>
                <w:rFonts w:hint="eastAsia" w:ascii="宋体" w:hAnsi="宋体" w:eastAsia="宋体" w:cs="宋体"/>
                <w:b/>
                <w:color w:val="auto"/>
                <w:kern w:val="2"/>
                <w:sz w:val="21"/>
                <w:szCs w:val="21"/>
                <w:highlight w:val="none"/>
                <w:lang w:val="en-US" w:eastAsia="zh-CN" w:bidi="ar-SA"/>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）项目负责人</w:t>
            </w:r>
            <w:r>
              <w:rPr>
                <w:rFonts w:hint="eastAsia" w:ascii="宋体" w:hAnsi="宋体" w:cs="宋体"/>
                <w:color w:val="auto"/>
                <w:szCs w:val="21"/>
                <w:highlight w:val="none"/>
                <w:lang w:val="en-US" w:eastAsia="zh-CN"/>
              </w:rPr>
              <w:t>具有</w:t>
            </w:r>
            <w:r>
              <w:rPr>
                <w:rFonts w:hint="eastAsia" w:ascii="宋体" w:hAnsi="宋体" w:cs="宋体"/>
                <w:color w:val="auto"/>
                <w:szCs w:val="21"/>
                <w:highlight w:val="none"/>
              </w:rPr>
              <w:t>注册在投标单位的资产评估执业资格证书</w:t>
            </w:r>
          </w:p>
        </w:tc>
        <w:tc>
          <w:tcPr>
            <w:tcW w:w="4216" w:type="dxa"/>
            <w:shd w:val="clear" w:color="auto" w:fill="auto"/>
            <w:noWrap w:val="0"/>
            <w:vAlign w:val="top"/>
          </w:tcPr>
          <w:p w14:paraId="57D00A30">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3CE92431">
            <w:pPr>
              <w:pStyle w:val="2"/>
              <w:ind w:left="0" w:leftChars="0" w:firstLine="0" w:firstLineChars="0"/>
              <w:rPr>
                <w:rFonts w:hint="default"/>
                <w:lang w:val="en-US" w:eastAsia="zh-CN"/>
              </w:rPr>
            </w:pPr>
            <w:r>
              <w:rPr>
                <w:rFonts w:hint="eastAsia"/>
                <w:lang w:val="en-US" w:eastAsia="zh-CN"/>
              </w:rPr>
              <w:t>项目负责人身份证明及</w:t>
            </w:r>
            <w:bookmarkStart w:id="84" w:name="_GoBack"/>
            <w:bookmarkEnd w:id="84"/>
            <w:r>
              <w:rPr>
                <w:rFonts w:hint="eastAsia"/>
                <w:lang w:val="en-US" w:eastAsia="zh-CN"/>
              </w:rPr>
              <w:t>资产评估执业资格证书</w:t>
            </w:r>
          </w:p>
        </w:tc>
      </w:tr>
      <w:tr w14:paraId="6888F4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tcBorders/>
            <w:noWrap w:val="0"/>
            <w:vAlign w:val="center"/>
          </w:tcPr>
          <w:p w14:paraId="5A977082">
            <w:pPr>
              <w:spacing w:line="440" w:lineRule="exact"/>
              <w:jc w:val="center"/>
              <w:rPr>
                <w:rFonts w:hint="eastAsia" w:ascii="宋体" w:hAnsi="宋体" w:cs="宋体"/>
                <w:color w:val="auto"/>
                <w:szCs w:val="21"/>
                <w:highlight w:val="none"/>
              </w:rPr>
            </w:pPr>
          </w:p>
        </w:tc>
        <w:tc>
          <w:tcPr>
            <w:tcW w:w="1275" w:type="dxa"/>
            <w:vMerge w:val="continue"/>
            <w:tcBorders/>
            <w:noWrap w:val="0"/>
            <w:vAlign w:val="center"/>
          </w:tcPr>
          <w:p w14:paraId="006056FB">
            <w:pPr>
              <w:spacing w:line="440" w:lineRule="exact"/>
              <w:rPr>
                <w:rFonts w:hint="eastAsia" w:ascii="宋体" w:hAnsi="宋体" w:cs="宋体"/>
                <w:color w:val="auto"/>
                <w:szCs w:val="21"/>
                <w:highlight w:val="none"/>
              </w:rPr>
            </w:pPr>
          </w:p>
        </w:tc>
        <w:tc>
          <w:tcPr>
            <w:tcW w:w="3644" w:type="dxa"/>
            <w:shd w:val="clear" w:color="auto" w:fill="auto"/>
            <w:noWrap w:val="0"/>
            <w:vAlign w:val="top"/>
          </w:tcPr>
          <w:p w14:paraId="1643FD82">
            <w:pPr>
              <w:spacing w:line="440" w:lineRule="exact"/>
              <w:rPr>
                <w:rFonts w:hint="default" w:ascii="宋体" w:hAnsi="宋体" w:eastAsia="宋体" w:cs="宋体"/>
                <w:b/>
                <w:color w:val="auto"/>
                <w:kern w:val="2"/>
                <w:sz w:val="21"/>
                <w:szCs w:val="21"/>
                <w:highlight w:val="none"/>
                <w:lang w:val="en-US" w:eastAsia="zh-CN" w:bidi="ar-SA"/>
              </w:rPr>
            </w:pPr>
            <w:r>
              <w:rPr>
                <w:rFonts w:hint="eastAsia" w:ascii="宋体" w:hAnsi="宋体" w:cs="宋体"/>
                <w:color w:val="auto"/>
                <w:szCs w:val="21"/>
                <w:highlight w:val="none"/>
                <w:lang w:val="en-US" w:eastAsia="zh-CN"/>
              </w:rPr>
              <w:t>（5）项目组除项目负责人外的其他成员不得少于2人，且有注册在投标单位的资产评估师证书。</w:t>
            </w:r>
          </w:p>
        </w:tc>
        <w:tc>
          <w:tcPr>
            <w:tcW w:w="4216" w:type="dxa"/>
            <w:shd w:val="clear" w:color="auto" w:fill="auto"/>
            <w:noWrap w:val="0"/>
            <w:vAlign w:val="top"/>
          </w:tcPr>
          <w:p w14:paraId="6AE03C15">
            <w:pPr>
              <w:spacing w:line="440" w:lineRule="exact"/>
              <w:rPr>
                <w:rFonts w:hint="eastAsia" w:ascii="宋体" w:hAnsi="宋体" w:cs="宋体"/>
                <w:b/>
                <w:color w:val="auto"/>
                <w:szCs w:val="21"/>
                <w:highlight w:val="none"/>
              </w:rPr>
            </w:pPr>
            <w:r>
              <w:rPr>
                <w:rFonts w:hint="eastAsia" w:ascii="宋体" w:hAnsi="宋体" w:cs="宋体"/>
                <w:b/>
                <w:color w:val="auto"/>
                <w:szCs w:val="21"/>
                <w:highlight w:val="none"/>
              </w:rPr>
              <w:t>评审核验</w:t>
            </w:r>
            <w:r>
              <w:rPr>
                <w:rFonts w:hint="eastAsia" w:ascii="宋体" w:hAnsi="宋体" w:cs="宋体"/>
                <w:b/>
                <w:color w:val="auto"/>
                <w:szCs w:val="21"/>
                <w:highlight w:val="none"/>
                <w:lang w:val="en-US" w:eastAsia="zh-CN"/>
              </w:rPr>
              <w:t>投标文件</w:t>
            </w:r>
            <w:r>
              <w:rPr>
                <w:rFonts w:hint="eastAsia" w:ascii="宋体" w:hAnsi="宋体" w:cs="宋体"/>
                <w:b/>
                <w:color w:val="auto"/>
                <w:szCs w:val="21"/>
                <w:highlight w:val="none"/>
              </w:rPr>
              <w:t>中的下列证书、证明材料：</w:t>
            </w:r>
          </w:p>
          <w:p w14:paraId="6D93C17C">
            <w:pPr>
              <w:spacing w:line="440" w:lineRule="exact"/>
              <w:rPr>
                <w:rFonts w:hint="eastAsia" w:ascii="宋体" w:hAnsi="宋体" w:eastAsia="宋体" w:cs="宋体"/>
                <w:b/>
                <w:color w:val="auto"/>
                <w:kern w:val="2"/>
                <w:sz w:val="21"/>
                <w:szCs w:val="21"/>
                <w:highlight w:val="none"/>
                <w:lang w:val="en-US" w:eastAsia="zh-CN" w:bidi="ar-SA"/>
              </w:rPr>
            </w:pPr>
            <w:r>
              <w:rPr>
                <w:rFonts w:hint="eastAsia"/>
                <w:lang w:val="en-US" w:eastAsia="zh-CN"/>
              </w:rPr>
              <w:t>项目组成员资产评估执业资格证书</w:t>
            </w:r>
          </w:p>
        </w:tc>
      </w:tr>
      <w:tr w14:paraId="5F00D8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5" w:hRule="atLeast"/>
        </w:trPr>
        <w:tc>
          <w:tcPr>
            <w:tcW w:w="795" w:type="dxa"/>
            <w:vMerge w:val="continue"/>
            <w:tcBorders/>
            <w:noWrap w:val="0"/>
            <w:vAlign w:val="center"/>
          </w:tcPr>
          <w:p w14:paraId="1C3E469C">
            <w:pPr>
              <w:spacing w:line="440" w:lineRule="exact"/>
              <w:jc w:val="center"/>
              <w:rPr>
                <w:rFonts w:hint="eastAsia" w:ascii="宋体" w:hAnsi="宋体" w:cs="宋体"/>
                <w:color w:val="auto"/>
                <w:szCs w:val="21"/>
                <w:highlight w:val="none"/>
              </w:rPr>
            </w:pPr>
          </w:p>
        </w:tc>
        <w:tc>
          <w:tcPr>
            <w:tcW w:w="1275" w:type="dxa"/>
            <w:vMerge w:val="continue"/>
            <w:tcBorders/>
            <w:noWrap w:val="0"/>
            <w:vAlign w:val="center"/>
          </w:tcPr>
          <w:p w14:paraId="09182896">
            <w:pPr>
              <w:spacing w:line="440" w:lineRule="exact"/>
              <w:rPr>
                <w:rFonts w:hint="eastAsia" w:ascii="宋体" w:hAnsi="宋体" w:cs="宋体"/>
                <w:color w:val="auto"/>
                <w:szCs w:val="21"/>
                <w:highlight w:val="none"/>
              </w:rPr>
            </w:pPr>
          </w:p>
        </w:tc>
        <w:tc>
          <w:tcPr>
            <w:tcW w:w="3644" w:type="dxa"/>
            <w:shd w:val="clear" w:color="auto" w:fill="auto"/>
            <w:noWrap w:val="0"/>
            <w:vAlign w:val="top"/>
          </w:tcPr>
          <w:p w14:paraId="4A5EC5BA">
            <w:pPr>
              <w:spacing w:line="440" w:lineRule="exact"/>
              <w:rPr>
                <w:rFonts w:hint="eastAsia" w:ascii="宋体" w:hAnsi="宋体" w:eastAsia="宋体" w:cs="宋体"/>
                <w:b/>
                <w:color w:val="auto"/>
                <w:kern w:val="2"/>
                <w:sz w:val="21"/>
                <w:szCs w:val="21"/>
                <w:highlight w:val="none"/>
                <w:lang w:val="en-US" w:eastAsia="zh-CN" w:bidi="ar-SA"/>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）诚信投标承诺书</w:t>
            </w:r>
          </w:p>
        </w:tc>
        <w:tc>
          <w:tcPr>
            <w:tcW w:w="4216" w:type="dxa"/>
            <w:shd w:val="clear" w:color="auto" w:fill="auto"/>
            <w:noWrap w:val="0"/>
            <w:vAlign w:val="top"/>
          </w:tcPr>
          <w:p w14:paraId="61556C37">
            <w:pPr>
              <w:spacing w:line="440" w:lineRule="exact"/>
              <w:rPr>
                <w:rFonts w:hint="eastAsia" w:ascii="宋体" w:hAnsi="宋体" w:eastAsia="宋体" w:cs="宋体"/>
                <w:b/>
                <w:color w:val="auto"/>
                <w:kern w:val="2"/>
                <w:sz w:val="21"/>
                <w:szCs w:val="21"/>
                <w:highlight w:val="none"/>
                <w:lang w:val="en-US" w:eastAsia="zh-CN" w:bidi="ar-SA"/>
              </w:rPr>
            </w:pPr>
            <w:r>
              <w:rPr>
                <w:rFonts w:hint="eastAsia" w:ascii="宋体" w:hAnsi="宋体" w:cs="宋体"/>
                <w:color w:val="auto"/>
                <w:szCs w:val="21"/>
                <w:highlight w:val="none"/>
              </w:rPr>
              <w:t>格式见附件，检验</w:t>
            </w:r>
            <w:r>
              <w:rPr>
                <w:rFonts w:hint="eastAsia" w:ascii="宋体" w:hAnsi="宋体" w:cs="宋体"/>
                <w:color w:val="auto"/>
                <w:szCs w:val="21"/>
                <w:highlight w:val="none"/>
                <w:lang w:val="en-US" w:eastAsia="zh-CN"/>
              </w:rPr>
              <w:t>投标文件</w:t>
            </w:r>
          </w:p>
        </w:tc>
      </w:tr>
    </w:tbl>
    <w:p w14:paraId="1704E468">
      <w:pPr>
        <w:spacing w:line="440" w:lineRule="exact"/>
        <w:ind w:firstLine="508" w:firstLineChars="241"/>
        <w:rPr>
          <w:rFonts w:hint="eastAsia" w:ascii="宋体" w:hAnsi="宋体" w:cs="宋体"/>
          <w:b/>
          <w:color w:val="auto"/>
          <w:szCs w:val="21"/>
          <w:highlight w:val="none"/>
        </w:rPr>
      </w:pPr>
      <w:r>
        <w:rPr>
          <w:rFonts w:hint="eastAsia" w:ascii="宋体" w:hAnsi="宋体" w:cs="宋体"/>
          <w:b/>
          <w:color w:val="auto"/>
          <w:szCs w:val="21"/>
          <w:highlight w:val="none"/>
        </w:rPr>
        <w:t>3.</w:t>
      </w:r>
      <w:r>
        <w:rPr>
          <w:rFonts w:hint="eastAsia" w:ascii="宋体" w:hAnsi="宋体" w:cs="宋体"/>
          <w:b/>
          <w:color w:val="auto"/>
          <w:szCs w:val="21"/>
          <w:highlight w:val="none"/>
          <w:lang w:val="en-US" w:eastAsia="zh-CN"/>
        </w:rPr>
        <w:t>2</w:t>
      </w:r>
      <w:r>
        <w:rPr>
          <w:rFonts w:hint="eastAsia" w:ascii="宋体" w:hAnsi="宋体" w:cs="宋体"/>
          <w:b/>
          <w:color w:val="auto"/>
          <w:szCs w:val="21"/>
          <w:highlight w:val="none"/>
        </w:rPr>
        <w:t>如评标专家在</w:t>
      </w:r>
      <w:r>
        <w:rPr>
          <w:rFonts w:hint="eastAsia" w:ascii="宋体" w:hAnsi="宋体" w:cs="宋体"/>
          <w:b/>
          <w:color w:val="auto"/>
          <w:szCs w:val="21"/>
          <w:highlight w:val="none"/>
          <w:lang w:val="en-US" w:eastAsia="zh-CN"/>
        </w:rPr>
        <w:t>检验</w:t>
      </w:r>
      <w:r>
        <w:rPr>
          <w:rFonts w:hint="eastAsia" w:ascii="宋体" w:hAnsi="宋体" w:cs="宋体"/>
          <w:b/>
          <w:color w:val="auto"/>
          <w:szCs w:val="21"/>
          <w:highlight w:val="none"/>
        </w:rPr>
        <w:t>投标文件过程中，如果由于投标人自身原因导致评标专家无法查看并检验投标文件中相关资料的，否决其投标。即使投标人将原件携带至现场的，同样按否决投标处理。</w:t>
      </w:r>
    </w:p>
    <w:p w14:paraId="3B3F76EC">
      <w:pPr>
        <w:spacing w:line="440" w:lineRule="exact"/>
        <w:ind w:firstLine="310" w:firstLineChars="147"/>
        <w:rPr>
          <w:rFonts w:hint="eastAsia" w:ascii="宋体" w:hAnsi="宋体" w:cs="宋体"/>
          <w:b/>
          <w:color w:val="auto"/>
          <w:szCs w:val="21"/>
          <w:highlight w:val="none"/>
        </w:rPr>
      </w:pPr>
      <w:r>
        <w:rPr>
          <w:rFonts w:hint="eastAsia" w:ascii="宋体" w:hAnsi="宋体" w:cs="宋体"/>
          <w:b/>
          <w:color w:val="auto"/>
          <w:szCs w:val="21"/>
          <w:highlight w:val="none"/>
        </w:rPr>
        <w:t>4.符合性审查</w:t>
      </w:r>
    </w:p>
    <w:p w14:paraId="59064B2B">
      <w:pPr>
        <w:spacing w:line="440" w:lineRule="exact"/>
        <w:ind w:firstLine="315" w:firstLineChars="150"/>
        <w:rPr>
          <w:rFonts w:hint="eastAsia" w:ascii="宋体" w:hAnsi="宋体" w:cs="宋体"/>
          <w:color w:val="auto"/>
          <w:szCs w:val="21"/>
          <w:highlight w:val="none"/>
        </w:rPr>
      </w:pPr>
      <w:r>
        <w:rPr>
          <w:rFonts w:hint="eastAsia" w:ascii="宋体" w:hAnsi="宋体" w:cs="宋体"/>
          <w:color w:val="auto"/>
          <w:szCs w:val="21"/>
          <w:highlight w:val="none"/>
        </w:rPr>
        <w:t>4．1评审细则</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31"/>
        <w:gridCol w:w="1204"/>
        <w:gridCol w:w="2931"/>
        <w:gridCol w:w="4173"/>
      </w:tblGrid>
      <w:tr w14:paraId="1CC45A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731" w:type="dxa"/>
            <w:noWrap w:val="0"/>
            <w:vAlign w:val="center"/>
          </w:tcPr>
          <w:p w14:paraId="6A8874B3">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序号</w:t>
            </w:r>
          </w:p>
        </w:tc>
        <w:tc>
          <w:tcPr>
            <w:tcW w:w="4135" w:type="dxa"/>
            <w:gridSpan w:val="2"/>
            <w:noWrap w:val="0"/>
            <w:vAlign w:val="center"/>
          </w:tcPr>
          <w:p w14:paraId="1AA0BA64">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审查因素</w:t>
            </w:r>
          </w:p>
        </w:tc>
        <w:tc>
          <w:tcPr>
            <w:tcW w:w="4173" w:type="dxa"/>
            <w:noWrap w:val="0"/>
            <w:vAlign w:val="center"/>
          </w:tcPr>
          <w:p w14:paraId="690DAEC6">
            <w:pPr>
              <w:spacing w:line="440" w:lineRule="exact"/>
              <w:jc w:val="center"/>
              <w:rPr>
                <w:rFonts w:hint="eastAsia" w:ascii="宋体" w:hAnsi="宋体" w:cs="宋体"/>
                <w:b/>
                <w:bCs/>
                <w:color w:val="auto"/>
                <w:szCs w:val="21"/>
                <w:highlight w:val="none"/>
              </w:rPr>
            </w:pPr>
            <w:r>
              <w:rPr>
                <w:rFonts w:hint="eastAsia" w:ascii="宋体" w:hAnsi="宋体" w:cs="宋体"/>
                <w:b/>
                <w:bCs/>
                <w:color w:val="auto"/>
                <w:szCs w:val="21"/>
                <w:highlight w:val="none"/>
              </w:rPr>
              <w:t>审查内容</w:t>
            </w:r>
          </w:p>
        </w:tc>
      </w:tr>
      <w:tr w14:paraId="347739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5" w:hRule="atLeast"/>
        </w:trPr>
        <w:tc>
          <w:tcPr>
            <w:tcW w:w="731" w:type="dxa"/>
            <w:vMerge w:val="restart"/>
            <w:noWrap w:val="0"/>
            <w:vAlign w:val="center"/>
          </w:tcPr>
          <w:p w14:paraId="3998D4EF">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1</w:t>
            </w:r>
          </w:p>
        </w:tc>
        <w:tc>
          <w:tcPr>
            <w:tcW w:w="1204" w:type="dxa"/>
            <w:vMerge w:val="restart"/>
            <w:noWrap w:val="0"/>
            <w:vAlign w:val="center"/>
          </w:tcPr>
          <w:p w14:paraId="733040FD">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投标文件的有效性</w:t>
            </w:r>
          </w:p>
        </w:tc>
        <w:tc>
          <w:tcPr>
            <w:tcW w:w="2931" w:type="dxa"/>
            <w:noWrap w:val="0"/>
            <w:vAlign w:val="center"/>
          </w:tcPr>
          <w:p w14:paraId="024E71F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（1）投标文件签署</w:t>
            </w:r>
          </w:p>
        </w:tc>
        <w:tc>
          <w:tcPr>
            <w:tcW w:w="4173" w:type="dxa"/>
            <w:noWrap w:val="0"/>
            <w:vAlign w:val="center"/>
          </w:tcPr>
          <w:p w14:paraId="56CDE27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签字、盖章符合要求。</w:t>
            </w:r>
          </w:p>
        </w:tc>
      </w:tr>
      <w:tr w14:paraId="426C31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0" w:hRule="atLeast"/>
        </w:trPr>
        <w:tc>
          <w:tcPr>
            <w:tcW w:w="731" w:type="dxa"/>
            <w:vMerge w:val="continue"/>
            <w:noWrap w:val="0"/>
            <w:vAlign w:val="center"/>
          </w:tcPr>
          <w:p w14:paraId="464391B9">
            <w:pPr>
              <w:spacing w:line="440" w:lineRule="exact"/>
              <w:rPr>
                <w:rFonts w:hint="eastAsia" w:ascii="宋体" w:hAnsi="宋体" w:cs="宋体"/>
                <w:color w:val="auto"/>
                <w:szCs w:val="21"/>
                <w:highlight w:val="none"/>
              </w:rPr>
            </w:pPr>
          </w:p>
        </w:tc>
        <w:tc>
          <w:tcPr>
            <w:tcW w:w="1204" w:type="dxa"/>
            <w:vMerge w:val="continue"/>
            <w:noWrap w:val="0"/>
            <w:vAlign w:val="center"/>
          </w:tcPr>
          <w:p w14:paraId="40AA97DD">
            <w:pPr>
              <w:spacing w:line="440" w:lineRule="exact"/>
              <w:rPr>
                <w:rFonts w:hint="eastAsia" w:ascii="宋体" w:hAnsi="宋体" w:cs="宋体"/>
                <w:color w:val="auto"/>
                <w:szCs w:val="21"/>
                <w:highlight w:val="none"/>
              </w:rPr>
            </w:pPr>
          </w:p>
        </w:tc>
        <w:tc>
          <w:tcPr>
            <w:tcW w:w="2931" w:type="dxa"/>
            <w:noWrap w:val="0"/>
            <w:vAlign w:val="center"/>
          </w:tcPr>
          <w:p w14:paraId="5DF544B7">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（2）投标方案</w:t>
            </w:r>
          </w:p>
        </w:tc>
        <w:tc>
          <w:tcPr>
            <w:tcW w:w="4173" w:type="dxa"/>
            <w:noWrap w:val="0"/>
            <w:vAlign w:val="center"/>
          </w:tcPr>
          <w:p w14:paraId="23FC92E8">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每个分包只能有一个方案投标。</w:t>
            </w:r>
          </w:p>
        </w:tc>
      </w:tr>
      <w:tr w14:paraId="321EBE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41" w:hRule="atLeast"/>
        </w:trPr>
        <w:tc>
          <w:tcPr>
            <w:tcW w:w="731" w:type="dxa"/>
            <w:vMerge w:val="continue"/>
            <w:noWrap w:val="0"/>
            <w:vAlign w:val="center"/>
          </w:tcPr>
          <w:p w14:paraId="04E7AB87">
            <w:pPr>
              <w:spacing w:line="440" w:lineRule="exact"/>
              <w:rPr>
                <w:rFonts w:hint="eastAsia" w:ascii="宋体" w:hAnsi="宋体" w:cs="宋体"/>
                <w:color w:val="auto"/>
                <w:szCs w:val="21"/>
                <w:highlight w:val="none"/>
              </w:rPr>
            </w:pPr>
          </w:p>
        </w:tc>
        <w:tc>
          <w:tcPr>
            <w:tcW w:w="1204" w:type="dxa"/>
            <w:vMerge w:val="continue"/>
            <w:noWrap w:val="0"/>
            <w:vAlign w:val="center"/>
          </w:tcPr>
          <w:p w14:paraId="0C7205FD">
            <w:pPr>
              <w:spacing w:line="440" w:lineRule="exact"/>
              <w:rPr>
                <w:rFonts w:hint="eastAsia" w:ascii="宋体" w:hAnsi="宋体" w:cs="宋体"/>
                <w:color w:val="auto"/>
                <w:szCs w:val="21"/>
                <w:highlight w:val="none"/>
              </w:rPr>
            </w:pPr>
          </w:p>
        </w:tc>
        <w:tc>
          <w:tcPr>
            <w:tcW w:w="2931" w:type="dxa"/>
            <w:noWrap w:val="0"/>
            <w:vAlign w:val="center"/>
          </w:tcPr>
          <w:p w14:paraId="6381A922">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rPr>
              <w:t>（3）报价唯一</w:t>
            </w:r>
          </w:p>
        </w:tc>
        <w:tc>
          <w:tcPr>
            <w:tcW w:w="4173" w:type="dxa"/>
            <w:noWrap w:val="0"/>
            <w:vAlign w:val="center"/>
          </w:tcPr>
          <w:p w14:paraId="5ED57F57">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只能在限价范围内报价，</w:t>
            </w:r>
            <w:r>
              <w:rPr>
                <w:rFonts w:hint="eastAsia" w:ascii="宋体" w:hAnsi="宋体" w:cs="宋体"/>
                <w:color w:val="auto"/>
                <w:szCs w:val="21"/>
                <w:highlight w:val="none"/>
              </w:rPr>
              <w:t>只能有一个有效报价，不得提交选择性报价。</w:t>
            </w:r>
          </w:p>
        </w:tc>
      </w:tr>
      <w:tr w14:paraId="741C2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4" w:hRule="atLeast"/>
        </w:trPr>
        <w:tc>
          <w:tcPr>
            <w:tcW w:w="731" w:type="dxa"/>
            <w:vMerge w:val="continue"/>
            <w:noWrap w:val="0"/>
            <w:vAlign w:val="center"/>
          </w:tcPr>
          <w:p w14:paraId="27E52E4A">
            <w:pPr>
              <w:spacing w:line="440" w:lineRule="exact"/>
              <w:rPr>
                <w:rFonts w:hint="eastAsia" w:ascii="宋体" w:hAnsi="宋体" w:cs="宋体"/>
                <w:color w:val="auto"/>
                <w:szCs w:val="21"/>
                <w:highlight w:val="none"/>
              </w:rPr>
            </w:pPr>
          </w:p>
        </w:tc>
        <w:tc>
          <w:tcPr>
            <w:tcW w:w="1204" w:type="dxa"/>
            <w:vMerge w:val="continue"/>
            <w:noWrap w:val="0"/>
            <w:vAlign w:val="center"/>
          </w:tcPr>
          <w:p w14:paraId="1EAB75E0">
            <w:pPr>
              <w:spacing w:line="440" w:lineRule="exact"/>
              <w:rPr>
                <w:rFonts w:hint="eastAsia" w:ascii="宋体" w:hAnsi="宋体" w:cs="宋体"/>
                <w:color w:val="auto"/>
                <w:szCs w:val="21"/>
                <w:highlight w:val="none"/>
              </w:rPr>
            </w:pPr>
          </w:p>
        </w:tc>
        <w:tc>
          <w:tcPr>
            <w:tcW w:w="2931" w:type="dxa"/>
            <w:noWrap w:val="0"/>
            <w:vAlign w:val="center"/>
          </w:tcPr>
          <w:p w14:paraId="6C40551D">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 xml:space="preserve"> (4) 投标文件的有效期</w:t>
            </w:r>
          </w:p>
        </w:tc>
        <w:tc>
          <w:tcPr>
            <w:tcW w:w="4173" w:type="dxa"/>
            <w:noWrap w:val="0"/>
            <w:vAlign w:val="center"/>
          </w:tcPr>
          <w:p w14:paraId="7BE4924D">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完全响应。</w:t>
            </w:r>
          </w:p>
        </w:tc>
      </w:tr>
      <w:tr w14:paraId="7E2DA3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9" w:hRule="atLeast"/>
        </w:trPr>
        <w:tc>
          <w:tcPr>
            <w:tcW w:w="731" w:type="dxa"/>
            <w:vMerge w:val="restart"/>
            <w:noWrap w:val="0"/>
            <w:vAlign w:val="center"/>
          </w:tcPr>
          <w:p w14:paraId="16BD7BB3">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2</w:t>
            </w:r>
          </w:p>
        </w:tc>
        <w:tc>
          <w:tcPr>
            <w:tcW w:w="1204" w:type="dxa"/>
            <w:vMerge w:val="restart"/>
            <w:noWrap w:val="0"/>
            <w:vAlign w:val="center"/>
          </w:tcPr>
          <w:p w14:paraId="511F231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投标文件的完整性</w:t>
            </w:r>
          </w:p>
        </w:tc>
        <w:tc>
          <w:tcPr>
            <w:tcW w:w="2931" w:type="dxa"/>
            <w:noWrap w:val="0"/>
            <w:vAlign w:val="center"/>
          </w:tcPr>
          <w:p w14:paraId="5F3B0429">
            <w:pPr>
              <w:spacing w:line="440" w:lineRule="exact"/>
              <w:rPr>
                <w:rFonts w:hint="eastAsia" w:ascii="宋体" w:hAnsi="宋体" w:cs="宋体"/>
                <w:color w:val="auto"/>
                <w:szCs w:val="21"/>
                <w:highlight w:val="none"/>
              </w:rPr>
            </w:pPr>
            <w:r>
              <w:rPr>
                <w:rFonts w:hint="eastAsia" w:ascii="宋体" w:hAnsi="宋体" w:cs="宋体"/>
                <w:color w:val="auto"/>
                <w:szCs w:val="21"/>
                <w:highlight w:val="none"/>
                <w:lang w:val="zh-CN"/>
              </w:rPr>
              <w:t>（5）投标文件份数</w:t>
            </w:r>
          </w:p>
        </w:tc>
        <w:tc>
          <w:tcPr>
            <w:tcW w:w="4173" w:type="dxa"/>
            <w:noWrap w:val="0"/>
            <w:vAlign w:val="center"/>
          </w:tcPr>
          <w:p w14:paraId="3603D631">
            <w:pPr>
              <w:spacing w:line="440" w:lineRule="exact"/>
              <w:rPr>
                <w:rFonts w:hint="eastAsia" w:ascii="宋体" w:hAnsi="宋体" w:cs="宋体"/>
                <w:color w:val="auto"/>
                <w:szCs w:val="21"/>
                <w:highlight w:val="none"/>
              </w:rPr>
            </w:pPr>
            <w:r>
              <w:rPr>
                <w:rFonts w:hint="eastAsia" w:ascii="宋体" w:hAnsi="宋体" w:cs="宋体"/>
                <w:color w:val="auto"/>
                <w:szCs w:val="21"/>
                <w:highlight w:val="none"/>
              </w:rPr>
              <w:t>投标文件：</w:t>
            </w:r>
            <w:r>
              <w:rPr>
                <w:rFonts w:hint="eastAsia" w:ascii="宋体" w:hAnsi="宋体" w:cs="宋体"/>
                <w:color w:val="auto"/>
                <w:szCs w:val="21"/>
                <w:highlight w:val="none"/>
                <w:lang w:val="en-US" w:eastAsia="zh-CN"/>
              </w:rPr>
              <w:t>正本</w:t>
            </w:r>
            <w:r>
              <w:rPr>
                <w:rFonts w:hint="eastAsia" w:ascii="宋体" w:hAnsi="宋体" w:cs="宋体"/>
                <w:color w:val="auto"/>
                <w:szCs w:val="21"/>
                <w:highlight w:val="none"/>
              </w:rPr>
              <w:t>一份</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副本两份</w:t>
            </w:r>
            <w:r>
              <w:rPr>
                <w:rFonts w:hint="eastAsia" w:ascii="宋体" w:hAnsi="宋体" w:cs="宋体"/>
                <w:color w:val="auto"/>
                <w:szCs w:val="21"/>
                <w:highlight w:val="none"/>
              </w:rPr>
              <w:t xml:space="preserve">。 </w:t>
            </w:r>
          </w:p>
        </w:tc>
      </w:tr>
      <w:tr w14:paraId="73BA9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7" w:hRule="atLeast"/>
        </w:trPr>
        <w:tc>
          <w:tcPr>
            <w:tcW w:w="731" w:type="dxa"/>
            <w:vMerge w:val="continue"/>
            <w:noWrap w:val="0"/>
            <w:vAlign w:val="center"/>
          </w:tcPr>
          <w:p w14:paraId="692D74AC">
            <w:pPr>
              <w:spacing w:line="440" w:lineRule="exact"/>
              <w:rPr>
                <w:rFonts w:hint="eastAsia" w:ascii="宋体" w:hAnsi="宋体" w:cs="宋体"/>
                <w:color w:val="auto"/>
                <w:szCs w:val="21"/>
                <w:highlight w:val="none"/>
              </w:rPr>
            </w:pPr>
          </w:p>
        </w:tc>
        <w:tc>
          <w:tcPr>
            <w:tcW w:w="1204" w:type="dxa"/>
            <w:vMerge w:val="continue"/>
            <w:noWrap w:val="0"/>
            <w:vAlign w:val="center"/>
          </w:tcPr>
          <w:p w14:paraId="05D53281">
            <w:pPr>
              <w:spacing w:line="440" w:lineRule="exact"/>
              <w:rPr>
                <w:rFonts w:hint="eastAsia" w:ascii="宋体" w:hAnsi="宋体" w:cs="宋体"/>
                <w:color w:val="auto"/>
                <w:szCs w:val="21"/>
                <w:highlight w:val="none"/>
              </w:rPr>
            </w:pPr>
          </w:p>
        </w:tc>
        <w:tc>
          <w:tcPr>
            <w:tcW w:w="2931" w:type="dxa"/>
            <w:noWrap w:val="0"/>
            <w:vAlign w:val="center"/>
          </w:tcPr>
          <w:p w14:paraId="221B672A">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（6）投标文件形式内容</w:t>
            </w:r>
          </w:p>
        </w:tc>
        <w:tc>
          <w:tcPr>
            <w:tcW w:w="4173" w:type="dxa"/>
            <w:noWrap w:val="0"/>
            <w:vAlign w:val="center"/>
          </w:tcPr>
          <w:p w14:paraId="0AAEADF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投标文件内容清晰、齐全无遗漏。</w:t>
            </w:r>
          </w:p>
        </w:tc>
      </w:tr>
      <w:tr w14:paraId="657564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731" w:type="dxa"/>
            <w:vMerge w:val="restart"/>
            <w:noWrap w:val="0"/>
            <w:vAlign w:val="center"/>
          </w:tcPr>
          <w:p w14:paraId="582DD88A">
            <w:pPr>
              <w:spacing w:line="440" w:lineRule="exact"/>
              <w:jc w:val="center"/>
              <w:rPr>
                <w:rFonts w:hint="eastAsia" w:ascii="宋体" w:hAnsi="宋体" w:cs="宋体"/>
                <w:color w:val="auto"/>
                <w:szCs w:val="21"/>
                <w:highlight w:val="none"/>
              </w:rPr>
            </w:pPr>
            <w:r>
              <w:rPr>
                <w:rFonts w:hint="eastAsia" w:ascii="宋体" w:hAnsi="宋体" w:cs="宋体"/>
                <w:color w:val="auto"/>
                <w:szCs w:val="21"/>
                <w:highlight w:val="none"/>
              </w:rPr>
              <w:t>3</w:t>
            </w:r>
          </w:p>
        </w:tc>
        <w:tc>
          <w:tcPr>
            <w:tcW w:w="1204" w:type="dxa"/>
            <w:vMerge w:val="restart"/>
            <w:noWrap w:val="0"/>
            <w:vAlign w:val="center"/>
          </w:tcPr>
          <w:p w14:paraId="478953F0">
            <w:pPr>
              <w:spacing w:line="440" w:lineRule="exact"/>
              <w:jc w:val="center"/>
              <w:rPr>
                <w:rFonts w:hint="eastAsia" w:ascii="宋体" w:hAnsi="宋体" w:cs="宋体"/>
                <w:color w:val="auto"/>
                <w:szCs w:val="21"/>
                <w:highlight w:val="none"/>
                <w:lang w:val="zh-CN"/>
              </w:rPr>
            </w:pPr>
            <w:r>
              <w:rPr>
                <w:rFonts w:hint="eastAsia" w:ascii="宋体" w:hAnsi="宋体" w:cs="宋体"/>
                <w:color w:val="auto"/>
                <w:szCs w:val="21"/>
                <w:highlight w:val="none"/>
                <w:lang w:val="zh-CN"/>
              </w:rPr>
              <w:t>投标文件的响应程度</w:t>
            </w:r>
          </w:p>
        </w:tc>
        <w:tc>
          <w:tcPr>
            <w:tcW w:w="2931" w:type="dxa"/>
            <w:noWrap w:val="0"/>
            <w:vAlign w:val="center"/>
          </w:tcPr>
          <w:p w14:paraId="14C6C345">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（7）采购需求响应程度</w:t>
            </w:r>
          </w:p>
        </w:tc>
        <w:tc>
          <w:tcPr>
            <w:tcW w:w="4173" w:type="dxa"/>
            <w:noWrap w:val="0"/>
            <w:vAlign w:val="center"/>
          </w:tcPr>
          <w:p w14:paraId="73728C29">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r w14:paraId="357DFD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46" w:hRule="atLeast"/>
        </w:trPr>
        <w:tc>
          <w:tcPr>
            <w:tcW w:w="731" w:type="dxa"/>
            <w:vMerge w:val="continue"/>
            <w:noWrap w:val="0"/>
            <w:vAlign w:val="center"/>
          </w:tcPr>
          <w:p w14:paraId="425E1A0F">
            <w:pPr>
              <w:spacing w:line="440" w:lineRule="exact"/>
              <w:rPr>
                <w:rFonts w:hint="eastAsia" w:ascii="宋体" w:hAnsi="宋体" w:cs="宋体"/>
                <w:color w:val="auto"/>
                <w:szCs w:val="21"/>
                <w:highlight w:val="none"/>
              </w:rPr>
            </w:pPr>
          </w:p>
        </w:tc>
        <w:tc>
          <w:tcPr>
            <w:tcW w:w="1204" w:type="dxa"/>
            <w:vMerge w:val="continue"/>
            <w:noWrap w:val="0"/>
            <w:vAlign w:val="center"/>
          </w:tcPr>
          <w:p w14:paraId="3D5E0C54">
            <w:pPr>
              <w:spacing w:line="440" w:lineRule="exact"/>
              <w:rPr>
                <w:rFonts w:hint="eastAsia" w:ascii="宋体" w:hAnsi="宋体" w:cs="宋体"/>
                <w:color w:val="auto"/>
                <w:szCs w:val="21"/>
                <w:highlight w:val="none"/>
              </w:rPr>
            </w:pPr>
          </w:p>
        </w:tc>
        <w:tc>
          <w:tcPr>
            <w:tcW w:w="2931" w:type="dxa"/>
            <w:noWrap w:val="0"/>
            <w:vAlign w:val="center"/>
          </w:tcPr>
          <w:p w14:paraId="1CC1C454">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（8）商务条款响应程度（包括供货期、售后服务、技术培训等）</w:t>
            </w:r>
          </w:p>
        </w:tc>
        <w:tc>
          <w:tcPr>
            <w:tcW w:w="4173" w:type="dxa"/>
            <w:noWrap w:val="0"/>
            <w:vAlign w:val="center"/>
          </w:tcPr>
          <w:p w14:paraId="1D41C25A">
            <w:pPr>
              <w:spacing w:line="440" w:lineRule="exact"/>
              <w:rPr>
                <w:rFonts w:hint="eastAsia" w:ascii="宋体" w:hAnsi="宋体" w:cs="宋体"/>
                <w:color w:val="auto"/>
                <w:szCs w:val="21"/>
                <w:highlight w:val="none"/>
                <w:lang w:val="zh-CN"/>
              </w:rPr>
            </w:pPr>
            <w:r>
              <w:rPr>
                <w:rFonts w:hint="eastAsia" w:ascii="宋体" w:hAnsi="宋体" w:cs="宋体"/>
                <w:color w:val="auto"/>
                <w:szCs w:val="21"/>
                <w:highlight w:val="none"/>
                <w:lang w:val="zh-CN"/>
              </w:rPr>
              <w:t>响应</w:t>
            </w:r>
            <w:r>
              <w:rPr>
                <w:rFonts w:hint="eastAsia" w:ascii="宋体" w:hAnsi="宋体" w:cs="宋体"/>
                <w:color w:val="auto"/>
                <w:szCs w:val="21"/>
                <w:highlight w:val="none"/>
                <w:lang w:val="en-US" w:eastAsia="zh-CN"/>
              </w:rPr>
              <w:t>或优于</w:t>
            </w:r>
            <w:r>
              <w:rPr>
                <w:rFonts w:hint="eastAsia" w:ascii="宋体" w:hAnsi="宋体" w:cs="宋体"/>
                <w:color w:val="auto"/>
                <w:szCs w:val="21"/>
                <w:highlight w:val="none"/>
                <w:lang w:val="zh-CN"/>
              </w:rPr>
              <w:t>招标文件要求</w:t>
            </w:r>
          </w:p>
        </w:tc>
      </w:tr>
    </w:tbl>
    <w:p w14:paraId="4786F04A">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4.2资格审查及评分细则中涉及的有关证明材料及相关证书，投标文件中须按招标文件要求</w:t>
      </w:r>
      <w:r>
        <w:rPr>
          <w:rFonts w:hint="eastAsia" w:ascii="宋体" w:hAnsi="宋体" w:cs="宋体"/>
          <w:color w:val="auto"/>
          <w:szCs w:val="21"/>
          <w:highlight w:val="none"/>
          <w:lang w:val="en-US" w:eastAsia="zh-CN"/>
        </w:rPr>
        <w:t>提供</w:t>
      </w:r>
      <w:r>
        <w:rPr>
          <w:rFonts w:hint="eastAsia" w:ascii="宋体" w:hAnsi="宋体" w:cs="宋体"/>
          <w:color w:val="auto"/>
          <w:szCs w:val="21"/>
          <w:highlight w:val="none"/>
        </w:rPr>
        <w:t>。</w:t>
      </w:r>
    </w:p>
    <w:p w14:paraId="144B2225">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4.3．评标委员会判定投标文件的响应性只根据投标文件本身的内容，而不寻求外部的证据，但投标有不真实不正确的内容时除外。</w:t>
      </w:r>
    </w:p>
    <w:p w14:paraId="73B6E7D3">
      <w:pPr>
        <w:spacing w:line="440" w:lineRule="exact"/>
        <w:ind w:firstLine="506" w:firstLineChars="241"/>
        <w:rPr>
          <w:rFonts w:hint="eastAsia" w:ascii="宋体" w:hAnsi="宋体" w:cs="宋体"/>
          <w:color w:val="auto"/>
          <w:szCs w:val="21"/>
          <w:highlight w:val="none"/>
        </w:rPr>
      </w:pPr>
      <w:r>
        <w:rPr>
          <w:rFonts w:hint="eastAsia" w:ascii="宋体" w:hAnsi="宋体" w:cs="宋体"/>
          <w:color w:val="auto"/>
          <w:szCs w:val="21"/>
          <w:highlight w:val="none"/>
        </w:rPr>
        <w:t>4.4如果投标文件实质上没有响应招标文件的要求，评标委员会将予以拒绝，投标人不得通过修正或撤销不符合要求的偏离或保留，而使其投标成为实质上响应的投标。</w:t>
      </w:r>
    </w:p>
    <w:p w14:paraId="3921DEB2">
      <w:pPr>
        <w:spacing w:line="440" w:lineRule="exact"/>
        <w:ind w:firstLine="525" w:firstLineChars="250"/>
        <w:rPr>
          <w:rFonts w:hint="eastAsia" w:ascii="宋体" w:hAnsi="宋体" w:cs="宋体"/>
          <w:color w:val="auto"/>
          <w:szCs w:val="21"/>
          <w:highlight w:val="none"/>
        </w:rPr>
      </w:pPr>
      <w:r>
        <w:rPr>
          <w:rFonts w:hint="eastAsia" w:ascii="宋体" w:hAnsi="宋体" w:cs="宋体"/>
          <w:color w:val="auto"/>
          <w:szCs w:val="21"/>
          <w:highlight w:val="none"/>
        </w:rPr>
        <w:t>4.5只有通过初审的投标人才能进入下一步程序。</w:t>
      </w:r>
    </w:p>
    <w:p w14:paraId="65D05795">
      <w:pPr>
        <w:jc w:val="center"/>
        <w:outlineLvl w:val="1"/>
        <w:rPr>
          <w:rFonts w:hint="eastAsia" w:ascii="宋体" w:hAnsi="Times New Roman" w:eastAsia="宋体" w:cs="Times New Roman"/>
          <w:b/>
          <w:color w:val="auto"/>
          <w:sz w:val="28"/>
          <w:szCs w:val="28"/>
          <w:highlight w:val="none"/>
        </w:rPr>
      </w:pPr>
      <w:bookmarkStart w:id="64" w:name="_Toc362983803"/>
      <w:bookmarkStart w:id="65" w:name="_Toc31100"/>
      <w:bookmarkStart w:id="66" w:name="_Toc449028879"/>
      <w:bookmarkStart w:id="67" w:name="_Toc58430319"/>
      <w:r>
        <w:rPr>
          <w:rFonts w:hint="eastAsia" w:ascii="宋体" w:hAnsi="Times New Roman" w:eastAsia="宋体" w:cs="Times New Roman"/>
          <w:b/>
          <w:color w:val="auto"/>
          <w:sz w:val="28"/>
          <w:szCs w:val="28"/>
          <w:highlight w:val="none"/>
        </w:rPr>
        <w:t>三、投标文件的澄清和补正</w:t>
      </w:r>
      <w:bookmarkEnd w:id="64"/>
      <w:bookmarkEnd w:id="65"/>
      <w:bookmarkEnd w:id="66"/>
      <w:bookmarkEnd w:id="67"/>
    </w:p>
    <w:p w14:paraId="4702916A">
      <w:pPr>
        <w:spacing w:line="440" w:lineRule="exact"/>
        <w:ind w:firstLine="525" w:firstLineChars="250"/>
        <w:rPr>
          <w:rFonts w:hint="eastAsia" w:ascii="宋体"/>
          <w:color w:val="auto"/>
          <w:szCs w:val="21"/>
          <w:highlight w:val="none"/>
        </w:rPr>
      </w:pPr>
      <w:r>
        <w:rPr>
          <w:rFonts w:hint="eastAsia" w:ascii="宋体"/>
          <w:color w:val="auto"/>
          <w:szCs w:val="21"/>
          <w:highlight w:val="none"/>
        </w:rPr>
        <w:t>5.1评审阶段，评委可能会要求有关投标人就其投标文件中含义不明确、同类问题表述不一致或者有明显文字和计算错误的内容进行澄清。投标人必须在规定时间内进行回复，</w:t>
      </w:r>
      <w:r>
        <w:rPr>
          <w:rFonts w:hint="eastAsia" w:ascii="宋体" w:hAnsi="宋体" w:cs="宋体"/>
          <w:b/>
          <w:bCs/>
          <w:color w:val="auto"/>
          <w:szCs w:val="21"/>
          <w:highlight w:val="none"/>
          <w:lang w:bidi="ar"/>
        </w:rPr>
        <w:t>如因投标人未参加开标导致开评标过程中无法澄清、说明或补正的，视同投标人放弃该权利。</w:t>
      </w:r>
    </w:p>
    <w:p w14:paraId="1EE4A4C1">
      <w:pPr>
        <w:spacing w:line="440" w:lineRule="exact"/>
        <w:ind w:firstLine="525" w:firstLineChars="250"/>
        <w:rPr>
          <w:rFonts w:hint="eastAsia" w:ascii="宋体"/>
          <w:color w:val="auto"/>
          <w:szCs w:val="21"/>
          <w:highlight w:val="none"/>
        </w:rPr>
      </w:pPr>
      <w:r>
        <w:rPr>
          <w:rFonts w:hint="eastAsia" w:ascii="宋体"/>
          <w:color w:val="auto"/>
          <w:szCs w:val="21"/>
          <w:highlight w:val="none"/>
        </w:rPr>
        <w:t>5.2投标人的澄清、说明或者补正应当在系统进行，但不得超出投标文件的范围或者改变投标文件的实质性内容。</w:t>
      </w:r>
    </w:p>
    <w:p w14:paraId="02DD680B">
      <w:pPr>
        <w:spacing w:line="440" w:lineRule="exact"/>
        <w:ind w:firstLine="525" w:firstLineChars="250"/>
        <w:rPr>
          <w:rFonts w:hint="eastAsia" w:ascii="宋体"/>
          <w:color w:val="auto"/>
          <w:szCs w:val="21"/>
          <w:highlight w:val="none"/>
        </w:rPr>
      </w:pPr>
      <w:r>
        <w:rPr>
          <w:rFonts w:hint="eastAsia" w:ascii="宋体"/>
          <w:color w:val="auto"/>
          <w:szCs w:val="21"/>
          <w:highlight w:val="none"/>
        </w:rPr>
        <w:t>5.3评委会修正错误的原则：</w:t>
      </w:r>
    </w:p>
    <w:p w14:paraId="5B05E202">
      <w:pPr>
        <w:spacing w:line="440" w:lineRule="exact"/>
        <w:ind w:firstLine="525" w:firstLineChars="250"/>
        <w:rPr>
          <w:rFonts w:hint="eastAsia" w:ascii="宋体"/>
          <w:color w:val="auto"/>
          <w:szCs w:val="21"/>
          <w:highlight w:val="none"/>
        </w:rPr>
      </w:pPr>
      <w:r>
        <w:rPr>
          <w:rFonts w:hint="eastAsia" w:ascii="宋体"/>
          <w:color w:val="auto"/>
          <w:szCs w:val="21"/>
          <w:highlight w:val="none"/>
        </w:rPr>
        <w:t>5.3.1如果数字表示的金额和用文字表示的金额不一致时，以文字表示的金额为准；当投标数量与招标数量不一致时，以招标数量为准；当分项报价清单、投标函的投标报价与开标一览表不一致时，以开标一览表为准。</w:t>
      </w:r>
    </w:p>
    <w:p w14:paraId="5FED7B32">
      <w:pPr>
        <w:spacing w:line="440" w:lineRule="exact"/>
        <w:ind w:firstLine="525" w:firstLineChars="250"/>
        <w:rPr>
          <w:rFonts w:hint="eastAsia" w:ascii="宋体"/>
          <w:color w:val="auto"/>
          <w:szCs w:val="21"/>
          <w:highlight w:val="none"/>
        </w:rPr>
      </w:pPr>
      <w:r>
        <w:rPr>
          <w:rFonts w:hint="eastAsia" w:ascii="宋体"/>
          <w:color w:val="auto"/>
          <w:szCs w:val="21"/>
          <w:highlight w:val="none"/>
        </w:rPr>
        <w:t>5.3.2如果单价与数量的乘积和总价不一致，以单价为准，修正总价及开标一览表；当单价小数点有明显的错位时，评委会将以总价为准，并修正其单价。</w:t>
      </w:r>
    </w:p>
    <w:p w14:paraId="2083C939">
      <w:pPr>
        <w:spacing w:line="440" w:lineRule="exact"/>
        <w:ind w:firstLine="403" w:firstLineChars="192"/>
        <w:jc w:val="left"/>
        <w:rPr>
          <w:rFonts w:hint="eastAsia" w:ascii="宋体"/>
          <w:b/>
          <w:bCs/>
          <w:color w:val="auto"/>
          <w:szCs w:val="21"/>
          <w:highlight w:val="none"/>
        </w:rPr>
      </w:pPr>
      <w:r>
        <w:rPr>
          <w:rFonts w:hint="eastAsia" w:ascii="宋体"/>
          <w:color w:val="auto"/>
          <w:szCs w:val="21"/>
          <w:highlight w:val="none"/>
        </w:rPr>
        <w:t xml:space="preserve"> 5.4评委会将按上述修正错误的方法调整投标文件中的投标报价，调整后的价格应对投标人具有约束力。无论投标人是接受或是拒绝调整后的价格，都应当由投标人确认。</w:t>
      </w:r>
      <w:r>
        <w:rPr>
          <w:rFonts w:hint="eastAsia" w:ascii="宋体"/>
          <w:b/>
          <w:bCs/>
          <w:color w:val="auto"/>
          <w:szCs w:val="21"/>
          <w:highlight w:val="none"/>
        </w:rPr>
        <w:t>投标人拒绝对投标文件出现的错漏按上述原则进行修正、澄清、说明，评标委员会应当否决其投标。</w:t>
      </w:r>
      <w:bookmarkStart w:id="68" w:name="_Toc449028880"/>
      <w:bookmarkStart w:id="69" w:name="_Toc58430320"/>
    </w:p>
    <w:p w14:paraId="27FC1911">
      <w:pPr>
        <w:jc w:val="center"/>
        <w:outlineLvl w:val="1"/>
        <w:rPr>
          <w:rFonts w:hint="eastAsia" w:ascii="宋体" w:hAnsi="Times New Roman" w:eastAsia="宋体" w:cs="Times New Roman"/>
          <w:b/>
          <w:color w:val="auto"/>
          <w:sz w:val="28"/>
          <w:szCs w:val="28"/>
          <w:highlight w:val="none"/>
        </w:rPr>
      </w:pPr>
      <w:bookmarkStart w:id="70" w:name="_Toc7627"/>
      <w:r>
        <w:rPr>
          <w:rFonts w:hint="eastAsia" w:ascii="宋体" w:hAnsi="Times New Roman" w:eastAsia="宋体" w:cs="Times New Roman"/>
          <w:b/>
          <w:color w:val="auto"/>
          <w:sz w:val="28"/>
          <w:szCs w:val="28"/>
          <w:highlight w:val="none"/>
        </w:rPr>
        <w:t>四、比较与评价</w:t>
      </w:r>
      <w:bookmarkEnd w:id="68"/>
      <w:bookmarkEnd w:id="69"/>
      <w:bookmarkEnd w:id="70"/>
    </w:p>
    <w:p w14:paraId="1E9F2EEE">
      <w:pPr>
        <w:keepNext w:val="0"/>
        <w:keepLines w:val="0"/>
        <w:pageBreakBefore w:val="0"/>
        <w:widowControl w:val="0"/>
        <w:kinsoku/>
        <w:overflowPunct/>
        <w:topLinePunct w:val="0"/>
        <w:autoSpaceDE/>
        <w:autoSpaceDN/>
        <w:bidi w:val="0"/>
        <w:spacing w:line="440" w:lineRule="exact"/>
        <w:ind w:firstLine="417" w:firstLineChars="198"/>
        <w:textAlignment w:val="auto"/>
        <w:rPr>
          <w:rFonts w:hint="eastAsia" w:ascii="宋体" w:hAnsi="宋体" w:eastAsia="宋体" w:cs="宋体"/>
          <w:b/>
          <w:color w:val="auto"/>
          <w:sz w:val="21"/>
          <w:szCs w:val="21"/>
          <w:highlight w:val="none"/>
        </w:rPr>
      </w:pPr>
      <w:r>
        <w:rPr>
          <w:rFonts w:hint="eastAsia" w:ascii="宋体" w:hAnsi="宋体" w:eastAsia="宋体" w:cs="宋体"/>
          <w:b/>
          <w:color w:val="auto"/>
          <w:sz w:val="21"/>
          <w:szCs w:val="21"/>
          <w:highlight w:val="none"/>
        </w:rPr>
        <w:t xml:space="preserve"> 6.</w:t>
      </w:r>
      <w:bookmarkStart w:id="71" w:name="_Toc362983805"/>
      <w:r>
        <w:rPr>
          <w:rFonts w:hint="eastAsia" w:ascii="宋体" w:hAnsi="宋体" w:eastAsia="宋体" w:cs="宋体"/>
          <w:b/>
          <w:color w:val="auto"/>
          <w:sz w:val="21"/>
          <w:szCs w:val="21"/>
          <w:highlight w:val="none"/>
        </w:rPr>
        <w:t>详细评审即按招标文件中规定的评标方法和标准，评标委员会将对通过初审的投标文件，进行资信、技术和商务部分评估、综合比较与评价。</w:t>
      </w:r>
    </w:p>
    <w:p w14:paraId="1FC42BE9">
      <w:pPr>
        <w:snapToGrid w:val="0"/>
        <w:spacing w:line="440" w:lineRule="exact"/>
        <w:ind w:left="0" w:leftChars="0" w:firstLine="420" w:firstLineChars="200"/>
        <w:jc w:val="left"/>
        <w:rPr>
          <w:rFonts w:hint="eastAsia" w:ascii="宋体" w:hAnsi="宋体" w:cs="宋体"/>
          <w:color w:val="auto"/>
          <w:szCs w:val="21"/>
          <w:highlight w:val="none"/>
        </w:rPr>
      </w:pPr>
      <w:bookmarkStart w:id="72" w:name="_Toc58430321"/>
      <w:bookmarkStart w:id="73" w:name="_Toc449028881"/>
      <w:r>
        <w:rPr>
          <w:rFonts w:hint="eastAsia" w:ascii="宋体" w:hAnsi="宋体" w:cs="宋体"/>
          <w:color w:val="auto"/>
          <w:szCs w:val="21"/>
          <w:highlight w:val="none"/>
        </w:rPr>
        <w:t>6.1商务报价评审</w:t>
      </w:r>
    </w:p>
    <w:p w14:paraId="04A899FA">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rPr>
        <w:t>6.1.1按照</w:t>
      </w:r>
      <w:r>
        <w:rPr>
          <w:rFonts w:hint="eastAsia" w:ascii="宋体" w:hAnsi="宋体" w:cs="宋体"/>
          <w:color w:val="auto"/>
          <w:szCs w:val="21"/>
          <w:highlight w:val="none"/>
          <w:lang w:val="en-US" w:eastAsia="zh-CN"/>
        </w:rPr>
        <w:t>合理低价</w:t>
      </w:r>
      <w:r>
        <w:rPr>
          <w:rFonts w:hint="eastAsia" w:ascii="宋体" w:hAnsi="宋体" w:cs="宋体"/>
          <w:color w:val="auto"/>
          <w:szCs w:val="21"/>
          <w:highlight w:val="none"/>
        </w:rPr>
        <w:t>法的原则确定中标候选人，</w:t>
      </w:r>
      <w:r>
        <w:rPr>
          <w:rFonts w:hint="eastAsia" w:ascii="宋体" w:hAnsi="宋体" w:cs="宋体"/>
          <w:color w:val="auto"/>
          <w:szCs w:val="21"/>
          <w:highlight w:val="none"/>
          <w:lang w:val="en-US" w:eastAsia="zh-CN"/>
        </w:rPr>
        <w:t>评</w:t>
      </w:r>
      <w:r>
        <w:rPr>
          <w:rFonts w:hint="eastAsia" w:ascii="宋体" w:hAnsi="宋体" w:cs="宋体"/>
          <w:color w:val="auto"/>
          <w:szCs w:val="21"/>
          <w:highlight w:val="none"/>
        </w:rPr>
        <w:t>标委员会对满足招标文件实质性要求的投标文件，最终按投标报价最低（扣除可抵扣进项税后价格）原则，推荐投标报价（扣除可抵扣进项税后价格）最低的为第一中标候选人，次低的为第二中标候选人，依次类推，推荐</w:t>
      </w: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名中标候选人，并标明排序，但投标报价低于其成本的除外，有效投标人的投标总报价（扣除可抵扣的进项税后的金额）低于【有效投标人投标总报价（扣除可抵扣的进项税后的金额）的平均价*（1-10%）】的视为低于成本价，不予选取确定为中标候选人。投标报价最低的投标人有两名或两名以上相同时，由招标人或评标委员会主任委员抽签确定第一中标候选人。</w:t>
      </w:r>
    </w:p>
    <w:p w14:paraId="473262C8">
      <w:pPr>
        <w:jc w:val="center"/>
        <w:outlineLvl w:val="1"/>
        <w:rPr>
          <w:rFonts w:hint="eastAsia" w:ascii="宋体" w:hAnsi="Times New Roman" w:eastAsia="宋体" w:cs="Times New Roman"/>
          <w:b/>
          <w:color w:val="auto"/>
          <w:sz w:val="28"/>
          <w:szCs w:val="28"/>
          <w:highlight w:val="none"/>
        </w:rPr>
      </w:pPr>
      <w:bookmarkStart w:id="74" w:name="_Toc21195"/>
      <w:r>
        <w:rPr>
          <w:rFonts w:hint="eastAsia" w:ascii="宋体" w:hAnsi="Times New Roman" w:eastAsia="宋体" w:cs="Times New Roman"/>
          <w:b/>
          <w:color w:val="auto"/>
          <w:sz w:val="28"/>
          <w:szCs w:val="28"/>
          <w:highlight w:val="none"/>
        </w:rPr>
        <w:t>五、推荐中标候选人</w:t>
      </w:r>
      <w:bookmarkEnd w:id="71"/>
      <w:bookmarkEnd w:id="72"/>
      <w:bookmarkEnd w:id="73"/>
      <w:bookmarkEnd w:id="74"/>
    </w:p>
    <w:bookmarkEnd w:id="58"/>
    <w:p w14:paraId="4E426DA7">
      <w:pPr>
        <w:spacing w:line="440" w:lineRule="exact"/>
        <w:ind w:firstLine="403" w:firstLineChars="192"/>
        <w:jc w:val="left"/>
        <w:rPr>
          <w:rFonts w:hint="eastAsia" w:ascii="宋体" w:hAnsi="宋体" w:cs="宋体"/>
          <w:color w:val="auto"/>
          <w:szCs w:val="21"/>
          <w:highlight w:val="none"/>
        </w:rPr>
      </w:pPr>
      <w:r>
        <w:rPr>
          <w:rFonts w:hint="eastAsia" w:ascii="宋体" w:hAnsi="宋体" w:cs="宋体"/>
          <w:color w:val="auto"/>
          <w:szCs w:val="21"/>
          <w:highlight w:val="none"/>
        </w:rPr>
        <w:t>7.按照合理低价法的原则确定中标候选人，评标委员会对满足招标文件实质性要求的投标文件，最终按投标报价最低（扣除可抵扣进项税后价格）原则，推荐投标报价（扣除可抵扣进项税后价格）最低的为第一中标候选人，次低的为第二中标候选人，依次类推，推荐2名中标候选人，并标明排序，但投标报价低于其成本的除外，有效投标人的投标总报价（扣除可抵扣的进项税后的金额）低于【有效投标人投标总报价（扣除可抵扣的进项税后的金额）的平均价*（1-10%）】的视为低于成本价，不予选取确定为中标候选人。投标报价最低的投标人有两名或两名以上相同时，由招标人或评标委员会主任委员抽签确定第一中标候选人。</w:t>
      </w:r>
    </w:p>
    <w:p w14:paraId="1870F7C6">
      <w:pPr>
        <w:snapToGrid w:val="0"/>
        <w:spacing w:line="440" w:lineRule="exact"/>
        <w:ind w:left="0" w:leftChars="0" w:firstLine="0" w:firstLineChars="0"/>
        <w:jc w:val="left"/>
        <w:rPr>
          <w:rFonts w:hint="eastAsia" w:ascii="宋体" w:hAnsi="宋体" w:cs="宋体"/>
          <w:b/>
          <w:color w:val="auto"/>
          <w:szCs w:val="21"/>
          <w:highlight w:val="none"/>
        </w:rPr>
      </w:pPr>
      <w:r>
        <w:rPr>
          <w:rFonts w:hint="eastAsia" w:ascii="宋体" w:hAnsi="宋体" w:cs="宋体"/>
          <w:b/>
          <w:color w:val="auto"/>
          <w:szCs w:val="21"/>
          <w:highlight w:val="none"/>
        </w:rPr>
        <w:t xml:space="preserve">8. </w:t>
      </w:r>
      <w:bookmarkStart w:id="75" w:name="_Hlk61815781"/>
      <w:r>
        <w:rPr>
          <w:rFonts w:hint="eastAsia" w:ascii="宋体" w:hAnsi="宋体" w:cs="宋体"/>
          <w:b/>
          <w:color w:val="auto"/>
          <w:szCs w:val="21"/>
          <w:highlight w:val="none"/>
        </w:rPr>
        <w:t>无效投标条款</w:t>
      </w:r>
    </w:p>
    <w:p w14:paraId="35692AA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8.1投标文件有下列情形之一的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其投标文件拒收</w:t>
      </w:r>
      <w:r>
        <w:rPr>
          <w:rFonts w:hint="eastAsia" w:ascii="宋体" w:hAnsi="宋体" w:cs="宋体"/>
          <w:color w:val="auto"/>
          <w:szCs w:val="21"/>
          <w:highlight w:val="none"/>
          <w:lang w:eastAsia="zh-CN"/>
        </w:rPr>
        <w:t>：</w:t>
      </w:r>
    </w:p>
    <w:p w14:paraId="44B3A39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(1) 未在开标截止时间前递交有效投标文件的，投标将被拒绝。</w:t>
      </w:r>
    </w:p>
    <w:p w14:paraId="308F6954">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8.2投标人有下列情形之一的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资格审查后其投标作无效投标处理：</w:t>
      </w:r>
    </w:p>
    <w:p w14:paraId="1D91AF5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投标人为本项目提供招标代理服务的；</w:t>
      </w:r>
    </w:p>
    <w:p w14:paraId="08467CF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投标人与在本项目代理机构存在相互任职或工作的；</w:t>
      </w:r>
    </w:p>
    <w:p w14:paraId="6EB96CB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w:t>
      </w: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 评标专家无法查看并检验投标文件中相关资料的；</w:t>
      </w:r>
    </w:p>
    <w:p w14:paraId="189DF9CB">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被暂停营业的；</w:t>
      </w:r>
    </w:p>
    <w:p w14:paraId="55D011AC">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被暂停或取消投标资格的；</w:t>
      </w:r>
    </w:p>
    <w:p w14:paraId="768FF61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投标人单位负责人为同一人或者存在</w:t>
      </w:r>
      <w:r>
        <w:rPr>
          <w:rFonts w:hint="eastAsia" w:ascii="宋体" w:hAnsi="宋体" w:cs="宋体"/>
          <w:color w:val="auto"/>
          <w:szCs w:val="21"/>
          <w:highlight w:val="none"/>
          <w:lang w:val="en-US" w:eastAsia="zh-CN"/>
        </w:rPr>
        <w:t>直接</w:t>
      </w:r>
      <w:r>
        <w:rPr>
          <w:rFonts w:hint="eastAsia" w:ascii="宋体" w:hAnsi="宋体" w:cs="宋体"/>
          <w:color w:val="auto"/>
          <w:szCs w:val="21"/>
          <w:highlight w:val="none"/>
        </w:rPr>
        <w:t>控股、管理关系的不同单位的；</w:t>
      </w:r>
    </w:p>
    <w:p w14:paraId="1A8F0C5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投标人基本资格条件和特定资格条件中有一项及以上不符合要求的；</w:t>
      </w:r>
    </w:p>
    <w:p w14:paraId="24069BC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8）</w:t>
      </w:r>
      <w:r>
        <w:rPr>
          <w:rFonts w:hint="eastAsia" w:ascii="宋体" w:hAnsi="宋体" w:cs="宋体"/>
          <w:color w:val="auto"/>
          <w:szCs w:val="21"/>
          <w:highlight w:val="none"/>
        </w:rPr>
        <w:t>其它情形，经评标委员会委提出按无效投标处理的；</w:t>
      </w:r>
    </w:p>
    <w:p w14:paraId="145E527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（9）</w:t>
      </w:r>
      <w:r>
        <w:rPr>
          <w:rFonts w:hint="eastAsia" w:ascii="宋体" w:hAnsi="宋体" w:cs="宋体"/>
          <w:color w:val="auto"/>
          <w:szCs w:val="21"/>
          <w:highlight w:val="none"/>
        </w:rPr>
        <w:t>招标文件规定</w:t>
      </w:r>
      <w:r>
        <w:rPr>
          <w:rFonts w:hint="eastAsia" w:ascii="宋体" w:hAnsi="宋体" w:cs="宋体"/>
          <w:color w:val="auto"/>
          <w:szCs w:val="21"/>
          <w:highlight w:val="none"/>
          <w:lang w:eastAsia="zh-CN"/>
        </w:rPr>
        <w:t>的其他</w:t>
      </w:r>
      <w:r>
        <w:rPr>
          <w:rFonts w:hint="eastAsia" w:ascii="宋体" w:hAnsi="宋体" w:cs="宋体"/>
          <w:color w:val="auto"/>
          <w:szCs w:val="21"/>
          <w:highlight w:val="none"/>
        </w:rPr>
        <w:t>无效投标情形。</w:t>
      </w:r>
    </w:p>
    <w:p w14:paraId="50856FB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 xml:space="preserve"> 8.3 投标人有下列情形之一的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符合性审查后其投标按无效投标处理：</w:t>
      </w:r>
    </w:p>
    <w:p w14:paraId="049A30C3">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投标文件签字、盖章不全，经评标委员会一致认定对开评标内容有实质性影响的；</w:t>
      </w:r>
    </w:p>
    <w:p w14:paraId="53D3D90A">
      <w:pPr>
        <w:snapToGrid w:val="0"/>
        <w:spacing w:line="440" w:lineRule="exact"/>
        <w:ind w:left="0" w:leftChars="0" w:firstLine="0" w:firstLineChars="0"/>
        <w:jc w:val="left"/>
        <w:rPr>
          <w:rFonts w:hint="eastAsia" w:ascii="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2</w:t>
      </w:r>
      <w:r>
        <w:rPr>
          <w:rFonts w:hint="eastAsia" w:ascii="宋体" w:hAnsi="宋体" w:cs="宋体"/>
          <w:color w:val="auto"/>
          <w:szCs w:val="21"/>
          <w:highlight w:val="none"/>
          <w:lang w:eastAsia="zh-CN"/>
        </w:rPr>
        <w:t>）</w:t>
      </w:r>
      <w:r>
        <w:rPr>
          <w:rFonts w:hint="eastAsia" w:ascii="宋体"/>
          <w:color w:val="auto"/>
          <w:szCs w:val="21"/>
          <w:highlight w:val="none"/>
        </w:rPr>
        <w:t>未按规定的格式填写导致实质性内容不全以及实质上不响应，或者关键字迹模糊、无法辨认；</w:t>
      </w:r>
    </w:p>
    <w:p w14:paraId="52200C7D">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同一投标人提交两个以上不同的投标文件或者投标报价，但招标文件规定提交备选方案的除外；</w:t>
      </w:r>
    </w:p>
    <w:p w14:paraId="0BBD4EB6">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4</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投标文件没有对招标文件的实质性要求和条件作出响应</w:t>
      </w:r>
      <w:r>
        <w:rPr>
          <w:rFonts w:hint="eastAsia" w:ascii="宋体" w:hAnsi="宋体" w:cs="宋体"/>
          <w:color w:val="auto"/>
          <w:szCs w:val="21"/>
          <w:highlight w:val="none"/>
          <w:lang w:eastAsia="zh-CN"/>
        </w:rPr>
        <w:t>；</w:t>
      </w:r>
    </w:p>
    <w:p w14:paraId="789D207F">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5</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投标报价超出规定的投标限价或公布的采购预算的；</w:t>
      </w:r>
    </w:p>
    <w:p w14:paraId="3A3AF7C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6</w:t>
      </w:r>
      <w:r>
        <w:rPr>
          <w:rFonts w:hint="eastAsia" w:ascii="宋体" w:hAnsi="宋体" w:cs="宋体"/>
          <w:color w:val="auto"/>
          <w:szCs w:val="21"/>
          <w:highlight w:val="none"/>
          <w:lang w:eastAsia="zh-CN"/>
        </w:rPr>
        <w:t>）</w:t>
      </w:r>
      <w:r>
        <w:rPr>
          <w:rFonts w:hint="eastAsia" w:ascii="宋体" w:hAnsi="宋体" w:cs="宋体"/>
          <w:color w:val="auto"/>
          <w:szCs w:val="21"/>
          <w:highlight w:val="none"/>
        </w:rPr>
        <w:t>不按评标委员会要求澄清、说明或补正的，或者评标委员会根据招标文件的规定对招标文件的计算错误进行修正后，投标人不接受修正的投标报价的。</w:t>
      </w:r>
    </w:p>
    <w:p w14:paraId="2EE8AAE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7</w:t>
      </w:r>
      <w:r>
        <w:rPr>
          <w:rFonts w:hint="eastAsia" w:ascii="宋体" w:hAnsi="宋体" w:cs="宋体"/>
          <w:color w:val="auto"/>
          <w:szCs w:val="21"/>
          <w:highlight w:val="none"/>
          <w:lang w:eastAsia="zh-CN"/>
        </w:rPr>
        <w:t>）</w:t>
      </w:r>
      <w:r>
        <w:rPr>
          <w:rFonts w:hint="eastAsia" w:ascii="宋体" w:hAnsi="宋体" w:cs="宋体"/>
          <w:color w:val="auto"/>
          <w:szCs w:val="21"/>
          <w:highlight w:val="none"/>
        </w:rPr>
        <w:t>其它情形，经评标委员会委提出按无效投标处理的；</w:t>
      </w:r>
    </w:p>
    <w:p w14:paraId="7FA82881">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8</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投标文件含有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不能接受的附加条件的；</w:t>
      </w:r>
    </w:p>
    <w:p w14:paraId="01441677">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9</w:t>
      </w:r>
      <w:r>
        <w:rPr>
          <w:rFonts w:hint="eastAsia" w:ascii="宋体" w:hAnsi="宋体" w:cs="宋体"/>
          <w:color w:val="auto"/>
          <w:szCs w:val="21"/>
          <w:highlight w:val="none"/>
          <w:lang w:eastAsia="zh-CN"/>
        </w:rPr>
        <w:t>）</w:t>
      </w:r>
      <w:r>
        <w:rPr>
          <w:rFonts w:hint="eastAsia" w:ascii="宋体" w:hAnsi="宋体" w:cs="宋体"/>
          <w:color w:val="auto"/>
          <w:szCs w:val="21"/>
          <w:highlight w:val="none"/>
        </w:rPr>
        <w:t>招标文件规定</w:t>
      </w:r>
      <w:r>
        <w:rPr>
          <w:rFonts w:hint="eastAsia" w:ascii="宋体" w:hAnsi="宋体" w:cs="宋体"/>
          <w:color w:val="auto"/>
          <w:szCs w:val="21"/>
          <w:highlight w:val="none"/>
          <w:lang w:eastAsia="zh-CN"/>
        </w:rPr>
        <w:t>的其他</w:t>
      </w:r>
      <w:r>
        <w:rPr>
          <w:rFonts w:hint="eastAsia" w:ascii="宋体" w:hAnsi="宋体" w:cs="宋体"/>
          <w:color w:val="auto"/>
          <w:szCs w:val="21"/>
          <w:highlight w:val="none"/>
        </w:rPr>
        <w:t>无效投标情形。</w:t>
      </w:r>
    </w:p>
    <w:p w14:paraId="13919599">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rPr>
        <w:t>8.4 投标人有下列情形之一的</w:t>
      </w:r>
      <w:r>
        <w:rPr>
          <w:rFonts w:hint="eastAsia" w:ascii="宋体" w:hAnsi="宋体" w:cs="宋体"/>
          <w:color w:val="auto"/>
          <w:szCs w:val="21"/>
          <w:highlight w:val="none"/>
          <w:lang w:eastAsia="zh-CN"/>
        </w:rPr>
        <w:t>，</w:t>
      </w:r>
      <w:r>
        <w:rPr>
          <w:rFonts w:hint="eastAsia" w:ascii="宋体" w:hAnsi="宋体" w:cs="宋体"/>
          <w:color w:val="auto"/>
          <w:szCs w:val="21"/>
          <w:highlight w:val="none"/>
        </w:rPr>
        <w:t xml:space="preserve"> 详细评审后其投标按无效投标处理：</w:t>
      </w:r>
    </w:p>
    <w:p w14:paraId="543ED6A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1</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投标产品不符合必须强制执行的国家标准的；</w:t>
      </w:r>
    </w:p>
    <w:p w14:paraId="54CB7D72">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2</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投标人有串通投标、弄虚作假、行贿等违法行为；</w:t>
      </w:r>
    </w:p>
    <w:p w14:paraId="67AD2738">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rPr>
        <w:t>3</w:t>
      </w:r>
      <w:r>
        <w:rPr>
          <w:rFonts w:hint="eastAsia" w:ascii="宋体" w:hAnsi="宋体" w:cs="宋体"/>
          <w:color w:val="auto"/>
          <w:szCs w:val="21"/>
          <w:highlight w:val="none"/>
          <w:lang w:eastAsia="zh-CN"/>
        </w:rPr>
        <w:t>）</w:t>
      </w:r>
      <w:r>
        <w:rPr>
          <w:rFonts w:hint="eastAsia" w:ascii="宋体" w:hAnsi="宋体" w:cs="宋体"/>
          <w:color w:val="auto"/>
          <w:szCs w:val="21"/>
          <w:highlight w:val="none"/>
        </w:rPr>
        <w:t>投标文件含有违反国家法律、法规的内容，或附有</w:t>
      </w:r>
      <w:r>
        <w:rPr>
          <w:rFonts w:hint="eastAsia" w:ascii="宋体" w:hAnsi="宋体" w:cs="宋体"/>
          <w:color w:val="auto"/>
          <w:szCs w:val="21"/>
          <w:highlight w:val="none"/>
          <w:lang w:eastAsia="zh-CN"/>
        </w:rPr>
        <w:t>招标人</w:t>
      </w:r>
      <w:r>
        <w:rPr>
          <w:rFonts w:hint="eastAsia" w:ascii="宋体" w:hAnsi="宋体" w:cs="宋体"/>
          <w:color w:val="auto"/>
          <w:szCs w:val="21"/>
          <w:highlight w:val="none"/>
        </w:rPr>
        <w:t>不能接受的条件的；</w:t>
      </w:r>
    </w:p>
    <w:p w14:paraId="7B7FD85A">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4）</w:t>
      </w:r>
      <w:r>
        <w:rPr>
          <w:rFonts w:hint="eastAsia" w:ascii="宋体" w:hAnsi="宋体" w:cs="宋体"/>
          <w:color w:val="auto"/>
          <w:szCs w:val="21"/>
          <w:highlight w:val="none"/>
        </w:rPr>
        <w:t>报价明显低于其他投标人，且不能证明报价合理性的投标无效；</w:t>
      </w:r>
    </w:p>
    <w:p w14:paraId="40D5C190">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5）</w:t>
      </w:r>
      <w:r>
        <w:rPr>
          <w:rFonts w:hint="eastAsia" w:ascii="宋体" w:hAnsi="宋体" w:cs="宋体"/>
          <w:color w:val="auto"/>
          <w:szCs w:val="21"/>
          <w:highlight w:val="none"/>
        </w:rPr>
        <w:t>拒不确认评标委员会评审修正的投标无效；</w:t>
      </w:r>
    </w:p>
    <w:p w14:paraId="48AC5EB5">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其它情形，经评标委员会委提出按无效投标处理的；</w:t>
      </w:r>
    </w:p>
    <w:p w14:paraId="7186A66E">
      <w:pPr>
        <w:snapToGrid w:val="0"/>
        <w:spacing w:line="440" w:lineRule="exact"/>
        <w:ind w:left="0" w:leftChars="0" w:firstLine="0" w:firstLineChars="0"/>
        <w:jc w:val="left"/>
        <w:rPr>
          <w:rFonts w:hint="eastAsia" w:ascii="宋体" w:hAnsi="宋体" w:cs="宋体"/>
          <w:color w:val="auto"/>
          <w:szCs w:val="21"/>
          <w:highlight w:val="none"/>
        </w:rPr>
      </w:pP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7）</w:t>
      </w:r>
      <w:r>
        <w:rPr>
          <w:rFonts w:hint="eastAsia" w:ascii="宋体" w:hAnsi="宋体" w:cs="宋体"/>
          <w:color w:val="auto"/>
          <w:szCs w:val="21"/>
          <w:highlight w:val="none"/>
        </w:rPr>
        <w:t>招标文件规定</w:t>
      </w:r>
      <w:r>
        <w:rPr>
          <w:rFonts w:hint="eastAsia" w:ascii="宋体" w:hAnsi="宋体" w:cs="宋体"/>
          <w:color w:val="auto"/>
          <w:szCs w:val="21"/>
          <w:highlight w:val="none"/>
          <w:lang w:eastAsia="zh-CN"/>
        </w:rPr>
        <w:t>的其他</w:t>
      </w:r>
      <w:r>
        <w:rPr>
          <w:rFonts w:hint="eastAsia" w:ascii="宋体" w:hAnsi="宋体" w:cs="宋体"/>
          <w:color w:val="auto"/>
          <w:szCs w:val="21"/>
          <w:highlight w:val="none"/>
        </w:rPr>
        <w:t>无效投标情形。</w:t>
      </w:r>
    </w:p>
    <w:p w14:paraId="6AD21708">
      <w:pPr>
        <w:pStyle w:val="2"/>
        <w:rPr>
          <w:rFonts w:hint="eastAsia" w:ascii="宋体" w:hAnsi="宋体" w:cs="宋体"/>
          <w:color w:val="auto"/>
          <w:szCs w:val="21"/>
          <w:highlight w:val="none"/>
        </w:rPr>
      </w:pPr>
    </w:p>
    <w:p w14:paraId="46C45905">
      <w:pPr>
        <w:rPr>
          <w:rFonts w:hint="eastAsia" w:ascii="宋体" w:hAnsi="宋体" w:cs="宋体"/>
          <w:color w:val="auto"/>
          <w:szCs w:val="21"/>
          <w:highlight w:val="none"/>
        </w:rPr>
      </w:pPr>
    </w:p>
    <w:p w14:paraId="4558CB5C">
      <w:pPr>
        <w:pStyle w:val="2"/>
        <w:rPr>
          <w:rFonts w:hint="eastAsia" w:ascii="宋体" w:hAnsi="宋体" w:cs="宋体"/>
          <w:color w:val="auto"/>
          <w:szCs w:val="21"/>
          <w:highlight w:val="none"/>
        </w:rPr>
      </w:pPr>
    </w:p>
    <w:p w14:paraId="452C2F8F">
      <w:pPr>
        <w:rPr>
          <w:rFonts w:hint="eastAsia" w:ascii="宋体" w:hAnsi="宋体" w:cs="宋体"/>
          <w:color w:val="auto"/>
          <w:szCs w:val="21"/>
          <w:highlight w:val="none"/>
        </w:rPr>
      </w:pPr>
    </w:p>
    <w:p w14:paraId="70118049">
      <w:pPr>
        <w:pStyle w:val="2"/>
        <w:rPr>
          <w:rFonts w:hint="eastAsia" w:ascii="宋体" w:hAnsi="宋体" w:cs="宋体"/>
          <w:color w:val="auto"/>
          <w:szCs w:val="21"/>
          <w:highlight w:val="none"/>
        </w:rPr>
      </w:pPr>
    </w:p>
    <w:p w14:paraId="0641BDA6">
      <w:pPr>
        <w:rPr>
          <w:rFonts w:hint="eastAsia" w:ascii="宋体" w:hAnsi="宋体" w:cs="宋体"/>
          <w:color w:val="auto"/>
          <w:szCs w:val="21"/>
          <w:highlight w:val="none"/>
        </w:rPr>
      </w:pPr>
    </w:p>
    <w:p w14:paraId="21310C22">
      <w:pPr>
        <w:pStyle w:val="2"/>
        <w:rPr>
          <w:rFonts w:hint="eastAsia" w:ascii="宋体" w:hAnsi="宋体" w:cs="宋体"/>
          <w:color w:val="auto"/>
          <w:szCs w:val="21"/>
          <w:highlight w:val="none"/>
        </w:rPr>
      </w:pPr>
    </w:p>
    <w:p w14:paraId="0542CA5B">
      <w:pPr>
        <w:rPr>
          <w:rFonts w:hint="eastAsia" w:ascii="宋体" w:hAnsi="宋体" w:cs="宋体"/>
          <w:color w:val="auto"/>
          <w:szCs w:val="21"/>
          <w:highlight w:val="none"/>
        </w:rPr>
      </w:pPr>
    </w:p>
    <w:p w14:paraId="57941837">
      <w:pPr>
        <w:pStyle w:val="2"/>
        <w:rPr>
          <w:rFonts w:hint="eastAsia" w:ascii="宋体" w:hAnsi="宋体" w:cs="宋体"/>
          <w:color w:val="auto"/>
          <w:szCs w:val="21"/>
          <w:highlight w:val="none"/>
        </w:rPr>
      </w:pPr>
    </w:p>
    <w:p w14:paraId="0420FAFF">
      <w:pPr>
        <w:rPr>
          <w:rFonts w:hint="eastAsia" w:ascii="宋体" w:hAnsi="宋体" w:cs="宋体"/>
          <w:color w:val="auto"/>
          <w:szCs w:val="21"/>
          <w:highlight w:val="none"/>
        </w:rPr>
      </w:pPr>
    </w:p>
    <w:p w14:paraId="2AF301A6">
      <w:pPr>
        <w:pStyle w:val="2"/>
        <w:rPr>
          <w:rFonts w:hint="eastAsia" w:ascii="宋体" w:hAnsi="宋体" w:cs="宋体"/>
          <w:color w:val="auto"/>
          <w:szCs w:val="21"/>
          <w:highlight w:val="none"/>
        </w:rPr>
      </w:pPr>
    </w:p>
    <w:p w14:paraId="485F4278">
      <w:pPr>
        <w:rPr>
          <w:rFonts w:hint="eastAsia" w:ascii="宋体" w:hAnsi="宋体" w:cs="宋体"/>
          <w:color w:val="auto"/>
          <w:szCs w:val="21"/>
          <w:highlight w:val="none"/>
        </w:rPr>
      </w:pPr>
    </w:p>
    <w:p w14:paraId="57735D30">
      <w:pPr>
        <w:pStyle w:val="2"/>
        <w:rPr>
          <w:rFonts w:hint="eastAsia" w:ascii="宋体" w:hAnsi="宋体" w:cs="宋体"/>
          <w:color w:val="auto"/>
          <w:szCs w:val="21"/>
          <w:highlight w:val="none"/>
        </w:rPr>
      </w:pPr>
    </w:p>
    <w:p w14:paraId="4EB95B34">
      <w:pPr>
        <w:rPr>
          <w:rFonts w:hint="eastAsia" w:ascii="宋体" w:hAnsi="宋体" w:cs="宋体"/>
          <w:color w:val="auto"/>
          <w:szCs w:val="21"/>
          <w:highlight w:val="none"/>
        </w:rPr>
      </w:pPr>
    </w:p>
    <w:p w14:paraId="2728F28B">
      <w:pPr>
        <w:pStyle w:val="2"/>
        <w:rPr>
          <w:rFonts w:hint="eastAsia" w:ascii="宋体" w:hAnsi="宋体" w:cs="宋体"/>
          <w:color w:val="auto"/>
          <w:szCs w:val="21"/>
          <w:highlight w:val="none"/>
        </w:rPr>
      </w:pPr>
    </w:p>
    <w:p w14:paraId="4D6E9549">
      <w:pPr>
        <w:rPr>
          <w:rFonts w:hint="eastAsia" w:ascii="宋体" w:hAnsi="宋体" w:cs="宋体"/>
          <w:color w:val="auto"/>
          <w:szCs w:val="21"/>
          <w:highlight w:val="none"/>
        </w:rPr>
      </w:pPr>
    </w:p>
    <w:p w14:paraId="0B0FA5B2">
      <w:pPr>
        <w:pStyle w:val="2"/>
        <w:rPr>
          <w:rFonts w:hint="eastAsia" w:ascii="宋体" w:hAnsi="宋体" w:cs="宋体"/>
          <w:color w:val="auto"/>
          <w:szCs w:val="21"/>
          <w:highlight w:val="none"/>
        </w:rPr>
      </w:pPr>
    </w:p>
    <w:p w14:paraId="0ABCFC2B">
      <w:pPr>
        <w:rPr>
          <w:rFonts w:hint="eastAsia" w:ascii="宋体" w:hAnsi="宋体" w:cs="宋体"/>
          <w:color w:val="auto"/>
          <w:szCs w:val="21"/>
          <w:highlight w:val="none"/>
        </w:rPr>
      </w:pPr>
    </w:p>
    <w:p w14:paraId="7F03C2AA">
      <w:pPr>
        <w:pStyle w:val="2"/>
        <w:rPr>
          <w:rFonts w:hint="eastAsia" w:ascii="宋体" w:hAnsi="宋体" w:cs="宋体"/>
          <w:color w:val="auto"/>
          <w:szCs w:val="21"/>
          <w:highlight w:val="none"/>
        </w:rPr>
      </w:pPr>
    </w:p>
    <w:p w14:paraId="36DD1971">
      <w:pPr>
        <w:rPr>
          <w:rFonts w:hint="eastAsia" w:ascii="宋体" w:hAnsi="宋体" w:cs="宋体"/>
          <w:color w:val="auto"/>
          <w:szCs w:val="21"/>
          <w:highlight w:val="none"/>
        </w:rPr>
      </w:pPr>
    </w:p>
    <w:p w14:paraId="5D147B25">
      <w:pPr>
        <w:pStyle w:val="2"/>
        <w:rPr>
          <w:rFonts w:hint="eastAsia" w:ascii="宋体" w:hAnsi="宋体" w:cs="宋体"/>
          <w:color w:val="auto"/>
          <w:szCs w:val="21"/>
          <w:highlight w:val="none"/>
        </w:rPr>
      </w:pPr>
    </w:p>
    <w:p w14:paraId="4F6ADF64">
      <w:pPr>
        <w:rPr>
          <w:rFonts w:hint="eastAsia" w:ascii="宋体" w:hAnsi="宋体" w:cs="宋体"/>
          <w:color w:val="auto"/>
          <w:szCs w:val="21"/>
          <w:highlight w:val="none"/>
        </w:rPr>
      </w:pPr>
    </w:p>
    <w:p w14:paraId="02F97723">
      <w:pPr>
        <w:spacing w:before="156" w:beforeLines="50" w:after="156" w:afterLines="50"/>
        <w:jc w:val="center"/>
        <w:outlineLvl w:val="0"/>
        <w:rPr>
          <w:rFonts w:hint="default" w:ascii="宋体"/>
          <w:b/>
          <w:color w:val="auto"/>
          <w:sz w:val="32"/>
          <w:szCs w:val="32"/>
          <w:highlight w:val="none"/>
          <w:lang w:val="en-US" w:eastAsia="zh-CN"/>
        </w:rPr>
      </w:pPr>
      <w:bookmarkStart w:id="76" w:name="_Toc2225"/>
      <w:r>
        <w:rPr>
          <w:rFonts w:hint="eastAsia" w:ascii="宋体"/>
          <w:b/>
          <w:color w:val="auto"/>
          <w:sz w:val="32"/>
          <w:szCs w:val="32"/>
          <w:highlight w:val="none"/>
          <w:lang w:val="en-US" w:eastAsia="zh-CN"/>
        </w:rPr>
        <w:t>第四章 采购需求</w:t>
      </w:r>
      <w:bookmarkEnd w:id="76"/>
    </w:p>
    <w:bookmarkEnd w:id="59"/>
    <w:bookmarkEnd w:id="75"/>
    <w:p w14:paraId="3A1988A3">
      <w:pPr>
        <w:snapToGrid w:val="0"/>
        <w:spacing w:line="440" w:lineRule="exact"/>
        <w:ind w:left="0" w:leftChars="0" w:firstLine="420" w:firstLineChars="200"/>
        <w:jc w:val="left"/>
        <w:rPr>
          <w:rFonts w:hint="eastAsia" w:ascii="宋体" w:hAnsi="宋体" w:cs="宋体"/>
          <w:color w:val="auto"/>
          <w:szCs w:val="21"/>
          <w:highlight w:val="none"/>
        </w:rPr>
      </w:pPr>
      <w:bookmarkStart w:id="77" w:name="_Toc449028945"/>
      <w:bookmarkStart w:id="78" w:name="_Toc58430329"/>
      <w:r>
        <w:rPr>
          <w:rFonts w:hint="eastAsia" w:ascii="宋体" w:hAnsi="宋体" w:cs="宋体"/>
          <w:color w:val="auto"/>
          <w:szCs w:val="21"/>
          <w:highlight w:val="none"/>
        </w:rPr>
        <w:t>招标人三处地块交由他人管护，分别是丰乐大道与光辉路交叉口东北侧地块约137亩、菱溪湖公园北侧地块约137亩、万达广场北侧地块约92亩，管护人在三地块上搭建围挡、硬化地面、搭建构筑物等，并开展经营活动</w:t>
      </w:r>
      <w:r>
        <w:rPr>
          <w:rFonts w:hint="eastAsia" w:ascii="宋体" w:hAnsi="宋体" w:cs="宋体"/>
          <w:color w:val="auto"/>
          <w:szCs w:val="21"/>
          <w:highlight w:val="none"/>
          <w:lang w:eastAsia="zh-CN"/>
        </w:rPr>
        <w:t>。</w:t>
      </w:r>
      <w:r>
        <w:rPr>
          <w:rFonts w:hint="eastAsia" w:ascii="宋体" w:hAnsi="宋体" w:cs="宋体"/>
          <w:color w:val="auto"/>
          <w:szCs w:val="21"/>
          <w:highlight w:val="none"/>
        </w:rPr>
        <w:t>现需对管护人在</w:t>
      </w:r>
      <w:r>
        <w:rPr>
          <w:rFonts w:hint="eastAsia" w:ascii="宋体" w:hAnsi="宋体" w:cs="宋体"/>
          <w:color w:val="auto"/>
          <w:szCs w:val="21"/>
          <w:highlight w:val="none"/>
          <w:lang w:val="en-US" w:eastAsia="zh-CN"/>
        </w:rPr>
        <w:t>三</w:t>
      </w:r>
      <w:r>
        <w:rPr>
          <w:rFonts w:hint="eastAsia" w:ascii="宋体" w:hAnsi="宋体" w:cs="宋体"/>
          <w:color w:val="auto"/>
          <w:szCs w:val="21"/>
          <w:highlight w:val="none"/>
        </w:rPr>
        <w:t>地块上</w:t>
      </w:r>
      <w:r>
        <w:rPr>
          <w:rFonts w:hint="eastAsia" w:ascii="宋体" w:hAnsi="宋体" w:cs="宋体"/>
          <w:color w:val="auto"/>
          <w:szCs w:val="21"/>
          <w:highlight w:val="none"/>
          <w:lang w:val="en-US" w:eastAsia="zh-CN"/>
        </w:rPr>
        <w:t>通过建设、购买安装等方式形成的实物（管护人提供的相关材料费、劳务工资、机械设备费用及零星工程费用等合计约780万元）</w:t>
      </w:r>
      <w:r>
        <w:rPr>
          <w:rFonts w:hint="eastAsia" w:ascii="宋体" w:hAnsi="宋体" w:cs="宋体"/>
          <w:color w:val="auto"/>
          <w:szCs w:val="21"/>
          <w:highlight w:val="none"/>
        </w:rPr>
        <w:t>进行评估，</w:t>
      </w:r>
      <w:r>
        <w:rPr>
          <w:rFonts w:hint="eastAsia" w:ascii="宋体" w:hAnsi="宋体" w:cs="宋体"/>
          <w:color w:val="auto"/>
          <w:szCs w:val="21"/>
          <w:highlight w:val="none"/>
          <w:lang w:val="en-US" w:eastAsia="zh-CN"/>
        </w:rPr>
        <w:t>包括但不限于下述内容，具体以地块内实际情况及招标人、管护人提供清单为准：</w:t>
      </w:r>
    </w:p>
    <w:p w14:paraId="513F2427">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1</w:t>
      </w:r>
      <w:r>
        <w:rPr>
          <w:rFonts w:hint="eastAsia" w:ascii="宋体" w:hAnsi="宋体" w:cs="宋体"/>
          <w:color w:val="auto"/>
          <w:szCs w:val="21"/>
          <w:highlight w:val="none"/>
        </w:rPr>
        <w:t>.万达广场北侧地块：（1）地面硬化工程；（2）地下隐蔽工程，</w:t>
      </w:r>
      <w:r>
        <w:rPr>
          <w:rFonts w:hint="eastAsia" w:ascii="宋体" w:hAnsi="宋体" w:cs="宋体"/>
          <w:color w:val="auto"/>
          <w:szCs w:val="21"/>
          <w:highlight w:val="none"/>
          <w:lang w:val="en-US" w:eastAsia="zh-CN"/>
        </w:rPr>
        <w:t>含</w:t>
      </w:r>
      <w:r>
        <w:rPr>
          <w:rFonts w:hint="eastAsia" w:ascii="宋体" w:hAnsi="宋体" w:cs="宋体"/>
          <w:color w:val="auto"/>
          <w:szCs w:val="21"/>
          <w:highlight w:val="none"/>
        </w:rPr>
        <w:t>地下给排水管道</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电路管线铺设</w:t>
      </w:r>
      <w:r>
        <w:rPr>
          <w:rFonts w:hint="eastAsia" w:ascii="宋体" w:hAnsi="宋体" w:cs="宋体"/>
          <w:color w:val="auto"/>
          <w:szCs w:val="21"/>
          <w:highlight w:val="none"/>
        </w:rPr>
        <w:t>等；（3）地块</w:t>
      </w:r>
      <w:r>
        <w:rPr>
          <w:rFonts w:hint="eastAsia" w:ascii="宋体" w:hAnsi="宋体" w:cs="宋体"/>
          <w:color w:val="auto"/>
          <w:szCs w:val="21"/>
          <w:highlight w:val="none"/>
          <w:lang w:val="en-US" w:eastAsia="zh-CN"/>
        </w:rPr>
        <w:t>内</w:t>
      </w:r>
      <w:r>
        <w:rPr>
          <w:rFonts w:hint="eastAsia" w:ascii="宋体" w:hAnsi="宋体" w:cs="宋体"/>
          <w:color w:val="auto"/>
          <w:szCs w:val="21"/>
          <w:highlight w:val="none"/>
        </w:rPr>
        <w:t>水、电、燃气、绿化等</w:t>
      </w:r>
      <w:r>
        <w:rPr>
          <w:rFonts w:hint="eastAsia" w:ascii="宋体" w:hAnsi="宋体" w:cs="宋体"/>
          <w:color w:val="auto"/>
          <w:szCs w:val="21"/>
          <w:highlight w:val="none"/>
          <w:lang w:eastAsia="zh-CN"/>
        </w:rPr>
        <w:t>（</w:t>
      </w:r>
      <w:r>
        <w:rPr>
          <w:rFonts w:hint="eastAsia" w:ascii="宋体" w:hAnsi="宋体" w:cs="宋体"/>
          <w:color w:val="auto"/>
          <w:szCs w:val="21"/>
          <w:highlight w:val="none"/>
          <w:lang w:val="en-US" w:eastAsia="zh-CN"/>
        </w:rPr>
        <w:t>水电表、变压器、电缆、燃气费用、绿化草坪等</w:t>
      </w:r>
      <w:r>
        <w:rPr>
          <w:rFonts w:hint="eastAsia" w:ascii="宋体" w:hAnsi="宋体" w:cs="宋体"/>
          <w:color w:val="auto"/>
          <w:szCs w:val="21"/>
          <w:highlight w:val="none"/>
          <w:lang w:eastAsia="zh-CN"/>
        </w:rPr>
        <w:t>）</w:t>
      </w:r>
      <w:r>
        <w:rPr>
          <w:rFonts w:hint="eastAsia" w:ascii="宋体" w:hAnsi="宋体" w:cs="宋体"/>
          <w:color w:val="auto"/>
          <w:szCs w:val="21"/>
          <w:highlight w:val="none"/>
        </w:rPr>
        <w:t>；（4）地块</w:t>
      </w:r>
      <w:r>
        <w:rPr>
          <w:rFonts w:hint="eastAsia" w:ascii="宋体" w:hAnsi="宋体" w:cs="宋体"/>
          <w:color w:val="auto"/>
          <w:szCs w:val="21"/>
          <w:highlight w:val="none"/>
          <w:lang w:val="en-US" w:eastAsia="zh-CN"/>
        </w:rPr>
        <w:t>内</w:t>
      </w:r>
      <w:r>
        <w:rPr>
          <w:rFonts w:hint="eastAsia" w:ascii="宋体" w:hAnsi="宋体" w:cs="宋体"/>
          <w:color w:val="auto"/>
          <w:szCs w:val="21"/>
          <w:highlight w:val="none"/>
        </w:rPr>
        <w:t>大棚、集装箱、板房、办公房、</w:t>
      </w:r>
      <w:r>
        <w:rPr>
          <w:rFonts w:hint="eastAsia" w:ascii="宋体" w:hAnsi="宋体" w:cs="宋体"/>
          <w:color w:val="auto"/>
          <w:szCs w:val="21"/>
          <w:highlight w:val="none"/>
          <w:lang w:val="en-US" w:eastAsia="zh-CN"/>
        </w:rPr>
        <w:t>砖砌房、</w:t>
      </w:r>
      <w:r>
        <w:rPr>
          <w:rFonts w:hint="eastAsia" w:ascii="宋体" w:hAnsi="宋体" w:cs="宋体"/>
          <w:color w:val="auto"/>
          <w:szCs w:val="21"/>
          <w:highlight w:val="none"/>
        </w:rPr>
        <w:t>亮化美化</w:t>
      </w:r>
      <w:r>
        <w:rPr>
          <w:rFonts w:hint="eastAsia" w:ascii="宋体" w:hAnsi="宋体" w:cs="宋体"/>
          <w:color w:val="auto"/>
          <w:szCs w:val="21"/>
          <w:highlight w:val="none"/>
          <w:lang w:val="en-US" w:eastAsia="zh-CN"/>
        </w:rPr>
        <w:t>工程</w:t>
      </w:r>
      <w:r>
        <w:rPr>
          <w:rFonts w:hint="eastAsia" w:ascii="宋体" w:hAnsi="宋体" w:cs="宋体"/>
          <w:color w:val="auto"/>
          <w:szCs w:val="21"/>
          <w:highlight w:val="none"/>
        </w:rPr>
        <w:t>等；</w:t>
      </w:r>
    </w:p>
    <w:p w14:paraId="20EC9994">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2</w:t>
      </w:r>
      <w:r>
        <w:rPr>
          <w:rFonts w:hint="eastAsia" w:ascii="宋体" w:hAnsi="宋体" w:cs="宋体"/>
          <w:color w:val="auto"/>
          <w:szCs w:val="21"/>
          <w:highlight w:val="none"/>
        </w:rPr>
        <w:t>.菱溪湖公园北侧地块：（1）围挡；（2）部分地面平整；</w:t>
      </w:r>
    </w:p>
    <w:p w14:paraId="4C0B79F7">
      <w:pPr>
        <w:snapToGrid w:val="0"/>
        <w:spacing w:line="440" w:lineRule="exact"/>
        <w:ind w:left="0" w:leftChars="0" w:firstLine="420" w:firstLineChars="200"/>
        <w:jc w:val="left"/>
        <w:rPr>
          <w:rFonts w:hint="eastAsia" w:ascii="宋体" w:hAnsi="宋体" w:cs="宋体"/>
          <w:color w:val="auto"/>
          <w:szCs w:val="21"/>
          <w:highlight w:val="none"/>
        </w:rPr>
      </w:pPr>
      <w:r>
        <w:rPr>
          <w:rFonts w:hint="eastAsia" w:ascii="宋体" w:hAnsi="宋体" w:cs="宋体"/>
          <w:color w:val="auto"/>
          <w:szCs w:val="21"/>
          <w:highlight w:val="none"/>
          <w:lang w:val="en-US" w:eastAsia="zh-CN"/>
        </w:rPr>
        <w:t>3</w:t>
      </w:r>
      <w:r>
        <w:rPr>
          <w:rFonts w:hint="eastAsia" w:ascii="宋体" w:hAnsi="宋体" w:cs="宋体"/>
          <w:color w:val="auto"/>
          <w:szCs w:val="21"/>
          <w:highlight w:val="none"/>
        </w:rPr>
        <w:t>.丰乐大道与光辉路交叉口东北侧地块：围挡；</w:t>
      </w:r>
    </w:p>
    <w:p w14:paraId="0605B8D6">
      <w:pPr>
        <w:snapToGrid w:val="0"/>
        <w:spacing w:line="440" w:lineRule="exact"/>
        <w:ind w:left="0" w:leftChars="0" w:firstLine="420" w:firstLineChars="200"/>
        <w:jc w:val="left"/>
        <w:rPr>
          <w:rFonts w:hint="eastAsia" w:ascii="宋体" w:hAnsi="宋体" w:cs="宋体"/>
          <w:color w:val="auto"/>
          <w:szCs w:val="21"/>
          <w:highlight w:val="none"/>
          <w:lang w:val="en-US" w:eastAsia="zh-CN"/>
        </w:rPr>
      </w:pPr>
      <w:r>
        <w:rPr>
          <w:rFonts w:hint="eastAsia" w:ascii="宋体" w:hAnsi="宋体" w:cs="宋体"/>
          <w:color w:val="auto"/>
          <w:szCs w:val="21"/>
          <w:highlight w:val="none"/>
          <w:lang w:val="en-US" w:eastAsia="zh-CN"/>
        </w:rPr>
        <w:t>4.评估需现场盘点，现场测量（包括但不限于地面硬化面积、地面硬化厚度（取芯）、地面平整面积、围挡面积、绿化面积）、现场拍照（含航拍）及其他现场工作的，由评估机构自行安排人员，相关费用包含在项目总价内，由中标人承担。</w:t>
      </w:r>
    </w:p>
    <w:p w14:paraId="151D5553">
      <w:pPr>
        <w:snapToGrid w:val="0"/>
        <w:spacing w:line="440" w:lineRule="exact"/>
        <w:ind w:left="0" w:leftChars="0" w:firstLine="420" w:firstLineChars="200"/>
        <w:jc w:val="left"/>
        <w:rPr>
          <w:rFonts w:hint="default" w:ascii="宋体" w:hAnsi="宋体" w:cs="宋体"/>
          <w:color w:val="auto"/>
          <w:szCs w:val="21"/>
          <w:highlight w:val="none"/>
          <w:lang w:val="en-US" w:eastAsia="zh-CN"/>
        </w:rPr>
      </w:pPr>
      <w:r>
        <w:rPr>
          <w:rFonts w:hint="eastAsia" w:ascii="宋体" w:hAnsi="宋体" w:cs="宋体"/>
          <w:color w:val="auto"/>
          <w:szCs w:val="21"/>
          <w:highlight w:val="none"/>
          <w:lang w:val="en-US" w:eastAsia="zh-CN"/>
        </w:rPr>
        <w:t>5.评估工作如需造价等提供专业意见的，由中标人自行咨询，相关费用包含在项目总价内，由中标人承担。</w:t>
      </w:r>
    </w:p>
    <w:p w14:paraId="09D1990C">
      <w:pPr>
        <w:snapToGrid w:val="0"/>
        <w:spacing w:line="440" w:lineRule="exact"/>
        <w:ind w:left="0" w:leftChars="0" w:firstLine="420" w:firstLineChars="200"/>
        <w:jc w:val="left"/>
        <w:rPr>
          <w:rFonts w:hint="eastAsia" w:ascii="宋体" w:hAnsi="宋体" w:eastAsia="宋体" w:cs="宋体"/>
          <w:color w:val="auto"/>
          <w:szCs w:val="21"/>
          <w:highlight w:val="none"/>
          <w:lang w:val="en-US" w:eastAsia="zh-CN"/>
        </w:rPr>
      </w:pPr>
      <w:r>
        <w:rPr>
          <w:rFonts w:hint="eastAsia" w:ascii="宋体" w:hAnsi="宋体" w:cs="宋体"/>
          <w:color w:val="auto"/>
          <w:szCs w:val="21"/>
          <w:highlight w:val="none"/>
          <w:lang w:val="en-US" w:eastAsia="zh-CN"/>
        </w:rPr>
        <w:t>6.</w:t>
      </w:r>
      <w:r>
        <w:rPr>
          <w:rFonts w:hint="eastAsia" w:ascii="宋体" w:hAnsi="宋体" w:cs="宋体"/>
          <w:color w:val="auto"/>
          <w:szCs w:val="21"/>
          <w:highlight w:val="none"/>
        </w:rPr>
        <w:t>评估机构</w:t>
      </w:r>
      <w:r>
        <w:rPr>
          <w:rFonts w:hint="eastAsia" w:ascii="宋体" w:hAnsi="宋体" w:cs="宋体"/>
          <w:color w:val="auto"/>
          <w:szCs w:val="21"/>
          <w:highlight w:val="none"/>
          <w:lang w:val="en-US" w:eastAsia="zh-CN"/>
        </w:rPr>
        <w:t>所需材料待中标后由招标人和管护人提供，评估机构需现场勘察、盘点相关实物资产，需配合三地块内费用支出专项审计工作，需在规定时间内</w:t>
      </w:r>
      <w:r>
        <w:rPr>
          <w:rFonts w:hint="eastAsia" w:ascii="宋体" w:hAnsi="宋体" w:cs="宋体"/>
          <w:color w:val="auto"/>
          <w:szCs w:val="21"/>
          <w:highlight w:val="none"/>
        </w:rPr>
        <w:t>出具资产评估报告</w:t>
      </w:r>
      <w:r>
        <w:rPr>
          <w:rFonts w:hint="eastAsia" w:ascii="宋体" w:hAnsi="宋体" w:cs="宋体"/>
          <w:color w:val="auto"/>
          <w:szCs w:val="21"/>
          <w:highlight w:val="none"/>
          <w:lang w:eastAsia="zh-CN"/>
        </w:rPr>
        <w:t>。</w:t>
      </w:r>
    </w:p>
    <w:p w14:paraId="72070A0B">
      <w:pPr>
        <w:spacing w:before="156" w:beforeLines="50" w:after="156" w:afterLines="50"/>
        <w:jc w:val="center"/>
        <w:outlineLvl w:val="0"/>
        <w:rPr>
          <w:rFonts w:hint="eastAsia" w:ascii="宋体"/>
          <w:b/>
          <w:color w:val="auto"/>
          <w:sz w:val="32"/>
          <w:szCs w:val="32"/>
          <w:highlight w:val="none"/>
        </w:rPr>
      </w:pPr>
    </w:p>
    <w:p w14:paraId="4977F770">
      <w:pPr>
        <w:spacing w:before="156" w:beforeLines="50" w:after="156" w:afterLines="50"/>
        <w:jc w:val="center"/>
        <w:outlineLvl w:val="0"/>
        <w:rPr>
          <w:rFonts w:hint="eastAsia" w:ascii="宋体"/>
          <w:b/>
          <w:color w:val="auto"/>
          <w:sz w:val="32"/>
          <w:szCs w:val="32"/>
          <w:highlight w:val="none"/>
        </w:rPr>
      </w:pPr>
    </w:p>
    <w:p w14:paraId="72155824">
      <w:pPr>
        <w:spacing w:before="156" w:beforeLines="50" w:after="156" w:afterLines="50"/>
        <w:jc w:val="center"/>
        <w:outlineLvl w:val="0"/>
        <w:rPr>
          <w:rFonts w:hint="eastAsia" w:ascii="宋体"/>
          <w:b/>
          <w:color w:val="auto"/>
          <w:sz w:val="32"/>
          <w:szCs w:val="32"/>
          <w:highlight w:val="none"/>
        </w:rPr>
      </w:pPr>
    </w:p>
    <w:p w14:paraId="33D646BE">
      <w:pPr>
        <w:spacing w:before="156" w:beforeLines="50" w:after="156" w:afterLines="50"/>
        <w:jc w:val="center"/>
        <w:outlineLvl w:val="0"/>
        <w:rPr>
          <w:rFonts w:hint="eastAsia" w:ascii="宋体"/>
          <w:b/>
          <w:color w:val="auto"/>
          <w:sz w:val="32"/>
          <w:szCs w:val="32"/>
          <w:highlight w:val="none"/>
        </w:rPr>
      </w:pPr>
    </w:p>
    <w:p w14:paraId="697DBA12">
      <w:pPr>
        <w:spacing w:before="156" w:beforeLines="50" w:after="156" w:afterLines="50"/>
        <w:jc w:val="center"/>
        <w:outlineLvl w:val="0"/>
        <w:rPr>
          <w:rFonts w:hint="eastAsia" w:ascii="宋体"/>
          <w:b/>
          <w:color w:val="auto"/>
          <w:sz w:val="32"/>
          <w:szCs w:val="32"/>
          <w:highlight w:val="none"/>
        </w:rPr>
      </w:pPr>
    </w:p>
    <w:p w14:paraId="1BE0F760">
      <w:pPr>
        <w:spacing w:before="156" w:beforeLines="50" w:after="156" w:afterLines="50"/>
        <w:jc w:val="center"/>
        <w:outlineLvl w:val="0"/>
        <w:rPr>
          <w:rFonts w:hint="eastAsia" w:ascii="宋体"/>
          <w:b/>
          <w:color w:val="auto"/>
          <w:sz w:val="32"/>
          <w:szCs w:val="32"/>
          <w:highlight w:val="none"/>
        </w:rPr>
      </w:pPr>
    </w:p>
    <w:p w14:paraId="4D4FD2D9">
      <w:pPr>
        <w:spacing w:before="156" w:beforeLines="50" w:after="156" w:afterLines="50"/>
        <w:jc w:val="center"/>
        <w:outlineLvl w:val="0"/>
        <w:rPr>
          <w:rFonts w:hint="eastAsia" w:ascii="宋体"/>
          <w:b/>
          <w:color w:val="auto"/>
          <w:sz w:val="32"/>
          <w:szCs w:val="32"/>
          <w:highlight w:val="none"/>
        </w:rPr>
      </w:pPr>
    </w:p>
    <w:p w14:paraId="79B6295A">
      <w:pPr>
        <w:spacing w:before="156" w:beforeLines="50" w:after="156" w:afterLines="50"/>
        <w:jc w:val="center"/>
        <w:outlineLvl w:val="0"/>
        <w:rPr>
          <w:rFonts w:hint="eastAsia" w:ascii="宋体"/>
          <w:b/>
          <w:color w:val="auto"/>
          <w:sz w:val="32"/>
          <w:szCs w:val="32"/>
          <w:highlight w:val="none"/>
        </w:rPr>
      </w:pPr>
      <w:bookmarkStart w:id="79" w:name="_Toc30789"/>
      <w:r>
        <w:rPr>
          <w:rFonts w:hint="eastAsia" w:ascii="宋体"/>
          <w:b/>
          <w:color w:val="auto"/>
          <w:sz w:val="32"/>
          <w:szCs w:val="32"/>
          <w:highlight w:val="none"/>
        </w:rPr>
        <w:t>第</w:t>
      </w:r>
      <w:r>
        <w:rPr>
          <w:rFonts w:hint="eastAsia" w:ascii="宋体"/>
          <w:b/>
          <w:color w:val="auto"/>
          <w:sz w:val="32"/>
          <w:szCs w:val="32"/>
          <w:highlight w:val="none"/>
          <w:lang w:val="en-US" w:eastAsia="zh-CN"/>
        </w:rPr>
        <w:t>五</w:t>
      </w:r>
      <w:r>
        <w:rPr>
          <w:rFonts w:hint="eastAsia" w:ascii="宋体"/>
          <w:b/>
          <w:color w:val="auto"/>
          <w:sz w:val="32"/>
          <w:szCs w:val="32"/>
          <w:highlight w:val="none"/>
        </w:rPr>
        <w:t>章  投标文件格式</w:t>
      </w:r>
      <w:bookmarkEnd w:id="79"/>
    </w:p>
    <w:p w14:paraId="44C34767">
      <w:pPr>
        <w:jc w:val="center"/>
        <w:rPr>
          <w:rFonts w:hint="eastAsia" w:eastAsia="黑体"/>
          <w:color w:val="auto"/>
          <w:sz w:val="20"/>
          <w:highlight w:val="none"/>
        </w:rPr>
      </w:pPr>
    </w:p>
    <w:p w14:paraId="12B0AB51">
      <w:pPr>
        <w:rPr>
          <w:rFonts w:hint="eastAsia" w:eastAsia="黑体"/>
          <w:color w:val="auto"/>
          <w:sz w:val="20"/>
          <w:highlight w:val="none"/>
        </w:rPr>
      </w:pPr>
    </w:p>
    <w:p w14:paraId="65B13DED">
      <w:pPr>
        <w:rPr>
          <w:rFonts w:hint="eastAsia" w:eastAsia="黑体"/>
          <w:color w:val="auto"/>
          <w:sz w:val="20"/>
          <w:highlight w:val="none"/>
        </w:rPr>
      </w:pPr>
    </w:p>
    <w:p w14:paraId="0F1DEA53">
      <w:pPr>
        <w:rPr>
          <w:rFonts w:hint="eastAsia" w:eastAsia="黑体"/>
          <w:color w:val="auto"/>
          <w:sz w:val="20"/>
          <w:highlight w:val="none"/>
        </w:rPr>
      </w:pPr>
    </w:p>
    <w:p w14:paraId="0D73A1A1">
      <w:pPr>
        <w:jc w:val="center"/>
        <w:rPr>
          <w:rFonts w:hint="eastAsia" w:ascii="宋体"/>
          <w:b/>
          <w:color w:val="auto"/>
          <w:sz w:val="44"/>
          <w:szCs w:val="44"/>
          <w:highlight w:val="none"/>
        </w:rPr>
      </w:pPr>
      <w:bookmarkStart w:id="80" w:name="_Toc449028949"/>
      <w:bookmarkStart w:id="81" w:name="_Toc350698753"/>
      <w:r>
        <w:rPr>
          <w:rFonts w:hint="eastAsia" w:ascii="宋体"/>
          <w:b/>
          <w:color w:val="auto"/>
          <w:sz w:val="44"/>
          <w:szCs w:val="44"/>
          <w:highlight w:val="none"/>
          <w:lang w:val="en-US" w:eastAsia="zh-CN"/>
        </w:rPr>
        <w:t>投标</w:t>
      </w:r>
      <w:r>
        <w:rPr>
          <w:rFonts w:hint="eastAsia" w:ascii="宋体"/>
          <w:b/>
          <w:color w:val="auto"/>
          <w:sz w:val="44"/>
          <w:szCs w:val="44"/>
          <w:highlight w:val="none"/>
        </w:rPr>
        <w:t>文件</w:t>
      </w:r>
      <w:bookmarkEnd w:id="80"/>
      <w:bookmarkEnd w:id="81"/>
    </w:p>
    <w:p w14:paraId="2B7968EA">
      <w:pPr>
        <w:jc w:val="center"/>
        <w:rPr>
          <w:rFonts w:hint="eastAsia" w:eastAsia="黑体"/>
          <w:color w:val="auto"/>
          <w:sz w:val="44"/>
          <w:szCs w:val="44"/>
          <w:highlight w:val="none"/>
        </w:rPr>
      </w:pPr>
    </w:p>
    <w:p w14:paraId="3B423825">
      <w:pPr>
        <w:jc w:val="center"/>
        <w:rPr>
          <w:rFonts w:hint="eastAsia" w:eastAsia="黑体"/>
          <w:color w:val="auto"/>
          <w:sz w:val="44"/>
          <w:szCs w:val="44"/>
          <w:highlight w:val="none"/>
        </w:rPr>
      </w:pPr>
    </w:p>
    <w:p w14:paraId="6D49D390">
      <w:pPr>
        <w:jc w:val="center"/>
        <w:rPr>
          <w:rFonts w:hint="eastAsia" w:ascii="宋体"/>
          <w:color w:val="auto"/>
          <w:sz w:val="32"/>
          <w:szCs w:val="32"/>
          <w:highlight w:val="none"/>
        </w:rPr>
      </w:pPr>
      <w:r>
        <w:rPr>
          <w:rFonts w:hint="eastAsia" w:ascii="宋体"/>
          <w:color w:val="auto"/>
          <w:sz w:val="32"/>
          <w:szCs w:val="32"/>
          <w:highlight w:val="none"/>
          <w:u w:val="single"/>
        </w:rPr>
        <w:t xml:space="preserve">        </w:t>
      </w:r>
      <w:r>
        <w:rPr>
          <w:rFonts w:hint="eastAsia" w:ascii="宋体"/>
          <w:color w:val="auto"/>
          <w:sz w:val="32"/>
          <w:szCs w:val="32"/>
          <w:highlight w:val="none"/>
        </w:rPr>
        <w:t>项目</w:t>
      </w:r>
    </w:p>
    <w:p w14:paraId="5EA60D66">
      <w:pPr>
        <w:jc w:val="center"/>
        <w:rPr>
          <w:rFonts w:hint="eastAsia" w:ascii="宋体"/>
          <w:color w:val="auto"/>
          <w:sz w:val="44"/>
          <w:szCs w:val="44"/>
          <w:highlight w:val="none"/>
        </w:rPr>
      </w:pPr>
      <w:r>
        <w:rPr>
          <w:rFonts w:hint="eastAsia" w:ascii="宋体"/>
          <w:color w:val="auto"/>
          <w:sz w:val="28"/>
          <w:szCs w:val="28"/>
          <w:highlight w:val="none"/>
          <w:u w:val="single"/>
        </w:rPr>
        <w:t xml:space="preserve">  </w:t>
      </w:r>
    </w:p>
    <w:p w14:paraId="7691238B">
      <w:pPr>
        <w:rPr>
          <w:rFonts w:hint="eastAsia" w:ascii="宋体"/>
          <w:color w:val="auto"/>
          <w:sz w:val="28"/>
          <w:szCs w:val="28"/>
          <w:highlight w:val="none"/>
        </w:rPr>
      </w:pPr>
    </w:p>
    <w:p w14:paraId="3742B360">
      <w:pPr>
        <w:rPr>
          <w:rFonts w:hint="eastAsia" w:ascii="宋体"/>
          <w:color w:val="auto"/>
          <w:sz w:val="28"/>
          <w:szCs w:val="28"/>
          <w:highlight w:val="none"/>
        </w:rPr>
      </w:pPr>
    </w:p>
    <w:p w14:paraId="62B8FC86">
      <w:pPr>
        <w:rPr>
          <w:rFonts w:hint="eastAsia" w:ascii="宋体"/>
          <w:color w:val="auto"/>
          <w:sz w:val="28"/>
          <w:szCs w:val="28"/>
          <w:highlight w:val="none"/>
        </w:rPr>
      </w:pPr>
    </w:p>
    <w:p w14:paraId="7D23F189">
      <w:pPr>
        <w:rPr>
          <w:rFonts w:hint="eastAsia" w:ascii="宋体"/>
          <w:color w:val="auto"/>
          <w:sz w:val="28"/>
          <w:szCs w:val="28"/>
          <w:highlight w:val="none"/>
        </w:rPr>
      </w:pPr>
    </w:p>
    <w:p w14:paraId="42A88458">
      <w:pPr>
        <w:rPr>
          <w:rFonts w:hint="eastAsia" w:ascii="宋体"/>
          <w:color w:val="auto"/>
          <w:sz w:val="28"/>
          <w:szCs w:val="28"/>
          <w:highlight w:val="none"/>
        </w:rPr>
      </w:pPr>
    </w:p>
    <w:p w14:paraId="05D012F9">
      <w:pPr>
        <w:rPr>
          <w:rFonts w:hint="eastAsia" w:ascii="宋体"/>
          <w:color w:val="auto"/>
          <w:sz w:val="28"/>
          <w:szCs w:val="28"/>
          <w:highlight w:val="none"/>
        </w:rPr>
      </w:pPr>
    </w:p>
    <w:p w14:paraId="58373D45">
      <w:pPr>
        <w:rPr>
          <w:rFonts w:hint="eastAsia" w:ascii="宋体"/>
          <w:color w:val="auto"/>
          <w:sz w:val="28"/>
          <w:szCs w:val="28"/>
          <w:highlight w:val="none"/>
        </w:rPr>
      </w:pPr>
    </w:p>
    <w:p w14:paraId="734B660D">
      <w:pPr>
        <w:jc w:val="center"/>
        <w:rPr>
          <w:rFonts w:hint="eastAsia" w:ascii="宋体"/>
          <w:color w:val="auto"/>
          <w:sz w:val="28"/>
          <w:szCs w:val="28"/>
          <w:highlight w:val="none"/>
          <w:u w:val="single"/>
        </w:rPr>
      </w:pPr>
      <w:r>
        <w:rPr>
          <w:rFonts w:hint="eastAsia" w:ascii="宋体"/>
          <w:color w:val="auto"/>
          <w:sz w:val="28"/>
          <w:szCs w:val="28"/>
          <w:highlight w:val="none"/>
        </w:rPr>
        <w:t>投标人：</w:t>
      </w:r>
      <w:r>
        <w:rPr>
          <w:rFonts w:hint="eastAsia" w:ascii="宋体"/>
          <w:color w:val="auto"/>
          <w:sz w:val="28"/>
          <w:szCs w:val="28"/>
          <w:highlight w:val="none"/>
          <w:u w:val="single"/>
        </w:rPr>
        <w:t xml:space="preserve">                    </w:t>
      </w:r>
      <w:r>
        <w:rPr>
          <w:rFonts w:hint="eastAsia" w:ascii="宋体"/>
          <w:color w:val="auto"/>
          <w:sz w:val="28"/>
          <w:szCs w:val="28"/>
          <w:highlight w:val="none"/>
          <w:u w:val="single"/>
          <w:lang w:val="en-US" w:eastAsia="zh-CN"/>
        </w:rPr>
        <w:t xml:space="preserve">   </w:t>
      </w:r>
      <w:r>
        <w:rPr>
          <w:rFonts w:hint="eastAsia" w:ascii="宋体"/>
          <w:color w:val="auto"/>
          <w:sz w:val="28"/>
          <w:szCs w:val="28"/>
          <w:highlight w:val="none"/>
          <w:u w:val="single"/>
        </w:rPr>
        <w:t xml:space="preserve">          </w:t>
      </w:r>
      <w:r>
        <w:rPr>
          <w:rFonts w:hint="eastAsia" w:ascii="宋体"/>
          <w:color w:val="auto"/>
          <w:sz w:val="28"/>
          <w:szCs w:val="28"/>
          <w:highlight w:val="none"/>
        </w:rPr>
        <w:t>（盖单位章）</w:t>
      </w:r>
    </w:p>
    <w:p w14:paraId="53394E04">
      <w:pPr>
        <w:ind w:firstLine="560" w:firstLineChars="200"/>
        <w:rPr>
          <w:rFonts w:hint="eastAsia" w:ascii="宋体"/>
          <w:color w:val="auto"/>
          <w:sz w:val="28"/>
          <w:szCs w:val="28"/>
          <w:highlight w:val="none"/>
        </w:rPr>
      </w:pPr>
      <w:r>
        <w:rPr>
          <w:rFonts w:hint="eastAsia" w:ascii="宋体"/>
          <w:color w:val="auto"/>
          <w:sz w:val="28"/>
          <w:szCs w:val="28"/>
          <w:highlight w:val="none"/>
        </w:rPr>
        <w:t>法定代表人：</w:t>
      </w:r>
      <w:r>
        <w:rPr>
          <w:rFonts w:hint="eastAsia" w:ascii="宋体"/>
          <w:color w:val="auto"/>
          <w:sz w:val="28"/>
          <w:szCs w:val="28"/>
          <w:highlight w:val="none"/>
          <w:u w:val="single"/>
        </w:rPr>
        <w:t xml:space="preserve">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986FEA3">
      <w:pPr>
        <w:jc w:val="center"/>
        <w:rPr>
          <w:rFonts w:hint="eastAsia" w:ascii="宋体"/>
          <w:color w:val="auto"/>
          <w:sz w:val="28"/>
          <w:szCs w:val="28"/>
          <w:highlight w:val="none"/>
        </w:rPr>
      </w:pPr>
      <w:r>
        <w:rPr>
          <w:rFonts w:hint="eastAsia" w:ascii="宋体"/>
          <w:color w:val="auto"/>
          <w:sz w:val="28"/>
          <w:szCs w:val="28"/>
          <w:highlight w:val="none"/>
          <w:u w:val="single"/>
        </w:rPr>
        <w:t xml:space="preserve">        </w:t>
      </w:r>
      <w:r>
        <w:rPr>
          <w:rFonts w:hint="eastAsia" w:ascii="宋体"/>
          <w:color w:val="auto"/>
          <w:sz w:val="28"/>
          <w:szCs w:val="28"/>
          <w:highlight w:val="none"/>
        </w:rPr>
        <w:t>年</w:t>
      </w:r>
      <w:r>
        <w:rPr>
          <w:rFonts w:hint="eastAsia" w:ascii="宋体"/>
          <w:color w:val="auto"/>
          <w:sz w:val="28"/>
          <w:szCs w:val="28"/>
          <w:highlight w:val="none"/>
          <w:u w:val="single"/>
        </w:rPr>
        <w:t xml:space="preserve">        </w:t>
      </w:r>
      <w:r>
        <w:rPr>
          <w:rFonts w:hint="eastAsia" w:ascii="宋体"/>
          <w:color w:val="auto"/>
          <w:sz w:val="28"/>
          <w:szCs w:val="28"/>
          <w:highlight w:val="none"/>
        </w:rPr>
        <w:t>月</w:t>
      </w:r>
      <w:r>
        <w:rPr>
          <w:rFonts w:hint="eastAsia" w:ascii="宋体"/>
          <w:color w:val="auto"/>
          <w:sz w:val="28"/>
          <w:szCs w:val="28"/>
          <w:highlight w:val="none"/>
          <w:u w:val="single"/>
        </w:rPr>
        <w:t xml:space="preserve">        </w:t>
      </w:r>
      <w:r>
        <w:rPr>
          <w:rFonts w:hint="eastAsia" w:ascii="宋体"/>
          <w:color w:val="auto"/>
          <w:sz w:val="28"/>
          <w:szCs w:val="28"/>
          <w:highlight w:val="none"/>
        </w:rPr>
        <w:t>日</w:t>
      </w:r>
    </w:p>
    <w:p w14:paraId="3EBE46C4">
      <w:pPr>
        <w:jc w:val="center"/>
        <w:rPr>
          <w:rFonts w:hint="eastAsia"/>
          <w:b/>
          <w:color w:val="auto"/>
          <w:sz w:val="36"/>
          <w:szCs w:val="36"/>
          <w:highlight w:val="none"/>
        </w:rPr>
      </w:pPr>
    </w:p>
    <w:p w14:paraId="6AA330F9">
      <w:pPr>
        <w:rPr>
          <w:rFonts w:hint="eastAsia"/>
        </w:rPr>
      </w:pPr>
    </w:p>
    <w:p w14:paraId="41C7E494">
      <w:pPr>
        <w:pStyle w:val="2"/>
        <w:rPr>
          <w:rFonts w:hint="eastAsia"/>
        </w:rPr>
      </w:pPr>
    </w:p>
    <w:p w14:paraId="5A03EAF4">
      <w:pPr>
        <w:rPr>
          <w:rFonts w:hint="eastAsia"/>
        </w:rPr>
      </w:pPr>
    </w:p>
    <w:p w14:paraId="1704844B">
      <w:pPr>
        <w:jc w:val="center"/>
        <w:rPr>
          <w:rFonts w:hint="eastAsia"/>
          <w:b/>
          <w:color w:val="auto"/>
          <w:sz w:val="36"/>
          <w:szCs w:val="36"/>
          <w:highlight w:val="none"/>
        </w:rPr>
      </w:pPr>
    </w:p>
    <w:p w14:paraId="5BA0D63D">
      <w:pPr>
        <w:jc w:val="center"/>
        <w:rPr>
          <w:rFonts w:hint="eastAsia"/>
          <w:b/>
          <w:color w:val="auto"/>
          <w:sz w:val="44"/>
          <w:szCs w:val="44"/>
          <w:highlight w:val="none"/>
        </w:rPr>
      </w:pPr>
      <w:r>
        <w:rPr>
          <w:rFonts w:hint="eastAsia"/>
          <w:b/>
          <w:color w:val="auto"/>
          <w:sz w:val="36"/>
          <w:szCs w:val="36"/>
          <w:highlight w:val="none"/>
        </w:rPr>
        <w:t>目   录</w:t>
      </w:r>
    </w:p>
    <w:p w14:paraId="30A9EC6A">
      <w:pPr>
        <w:spacing w:line="400" w:lineRule="exact"/>
        <w:ind w:firstLine="562" w:firstLineChars="200"/>
        <w:rPr>
          <w:rFonts w:hint="eastAsia"/>
          <w:b/>
          <w:color w:val="auto"/>
          <w:sz w:val="28"/>
          <w:szCs w:val="28"/>
          <w:highlight w:val="none"/>
        </w:rPr>
      </w:pPr>
    </w:p>
    <w:p w14:paraId="0904FEAC">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 xml:space="preserve">（1）法定代表人身份证明及其有效身份证复印件（或法定代表人授权委托书及其有效身份证复印件）（格式见附件）；                                                                                                                                                                                                                                                                                                                                                                                                                                                                                                                                                                                                                                                                                                                                                                                                                                                                                                                                                                                                                                                                                                                                                                                                                                                                                                                                                                                                                                                                                                                                                                                                                                                                                        </w:t>
      </w:r>
    </w:p>
    <w:p w14:paraId="7780E98D">
      <w:pPr>
        <w:spacing w:line="500" w:lineRule="exact"/>
        <w:ind w:firstLine="420" w:firstLineChars="200"/>
        <w:jc w:val="left"/>
        <w:rPr>
          <w:rFonts w:hint="eastAsia" w:ascii="宋体"/>
          <w:color w:val="auto"/>
          <w:szCs w:val="21"/>
          <w:highlight w:val="none"/>
        </w:rPr>
      </w:pPr>
      <w:r>
        <w:rPr>
          <w:rFonts w:hint="eastAsia" w:ascii="宋体"/>
          <w:color w:val="auto"/>
          <w:szCs w:val="21"/>
          <w:highlight w:val="none"/>
        </w:rPr>
        <w:t>（2）</w:t>
      </w:r>
      <w:r>
        <w:rPr>
          <w:rFonts w:hint="eastAsia" w:hAnsi="宋体"/>
          <w:color w:val="auto"/>
          <w:szCs w:val="21"/>
          <w:highlight w:val="none"/>
        </w:rPr>
        <w:t>投标人</w:t>
      </w:r>
      <w:r>
        <w:rPr>
          <w:rFonts w:hint="eastAsia" w:hAnsi="宋体"/>
          <w:color w:val="auto"/>
          <w:szCs w:val="21"/>
          <w:highlight w:val="none"/>
          <w:lang w:val="en-US" w:eastAsia="zh-CN"/>
        </w:rPr>
        <w:t>有效的营业执照</w:t>
      </w:r>
      <w:r>
        <w:rPr>
          <w:rFonts w:hint="eastAsia" w:ascii="宋体" w:hAnsi="宋体" w:cs="宋体"/>
          <w:color w:val="auto"/>
          <w:szCs w:val="21"/>
          <w:highlight w:val="none"/>
          <w:lang w:val="en-US" w:eastAsia="zh-CN"/>
        </w:rPr>
        <w:t>（复印件加盖单位公章）</w:t>
      </w:r>
      <w:r>
        <w:rPr>
          <w:rFonts w:hint="eastAsia" w:ascii="宋体"/>
          <w:color w:val="auto"/>
          <w:szCs w:val="21"/>
          <w:highlight w:val="none"/>
        </w:rPr>
        <w:t>；</w:t>
      </w:r>
    </w:p>
    <w:p w14:paraId="02770EC0">
      <w:pPr>
        <w:spacing w:line="500" w:lineRule="exact"/>
        <w:ind w:firstLine="420" w:firstLineChars="200"/>
        <w:jc w:val="left"/>
        <w:rPr>
          <w:rFonts w:hint="eastAsia" w:ascii="宋体" w:hAnsi="宋体" w:cs="宋体-18030"/>
          <w:color w:val="auto"/>
          <w:szCs w:val="21"/>
          <w:highlight w:val="none"/>
          <w:lang w:val="en-US" w:eastAsia="zh-CN"/>
        </w:rPr>
      </w:pPr>
      <w:r>
        <w:rPr>
          <w:rFonts w:hint="eastAsia" w:ascii="宋体" w:hAnsi="宋体" w:cs="宋体-18030"/>
          <w:color w:val="auto"/>
          <w:szCs w:val="21"/>
          <w:highlight w:val="none"/>
          <w:lang w:eastAsia="zh-CN"/>
        </w:rPr>
        <w:t>（</w:t>
      </w:r>
      <w:r>
        <w:rPr>
          <w:rFonts w:hint="eastAsia" w:ascii="宋体" w:hAnsi="宋体" w:cs="宋体-18030"/>
          <w:color w:val="auto"/>
          <w:szCs w:val="21"/>
          <w:highlight w:val="none"/>
          <w:lang w:val="en-US" w:eastAsia="zh-CN"/>
        </w:rPr>
        <w:t>3）投标人具</w:t>
      </w:r>
      <w:r>
        <w:rPr>
          <w:rFonts w:hint="eastAsia" w:ascii="宋体" w:hAnsi="宋体" w:cs="宋体"/>
          <w:color w:val="auto"/>
          <w:szCs w:val="21"/>
          <w:highlight w:val="none"/>
          <w:lang w:val="en-US" w:eastAsia="zh-CN"/>
        </w:rPr>
        <w:t>备资产评估资格（附资产评估备案证明截图或其他证明材料复印件）（复印件加盖单位公章）</w:t>
      </w:r>
      <w:r>
        <w:rPr>
          <w:rFonts w:hint="eastAsia" w:ascii="宋体" w:hAnsi="宋体" w:cs="宋体-18030"/>
          <w:color w:val="auto"/>
          <w:szCs w:val="21"/>
          <w:highlight w:val="none"/>
          <w:lang w:val="en-US" w:eastAsia="zh-CN"/>
        </w:rPr>
        <w:t>；</w:t>
      </w:r>
    </w:p>
    <w:p w14:paraId="3BB44557">
      <w:pPr>
        <w:spacing w:line="500" w:lineRule="exact"/>
        <w:ind w:firstLine="420" w:firstLineChars="200"/>
        <w:jc w:val="left"/>
        <w:rPr>
          <w:rFonts w:hint="default"/>
          <w:lang w:val="en-US" w:eastAsia="zh-CN"/>
        </w:rPr>
      </w:pPr>
      <w:r>
        <w:rPr>
          <w:rFonts w:hint="eastAsia"/>
          <w:lang w:val="en-US" w:eastAsia="zh-CN"/>
        </w:rPr>
        <w:t>（4）</w:t>
      </w:r>
      <w:r>
        <w:rPr>
          <w:rFonts w:hint="default"/>
          <w:lang w:val="en-US" w:eastAsia="zh-CN"/>
        </w:rPr>
        <w:t>项目负责人</w:t>
      </w:r>
      <w:r>
        <w:rPr>
          <w:rFonts w:hint="eastAsia"/>
          <w:lang w:val="en-US" w:eastAsia="zh-CN"/>
        </w:rPr>
        <w:t>身份证复印件及</w:t>
      </w:r>
      <w:r>
        <w:rPr>
          <w:rFonts w:hint="default"/>
          <w:lang w:val="en-US" w:eastAsia="zh-CN"/>
        </w:rPr>
        <w:t>注册资产评估师证书</w:t>
      </w:r>
      <w:r>
        <w:rPr>
          <w:rFonts w:hint="eastAsia" w:ascii="宋体" w:hAnsi="宋体" w:cs="宋体"/>
          <w:color w:val="auto"/>
          <w:szCs w:val="21"/>
          <w:highlight w:val="none"/>
          <w:lang w:val="en-US" w:eastAsia="zh-CN"/>
        </w:rPr>
        <w:t>（复印件加盖单位公章）</w:t>
      </w:r>
      <w:r>
        <w:rPr>
          <w:rFonts w:hint="default"/>
          <w:lang w:val="en-US" w:eastAsia="zh-CN"/>
        </w:rPr>
        <w:t>；</w:t>
      </w:r>
    </w:p>
    <w:p w14:paraId="4E284466">
      <w:pPr>
        <w:spacing w:line="500" w:lineRule="exact"/>
        <w:ind w:firstLine="420" w:firstLineChars="200"/>
        <w:jc w:val="left"/>
        <w:rPr>
          <w:rFonts w:hint="default"/>
          <w:lang w:val="en-US" w:eastAsia="zh-CN"/>
        </w:rPr>
      </w:pPr>
      <w:r>
        <w:rPr>
          <w:rFonts w:hint="eastAsia"/>
          <w:lang w:val="en-US" w:eastAsia="zh-CN"/>
        </w:rPr>
        <w:t>（5）项目组成员资产评估师证书；</w:t>
      </w:r>
    </w:p>
    <w:p w14:paraId="5C4FC539">
      <w:pPr>
        <w:spacing w:line="500" w:lineRule="exact"/>
        <w:ind w:firstLine="420" w:firstLineChars="200"/>
        <w:jc w:val="left"/>
        <w:rPr>
          <w:rFonts w:hint="eastAsia" w:ascii="宋体"/>
          <w:color w:val="auto"/>
          <w:szCs w:val="21"/>
          <w:highlight w:val="none"/>
        </w:rPr>
      </w:pPr>
      <w:r>
        <w:rPr>
          <w:rFonts w:hint="eastAsia" w:ascii="宋体" w:hAnsi="宋体" w:cs="宋体-18030"/>
          <w:color w:val="auto"/>
          <w:szCs w:val="21"/>
          <w:highlight w:val="none"/>
        </w:rPr>
        <w:t>（</w:t>
      </w:r>
      <w:r>
        <w:rPr>
          <w:rFonts w:hint="eastAsia" w:ascii="宋体" w:hAnsi="宋体" w:cs="宋体-18030"/>
          <w:color w:val="auto"/>
          <w:szCs w:val="21"/>
          <w:highlight w:val="none"/>
          <w:lang w:val="en-US" w:eastAsia="zh-CN"/>
        </w:rPr>
        <w:t>5</w:t>
      </w:r>
      <w:r>
        <w:rPr>
          <w:rFonts w:hint="eastAsia" w:ascii="宋体" w:hAnsi="宋体" w:cs="宋体-18030"/>
          <w:color w:val="auto"/>
          <w:szCs w:val="21"/>
          <w:highlight w:val="none"/>
        </w:rPr>
        <w:t>）</w:t>
      </w:r>
      <w:r>
        <w:rPr>
          <w:rFonts w:hint="eastAsia" w:ascii="宋体"/>
          <w:color w:val="auto"/>
          <w:szCs w:val="21"/>
          <w:highlight w:val="none"/>
        </w:rPr>
        <w:t>诚信投标承诺书（格式见附件）；</w:t>
      </w:r>
    </w:p>
    <w:p w14:paraId="75D21953">
      <w:pPr>
        <w:spacing w:line="440" w:lineRule="exact"/>
        <w:ind w:firstLine="420" w:firstLineChars="200"/>
        <w:rPr>
          <w:rFonts w:hint="eastAsia" w:ascii="宋体"/>
          <w:color w:val="auto"/>
          <w:szCs w:val="21"/>
          <w:highlight w:val="none"/>
        </w:rPr>
      </w:pPr>
      <w:r>
        <w:rPr>
          <w:rFonts w:hint="eastAsia" w:ascii="宋体" w:cs="Times New Roman"/>
          <w:color w:val="auto"/>
          <w:szCs w:val="21"/>
          <w:highlight w:val="none"/>
          <w:lang w:eastAsia="zh-CN"/>
        </w:rPr>
        <w:t>（</w:t>
      </w:r>
      <w:r>
        <w:rPr>
          <w:rFonts w:hint="eastAsia" w:ascii="宋体" w:cs="Times New Roman"/>
          <w:color w:val="auto"/>
          <w:szCs w:val="21"/>
          <w:highlight w:val="none"/>
          <w:lang w:val="en-US" w:eastAsia="zh-CN"/>
        </w:rPr>
        <w:t>6</w:t>
      </w:r>
      <w:r>
        <w:rPr>
          <w:rFonts w:hint="eastAsia" w:ascii="宋体" w:cs="Times New Roman"/>
          <w:color w:val="auto"/>
          <w:szCs w:val="21"/>
          <w:highlight w:val="none"/>
          <w:lang w:eastAsia="zh-CN"/>
        </w:rPr>
        <w:t>）</w:t>
      </w:r>
      <w:r>
        <w:rPr>
          <w:rFonts w:hint="eastAsia" w:ascii="宋体"/>
          <w:color w:val="auto"/>
          <w:szCs w:val="21"/>
          <w:highlight w:val="none"/>
        </w:rPr>
        <w:t>投标人的法定代表人（或委托代理人）和拟任项目负责人须持有社保部门出具的本单位为其缴纳的投标前近</w:t>
      </w:r>
      <w:r>
        <w:rPr>
          <w:rFonts w:hint="eastAsia" w:ascii="宋体"/>
          <w:color w:val="auto"/>
          <w:szCs w:val="21"/>
          <w:highlight w:val="none"/>
          <w:lang w:val="en-US" w:eastAsia="zh-CN"/>
        </w:rPr>
        <w:t>三</w:t>
      </w:r>
      <w:r>
        <w:rPr>
          <w:rFonts w:hint="eastAsia" w:ascii="宋体"/>
          <w:color w:val="auto"/>
          <w:szCs w:val="21"/>
          <w:highlight w:val="none"/>
        </w:rPr>
        <w:t>个月连续的养老保险证明（或官网在线打印件，证明文件两个月内有效）（同一人担任不同公司法定代表人的，该法定代表人参加本项目投标时须提供本人在其他公司任法定代表人的营业执照及为其缴纳养老保险证明材料），投标人是事业单位的，暂未缴纳社保的，须由其主管部门出具证明；</w:t>
      </w:r>
    </w:p>
    <w:p w14:paraId="52371B11">
      <w:pPr>
        <w:spacing w:line="500" w:lineRule="exact"/>
        <w:ind w:firstLine="420" w:firstLineChars="200"/>
        <w:jc w:val="left"/>
        <w:rPr>
          <w:rFonts w:hint="eastAsia" w:ascii="宋体" w:hAnsi="Times New Roman" w:eastAsia="宋体" w:cs="Times New Roman"/>
          <w:color w:val="auto"/>
          <w:szCs w:val="21"/>
          <w:highlight w:val="none"/>
        </w:rPr>
      </w:pPr>
      <w:r>
        <w:rPr>
          <w:rFonts w:hint="eastAsia" w:ascii="宋体" w:cs="Times New Roman"/>
          <w:color w:val="auto"/>
          <w:szCs w:val="21"/>
          <w:highlight w:val="none"/>
          <w:lang w:val="en-US" w:eastAsia="zh-CN"/>
        </w:rPr>
        <w:t>（7）投标函（格式见附件）；</w:t>
      </w:r>
    </w:p>
    <w:p w14:paraId="1FD75D18">
      <w:pPr>
        <w:spacing w:line="400" w:lineRule="exact"/>
        <w:ind w:firstLine="562" w:firstLineChars="200"/>
        <w:rPr>
          <w:rFonts w:hint="eastAsia"/>
          <w:b/>
          <w:color w:val="auto"/>
          <w:sz w:val="28"/>
          <w:szCs w:val="28"/>
          <w:highlight w:val="none"/>
        </w:rPr>
      </w:pPr>
    </w:p>
    <w:p w14:paraId="370B4C1A">
      <w:pPr>
        <w:spacing w:line="400" w:lineRule="exact"/>
        <w:ind w:firstLine="562" w:firstLineChars="200"/>
        <w:rPr>
          <w:rFonts w:hint="eastAsia"/>
          <w:b/>
          <w:color w:val="auto"/>
          <w:sz w:val="28"/>
          <w:szCs w:val="28"/>
          <w:highlight w:val="none"/>
        </w:rPr>
      </w:pPr>
    </w:p>
    <w:p w14:paraId="09E594E0">
      <w:pPr>
        <w:spacing w:line="400" w:lineRule="exact"/>
        <w:ind w:firstLine="562" w:firstLineChars="200"/>
        <w:rPr>
          <w:rFonts w:hint="eastAsia"/>
          <w:b/>
          <w:color w:val="auto"/>
          <w:sz w:val="28"/>
          <w:szCs w:val="28"/>
          <w:highlight w:val="none"/>
        </w:rPr>
      </w:pPr>
    </w:p>
    <w:p w14:paraId="235911AE">
      <w:pPr>
        <w:spacing w:line="400" w:lineRule="exact"/>
        <w:ind w:firstLine="562" w:firstLineChars="200"/>
        <w:rPr>
          <w:rFonts w:hint="eastAsia"/>
          <w:b/>
          <w:color w:val="auto"/>
          <w:sz w:val="28"/>
          <w:szCs w:val="28"/>
          <w:highlight w:val="none"/>
        </w:rPr>
      </w:pPr>
    </w:p>
    <w:p w14:paraId="52FD35E4">
      <w:pPr>
        <w:spacing w:line="400" w:lineRule="exact"/>
        <w:ind w:firstLine="562" w:firstLineChars="200"/>
        <w:rPr>
          <w:rFonts w:hint="eastAsia"/>
          <w:b/>
          <w:color w:val="auto"/>
          <w:sz w:val="28"/>
          <w:szCs w:val="28"/>
          <w:highlight w:val="none"/>
        </w:rPr>
      </w:pPr>
    </w:p>
    <w:p w14:paraId="19195213">
      <w:pPr>
        <w:spacing w:line="400" w:lineRule="exact"/>
        <w:rPr>
          <w:b/>
          <w:color w:val="auto"/>
          <w:sz w:val="28"/>
          <w:szCs w:val="28"/>
          <w:highlight w:val="none"/>
        </w:rPr>
        <w:sectPr>
          <w:headerReference r:id="rId8" w:type="default"/>
          <w:footerReference r:id="rId9" w:type="default"/>
          <w:pgSz w:w="11906" w:h="16838"/>
          <w:pgMar w:top="1440" w:right="1066" w:bottom="1440" w:left="1800" w:header="851" w:footer="992" w:gutter="0"/>
          <w:pgNumType w:fmt="numberInDash" w:start="1"/>
          <w:cols w:space="720" w:num="1"/>
          <w:docGrid w:type="lines" w:linePitch="312" w:charSpace="0"/>
        </w:sectPr>
      </w:pPr>
    </w:p>
    <w:p w14:paraId="54D8C531">
      <w:pPr>
        <w:spacing w:line="360" w:lineRule="auto"/>
        <w:rPr>
          <w:rFonts w:hint="eastAsia"/>
          <w:b/>
          <w:color w:val="auto"/>
          <w:sz w:val="28"/>
          <w:szCs w:val="28"/>
          <w:highlight w:val="none"/>
        </w:rPr>
      </w:pPr>
      <w:r>
        <w:rPr>
          <w:rFonts w:hint="eastAsia"/>
          <w:b/>
          <w:color w:val="auto"/>
          <w:sz w:val="28"/>
          <w:szCs w:val="28"/>
          <w:highlight w:val="none"/>
        </w:rPr>
        <w:t>附件1</w:t>
      </w:r>
    </w:p>
    <w:p w14:paraId="75A79258">
      <w:pPr>
        <w:spacing w:line="360" w:lineRule="auto"/>
        <w:ind w:left="720"/>
        <w:jc w:val="center"/>
        <w:rPr>
          <w:rFonts w:hint="eastAsia" w:ascii="宋体"/>
          <w:b/>
          <w:color w:val="auto"/>
          <w:sz w:val="28"/>
          <w:szCs w:val="28"/>
          <w:highlight w:val="none"/>
        </w:rPr>
      </w:pPr>
      <w:r>
        <w:rPr>
          <w:rFonts w:hint="eastAsia"/>
          <w:b/>
          <w:color w:val="auto"/>
          <w:sz w:val="28"/>
          <w:szCs w:val="28"/>
          <w:highlight w:val="none"/>
        </w:rPr>
        <w:t>法定代表人身份证明或授权委托书</w:t>
      </w:r>
    </w:p>
    <w:p w14:paraId="4BD2D961">
      <w:pPr>
        <w:pStyle w:val="120"/>
        <w:spacing w:before="312" w:beforeLines="100" w:after="312" w:afterLines="100" w:line="480" w:lineRule="exact"/>
        <w:ind w:firstLine="180" w:firstLineChars="75"/>
        <w:rPr>
          <w:rFonts w:hint="eastAsia" w:ascii="宋体"/>
          <w:b/>
          <w:color w:val="auto"/>
          <w:sz w:val="24"/>
          <w:szCs w:val="24"/>
          <w:highlight w:val="none"/>
        </w:rPr>
      </w:pPr>
      <w:r>
        <w:rPr>
          <w:rFonts w:hint="eastAsia" w:ascii="宋体"/>
          <w:color w:val="auto"/>
          <w:sz w:val="24"/>
          <w:szCs w:val="24"/>
          <w:highlight w:val="none"/>
        </w:rPr>
        <w:t>1.法定代表人身份证明</w:t>
      </w:r>
    </w:p>
    <w:p w14:paraId="6C300616">
      <w:pPr>
        <w:spacing w:line="480" w:lineRule="exact"/>
        <w:ind w:firstLine="480" w:firstLineChars="200"/>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 xml:space="preserve"> </w:t>
      </w:r>
    </w:p>
    <w:p w14:paraId="3FB957D5">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单位性质： </w:t>
      </w:r>
      <w:r>
        <w:rPr>
          <w:rFonts w:hint="eastAsia" w:ascii="宋体"/>
          <w:color w:val="auto"/>
          <w:sz w:val="24"/>
          <w:highlight w:val="none"/>
          <w:u w:val="single"/>
        </w:rPr>
        <w:t xml:space="preserve">                                  </w:t>
      </w:r>
      <w:r>
        <w:rPr>
          <w:rFonts w:hint="eastAsia" w:ascii="宋体"/>
          <w:color w:val="auto"/>
          <w:sz w:val="24"/>
          <w:highlight w:val="none"/>
        </w:rPr>
        <w:t xml:space="preserve"> </w:t>
      </w:r>
    </w:p>
    <w:p w14:paraId="79704F6A">
      <w:pPr>
        <w:spacing w:line="480" w:lineRule="exact"/>
        <w:ind w:firstLine="480" w:firstLineChars="200"/>
        <w:rPr>
          <w:rFonts w:hint="eastAsia" w:ascii="宋体"/>
          <w:color w:val="auto"/>
          <w:sz w:val="24"/>
          <w:highlight w:val="none"/>
        </w:rPr>
      </w:pPr>
      <w:r>
        <w:rPr>
          <w:rFonts w:hint="eastAsia" w:ascii="宋体"/>
          <w:color w:val="auto"/>
          <w:sz w:val="24"/>
          <w:highlight w:val="none"/>
        </w:rPr>
        <w:t>地    址：</w:t>
      </w:r>
      <w:r>
        <w:rPr>
          <w:rFonts w:hint="eastAsia" w:ascii="宋体"/>
          <w:color w:val="auto"/>
          <w:sz w:val="24"/>
          <w:highlight w:val="none"/>
          <w:u w:val="single"/>
        </w:rPr>
        <w:t xml:space="preserve">                                   </w:t>
      </w:r>
      <w:r>
        <w:rPr>
          <w:rFonts w:hint="eastAsia" w:ascii="宋体"/>
          <w:color w:val="auto"/>
          <w:sz w:val="24"/>
          <w:highlight w:val="none"/>
        </w:rPr>
        <w:t xml:space="preserve"> </w:t>
      </w:r>
    </w:p>
    <w:p w14:paraId="62C9C77A">
      <w:pPr>
        <w:spacing w:line="480" w:lineRule="exact"/>
        <w:ind w:firstLine="480" w:firstLineChars="200"/>
        <w:rPr>
          <w:rFonts w:hint="eastAsia" w:ascii="宋体"/>
          <w:color w:val="auto"/>
          <w:sz w:val="24"/>
          <w:highlight w:val="none"/>
        </w:rPr>
      </w:pPr>
      <w:r>
        <w:rPr>
          <w:rFonts w:hint="eastAsia" w:ascii="宋体"/>
          <w:color w:val="auto"/>
          <w:sz w:val="24"/>
          <w:highlight w:val="none"/>
        </w:rPr>
        <w:t>成立时间：</w:t>
      </w:r>
      <w:r>
        <w:rPr>
          <w:rFonts w:hint="eastAsia" w:ascii="宋体"/>
          <w:color w:val="auto"/>
          <w:sz w:val="24"/>
          <w:highlight w:val="none"/>
          <w:u w:val="single"/>
        </w:rPr>
        <w:t xml:space="preserve">        </w:t>
      </w:r>
      <w:r>
        <w:rPr>
          <w:rFonts w:hint="eastAsia" w:ascii="宋体"/>
          <w:color w:val="auto"/>
          <w:sz w:val="24"/>
          <w:highlight w:val="none"/>
        </w:rPr>
        <w:t>年</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＿日</w:t>
      </w:r>
    </w:p>
    <w:p w14:paraId="7C4A4A19">
      <w:pPr>
        <w:spacing w:line="480" w:lineRule="exact"/>
        <w:ind w:firstLine="480" w:firstLineChars="200"/>
        <w:rPr>
          <w:rFonts w:hint="eastAsia" w:ascii="宋体"/>
          <w:color w:val="auto"/>
          <w:sz w:val="24"/>
          <w:highlight w:val="none"/>
        </w:rPr>
      </w:pPr>
      <w:r>
        <w:rPr>
          <w:rFonts w:hint="eastAsia" w:ascii="宋体"/>
          <w:color w:val="auto"/>
          <w:sz w:val="24"/>
          <w:highlight w:val="none"/>
        </w:rPr>
        <w:t>经营期限：</w:t>
      </w:r>
      <w:r>
        <w:rPr>
          <w:rFonts w:hint="eastAsia" w:ascii="宋体"/>
          <w:color w:val="auto"/>
          <w:sz w:val="24"/>
          <w:highlight w:val="none"/>
          <w:u w:val="single"/>
        </w:rPr>
        <w:t xml:space="preserve">                                </w:t>
      </w:r>
      <w:r>
        <w:rPr>
          <w:rFonts w:hint="eastAsia" w:ascii="宋体"/>
          <w:color w:val="auto"/>
          <w:sz w:val="24"/>
          <w:highlight w:val="none"/>
        </w:rPr>
        <w:t xml:space="preserve"> </w:t>
      </w:r>
    </w:p>
    <w:p w14:paraId="63E13C5E">
      <w:pPr>
        <w:spacing w:line="480" w:lineRule="exact"/>
        <w:ind w:firstLine="1440" w:firstLineChars="200"/>
        <w:rPr>
          <w:rFonts w:hint="eastAsia" w:ascii="宋体"/>
          <w:color w:val="auto"/>
          <w:sz w:val="24"/>
          <w:highlight w:val="none"/>
        </w:rPr>
      </w:pPr>
      <w:r>
        <w:rPr>
          <w:rFonts w:hint="eastAsia" w:ascii="宋体"/>
          <w:color w:val="auto"/>
          <w:spacing w:val="240"/>
          <w:sz w:val="24"/>
          <w:highlight w:val="none"/>
        </w:rPr>
        <w:t>姓</w:t>
      </w:r>
      <w:r>
        <w:rPr>
          <w:rFonts w:hint="eastAsia" w:ascii="宋体"/>
          <w:color w:val="auto"/>
          <w:sz w:val="24"/>
          <w:highlight w:val="none"/>
        </w:rPr>
        <w:t>名：</w:t>
      </w:r>
      <w:r>
        <w:rPr>
          <w:rFonts w:hint="eastAsia" w:ascii="宋体"/>
          <w:color w:val="auto"/>
          <w:sz w:val="24"/>
          <w:highlight w:val="none"/>
          <w:u w:val="single"/>
        </w:rPr>
        <w:t xml:space="preserve">           </w:t>
      </w:r>
      <w:r>
        <w:rPr>
          <w:rFonts w:hint="eastAsia" w:ascii="宋体"/>
          <w:color w:val="auto"/>
          <w:sz w:val="24"/>
          <w:highlight w:val="none"/>
        </w:rPr>
        <w:t>性别：</w:t>
      </w:r>
      <w:r>
        <w:rPr>
          <w:rFonts w:hint="eastAsia" w:ascii="宋体"/>
          <w:color w:val="auto"/>
          <w:sz w:val="24"/>
          <w:highlight w:val="none"/>
          <w:u w:val="single"/>
        </w:rPr>
        <w:t xml:space="preserve">        </w:t>
      </w:r>
      <w:r>
        <w:rPr>
          <w:rFonts w:hint="eastAsia" w:ascii="宋体"/>
          <w:color w:val="auto"/>
          <w:sz w:val="24"/>
          <w:highlight w:val="none"/>
        </w:rPr>
        <w:t>年龄：＿</w:t>
      </w:r>
      <w:r>
        <w:rPr>
          <w:rFonts w:hint="eastAsia" w:ascii="宋体"/>
          <w:color w:val="auto"/>
          <w:sz w:val="24"/>
          <w:highlight w:val="none"/>
          <w:u w:val="single"/>
        </w:rPr>
        <w:t xml:space="preserve">  </w:t>
      </w:r>
      <w:r>
        <w:rPr>
          <w:rFonts w:hint="eastAsia" w:ascii="宋体"/>
          <w:color w:val="auto"/>
          <w:sz w:val="24"/>
          <w:highlight w:val="none"/>
        </w:rPr>
        <w:t>职务：</w:t>
      </w:r>
      <w:r>
        <w:rPr>
          <w:rFonts w:hint="eastAsia" w:ascii="宋体"/>
          <w:color w:val="auto"/>
          <w:sz w:val="24"/>
          <w:highlight w:val="none"/>
          <w:u w:val="single"/>
        </w:rPr>
        <w:t xml:space="preserve">       </w:t>
      </w:r>
      <w:r>
        <w:rPr>
          <w:rFonts w:hint="eastAsia" w:ascii="宋体"/>
          <w:color w:val="auto"/>
          <w:sz w:val="24"/>
          <w:highlight w:val="none"/>
        </w:rPr>
        <w:t>_</w:t>
      </w:r>
    </w:p>
    <w:p w14:paraId="303334F5">
      <w:pPr>
        <w:spacing w:line="480" w:lineRule="exact"/>
        <w:ind w:firstLine="480" w:firstLineChars="200"/>
        <w:rPr>
          <w:rFonts w:hint="eastAsia" w:ascii="宋体"/>
          <w:color w:val="auto"/>
          <w:sz w:val="24"/>
          <w:highlight w:val="none"/>
        </w:rPr>
      </w:pPr>
      <w:r>
        <w:rPr>
          <w:rFonts w:hint="eastAsia" w:ascii="宋体"/>
          <w:color w:val="auto"/>
          <w:sz w:val="24"/>
          <w:highlight w:val="none"/>
        </w:rPr>
        <w:t>系</w:t>
      </w:r>
      <w:r>
        <w:rPr>
          <w:rFonts w:hint="eastAsia" w:ascii="宋体"/>
          <w:color w:val="auto"/>
          <w:sz w:val="24"/>
          <w:highlight w:val="none"/>
          <w:u w:val="single"/>
        </w:rPr>
        <w:t xml:space="preserve">                                </w:t>
      </w:r>
      <w:r>
        <w:rPr>
          <w:rFonts w:hint="eastAsia" w:ascii="宋体"/>
          <w:color w:val="auto"/>
          <w:sz w:val="24"/>
          <w:highlight w:val="none"/>
        </w:rPr>
        <w:t>（投标人名称）的法定代表人。</w:t>
      </w:r>
    </w:p>
    <w:p w14:paraId="7226A7A7">
      <w:pPr>
        <w:spacing w:line="480" w:lineRule="exact"/>
        <w:ind w:firstLine="960" w:firstLineChars="400"/>
        <w:rPr>
          <w:rFonts w:hint="eastAsia" w:ascii="宋体"/>
          <w:color w:val="auto"/>
          <w:sz w:val="24"/>
          <w:highlight w:val="none"/>
        </w:rPr>
      </w:pPr>
      <w:r>
        <w:rPr>
          <w:rFonts w:hint="eastAsia" w:ascii="宋体"/>
          <w:color w:val="auto"/>
          <w:sz w:val="24"/>
          <w:highlight w:val="none"/>
        </w:rPr>
        <w:t>特此证明。</w:t>
      </w:r>
    </w:p>
    <w:p w14:paraId="30822F62">
      <w:pPr>
        <w:spacing w:line="360" w:lineRule="auto"/>
        <w:ind w:firstLine="3480" w:firstLineChars="1450"/>
        <w:rPr>
          <w:rFonts w:hint="eastAsia" w:ascii="宋体"/>
          <w:color w:val="auto"/>
          <w:sz w:val="24"/>
          <w:highlight w:val="none"/>
        </w:rPr>
      </w:pPr>
      <w:r>
        <w:rPr>
          <w:rFonts w:hint="eastAsia" w:ascii="宋体"/>
          <w:color w:val="auto"/>
          <w:sz w:val="24"/>
          <w:highlight w:val="none"/>
        </w:rPr>
        <w:t>投标人：</w:t>
      </w:r>
      <w:r>
        <w:rPr>
          <w:rFonts w:hint="eastAsia" w:ascii="宋体"/>
          <w:color w:val="auto"/>
          <w:sz w:val="24"/>
          <w:highlight w:val="none"/>
          <w:u w:val="single"/>
        </w:rPr>
        <w:t xml:space="preserve">                 </w:t>
      </w:r>
      <w:r>
        <w:rPr>
          <w:rFonts w:hint="eastAsia" w:ascii="宋体"/>
          <w:color w:val="auto"/>
          <w:sz w:val="24"/>
          <w:highlight w:val="none"/>
        </w:rPr>
        <w:t>（盖单位章）</w:t>
      </w:r>
    </w:p>
    <w:p w14:paraId="69EF04FD">
      <w:pPr>
        <w:wordWrap w:val="0"/>
        <w:spacing w:line="360" w:lineRule="auto"/>
        <w:jc w:val="right"/>
        <w:rPr>
          <w:rFonts w:hint="eastAsia"/>
          <w:color w:val="auto"/>
          <w:highlight w:val="none"/>
        </w:rPr>
      </w:pPr>
      <w:r>
        <w:rPr>
          <w:rFonts w:hint="eastAsia" w:ascii="宋体"/>
          <w:color w:val="auto"/>
          <w:sz w:val="24"/>
          <w:highlight w:val="none"/>
        </w:rPr>
        <w:t xml:space="preserve">                                        </w:t>
      </w:r>
      <w:r>
        <w:rPr>
          <w:rFonts w:hint="eastAsia" w:ascii="宋体"/>
          <w:color w:val="auto"/>
          <w:sz w:val="24"/>
          <w:highlight w:val="none"/>
          <w:u w:val="single"/>
        </w:rPr>
        <w:t xml:space="preserve">       </w:t>
      </w:r>
      <w:r>
        <w:rPr>
          <w:rFonts w:hint="eastAsia" w:ascii="宋体"/>
          <w:color w:val="auto"/>
          <w:sz w:val="24"/>
          <w:highlight w:val="none"/>
        </w:rPr>
        <w:t xml:space="preserve">年 </w:t>
      </w:r>
      <w:r>
        <w:rPr>
          <w:rFonts w:hint="eastAsia" w:ascii="宋体"/>
          <w:color w:val="auto"/>
          <w:sz w:val="24"/>
          <w:highlight w:val="none"/>
          <w:u w:val="single"/>
        </w:rPr>
        <w:t xml:space="preserve">    </w:t>
      </w:r>
      <w:r>
        <w:rPr>
          <w:rFonts w:hint="eastAsia" w:ascii="宋体"/>
          <w:color w:val="auto"/>
          <w:sz w:val="24"/>
          <w:highlight w:val="none"/>
        </w:rPr>
        <w:t>月</w:t>
      </w:r>
      <w:r>
        <w:rPr>
          <w:rFonts w:hint="eastAsia" w:ascii="宋体"/>
          <w:color w:val="auto"/>
          <w:sz w:val="24"/>
          <w:highlight w:val="none"/>
          <w:u w:val="single"/>
        </w:rPr>
        <w:t xml:space="preserve">     </w:t>
      </w:r>
      <w:r>
        <w:rPr>
          <w:rFonts w:hint="eastAsia" w:ascii="宋体"/>
          <w:color w:val="auto"/>
          <w:sz w:val="24"/>
          <w:highlight w:val="none"/>
        </w:rPr>
        <w:t xml:space="preserve">日  </w:t>
      </w:r>
    </w:p>
    <w:p w14:paraId="108FBE61">
      <w:pPr>
        <w:spacing w:before="312" w:beforeLines="100" w:after="312" w:afterLines="100" w:line="480" w:lineRule="exact"/>
        <w:ind w:firstLine="3654" w:firstLineChars="1305"/>
        <w:rPr>
          <w:rFonts w:hint="eastAsia" w:ascii="宋体"/>
          <w:color w:val="auto"/>
          <w:sz w:val="28"/>
          <w:szCs w:val="28"/>
          <w:highlight w:val="none"/>
        </w:rPr>
      </w:pPr>
      <w:r>
        <w:rPr>
          <w:rFonts w:hint="eastAsia" w:ascii="宋体"/>
          <w:color w:val="auto"/>
          <w:sz w:val="28"/>
          <w:szCs w:val="28"/>
          <w:highlight w:val="none"/>
        </w:rPr>
        <w:t>2.授权委托书</w:t>
      </w:r>
    </w:p>
    <w:p w14:paraId="699F2BFD">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本人 </w:t>
      </w:r>
      <w:r>
        <w:rPr>
          <w:rFonts w:hint="eastAsia" w:ascii="宋体"/>
          <w:color w:val="auto"/>
          <w:sz w:val="24"/>
          <w:highlight w:val="none"/>
          <w:u w:val="single"/>
        </w:rPr>
        <w:t xml:space="preserve">    </w:t>
      </w:r>
      <w:r>
        <w:rPr>
          <w:rFonts w:hint="eastAsia" w:ascii="宋体"/>
          <w:color w:val="auto"/>
          <w:sz w:val="24"/>
          <w:highlight w:val="none"/>
        </w:rPr>
        <w:t>（姓名）系</w:t>
      </w:r>
      <w:r>
        <w:rPr>
          <w:rFonts w:hint="eastAsia" w:ascii="宋体"/>
          <w:color w:val="auto"/>
          <w:sz w:val="24"/>
          <w:highlight w:val="none"/>
          <w:u w:val="single"/>
        </w:rPr>
        <w:t xml:space="preserve">       </w:t>
      </w:r>
      <w:r>
        <w:rPr>
          <w:rFonts w:hint="eastAsia" w:ascii="宋体"/>
          <w:color w:val="auto"/>
          <w:sz w:val="24"/>
          <w:highlight w:val="none"/>
        </w:rPr>
        <w:t>（投标人）的法定代表人，现委托</w:t>
      </w:r>
      <w:r>
        <w:rPr>
          <w:rFonts w:hint="eastAsia" w:ascii="宋体"/>
          <w:color w:val="auto"/>
          <w:sz w:val="24"/>
          <w:highlight w:val="none"/>
          <w:u w:val="single"/>
        </w:rPr>
        <w:t xml:space="preserve">   </w:t>
      </w:r>
      <w:r>
        <w:rPr>
          <w:rFonts w:hint="eastAsia" w:ascii="宋体"/>
          <w:color w:val="auto"/>
          <w:sz w:val="24"/>
          <w:highlight w:val="none"/>
        </w:rPr>
        <w:t>（姓名）为我方代理人。代理人根据授权，以我方名义签署、澄清、说明、补正、递交、撤回、修改 “</w:t>
      </w:r>
      <w:r>
        <w:rPr>
          <w:rFonts w:hint="eastAsia" w:ascii="宋体"/>
          <w:color w:val="auto"/>
          <w:sz w:val="24"/>
          <w:highlight w:val="none"/>
          <w:u w:val="single"/>
        </w:rPr>
        <w:t xml:space="preserve">      </w:t>
      </w:r>
      <w:r>
        <w:rPr>
          <w:rFonts w:hint="eastAsia" w:ascii="宋体"/>
          <w:color w:val="auto"/>
          <w:sz w:val="24"/>
          <w:highlight w:val="none"/>
        </w:rPr>
        <w:t xml:space="preserve"> ”</w:t>
      </w:r>
      <w:r>
        <w:rPr>
          <w:rFonts w:hint="eastAsia" w:ascii="宋体"/>
          <w:color w:val="auto"/>
          <w:sz w:val="24"/>
          <w:highlight w:val="none"/>
          <w:lang w:eastAsia="zh-CN"/>
        </w:rPr>
        <w:t>（</w:t>
      </w:r>
      <w:r>
        <w:rPr>
          <w:rFonts w:hint="eastAsia" w:ascii="宋体"/>
          <w:color w:val="auto"/>
          <w:sz w:val="24"/>
          <w:highlight w:val="none"/>
        </w:rPr>
        <w:t>项目名称、编号）投标文件，全权处理与该项目投标、评审答疑、签订合同以及与合同执行有关的一切事务，其法律后果由我方承担。</w:t>
      </w:r>
    </w:p>
    <w:p w14:paraId="0BB52CCC">
      <w:pPr>
        <w:spacing w:line="480" w:lineRule="exact"/>
        <w:ind w:firstLine="480" w:firstLineChars="200"/>
        <w:rPr>
          <w:rFonts w:hint="eastAsia" w:ascii="宋体"/>
          <w:color w:val="auto"/>
          <w:sz w:val="24"/>
          <w:highlight w:val="none"/>
        </w:rPr>
      </w:pPr>
      <w:r>
        <w:rPr>
          <w:rFonts w:hint="eastAsia" w:ascii="宋体"/>
          <w:color w:val="auto"/>
          <w:sz w:val="24"/>
          <w:highlight w:val="none"/>
        </w:rPr>
        <w:t xml:space="preserve">委托期限：                                </w:t>
      </w:r>
    </w:p>
    <w:p w14:paraId="2EDFF50E">
      <w:pPr>
        <w:spacing w:line="480" w:lineRule="exact"/>
        <w:ind w:firstLine="480" w:firstLineChars="200"/>
        <w:rPr>
          <w:rFonts w:hint="eastAsia" w:ascii="宋体"/>
          <w:color w:val="auto"/>
          <w:sz w:val="24"/>
          <w:highlight w:val="none"/>
        </w:rPr>
      </w:pPr>
      <w:r>
        <w:rPr>
          <w:rFonts w:hint="eastAsia" w:ascii="宋体"/>
          <w:color w:val="auto"/>
          <w:sz w:val="24"/>
          <w:highlight w:val="none"/>
        </w:rPr>
        <w:t>代理人无转委托权。</w:t>
      </w:r>
    </w:p>
    <w:p w14:paraId="5B9B118F">
      <w:pPr>
        <w:spacing w:line="480" w:lineRule="exact"/>
        <w:ind w:firstLine="480" w:firstLineChars="200"/>
        <w:rPr>
          <w:rFonts w:hint="eastAsia" w:ascii="宋体"/>
          <w:color w:val="auto"/>
          <w:sz w:val="24"/>
          <w:highlight w:val="none"/>
        </w:rPr>
      </w:pPr>
      <w:r>
        <w:rPr>
          <w:rFonts w:hint="eastAsia" w:ascii="宋体"/>
          <w:color w:val="auto"/>
          <w:sz w:val="24"/>
          <w:highlight w:val="none"/>
        </w:rPr>
        <w:t>附：授权委托人有效身份证及法定代表人有效身份证</w:t>
      </w:r>
    </w:p>
    <w:p w14:paraId="69DE40A7">
      <w:pPr>
        <w:spacing w:line="480" w:lineRule="exact"/>
        <w:rPr>
          <w:rFonts w:hint="eastAsia" w:ascii="宋体"/>
          <w:color w:val="auto"/>
          <w:sz w:val="24"/>
          <w:highlight w:val="none"/>
        </w:rPr>
      </w:pPr>
      <w:r>
        <w:rPr>
          <w:rFonts w:hint="eastAsia" w:ascii="宋体"/>
          <w:color w:val="auto"/>
          <w:sz w:val="24"/>
          <w:highlight w:val="none"/>
        </w:rPr>
        <w:t xml:space="preserve">                                     投标人：             </w:t>
      </w:r>
      <w:r>
        <w:rPr>
          <w:rFonts w:hint="eastAsia" w:ascii="宋体"/>
          <w:color w:val="auto"/>
          <w:sz w:val="28"/>
          <w:szCs w:val="28"/>
          <w:highlight w:val="none"/>
        </w:rPr>
        <w:t>（盖单位章）</w:t>
      </w:r>
    </w:p>
    <w:p w14:paraId="0D96B49B">
      <w:pPr>
        <w:spacing w:line="480" w:lineRule="exact"/>
        <w:ind w:firstLine="2280" w:firstLineChars="950"/>
        <w:rPr>
          <w:rFonts w:hint="eastAsia" w:ascii="宋体"/>
          <w:color w:val="auto"/>
          <w:sz w:val="24"/>
          <w:highlight w:val="none"/>
        </w:rPr>
      </w:pPr>
      <w:r>
        <w:rPr>
          <w:rFonts w:hint="eastAsia" w:ascii="宋体"/>
          <w:color w:val="auto"/>
          <w:sz w:val="24"/>
          <w:highlight w:val="none"/>
        </w:rPr>
        <w:t xml:space="preserve">法定代表人（身份证号码）：          </w:t>
      </w:r>
      <w:r>
        <w:rPr>
          <w:rFonts w:hint="eastAsia" w:ascii="宋体"/>
          <w:color w:val="auto"/>
          <w:sz w:val="28"/>
          <w:szCs w:val="28"/>
          <w:highlight w:val="none"/>
        </w:rPr>
        <w:t>（</w:t>
      </w:r>
      <w:r>
        <w:rPr>
          <w:rFonts w:hint="eastAsia" w:ascii="宋体"/>
          <w:color w:val="auto"/>
          <w:sz w:val="28"/>
          <w:szCs w:val="28"/>
          <w:highlight w:val="none"/>
          <w:lang w:val="en-US" w:eastAsia="zh-CN"/>
        </w:rPr>
        <w:t>签字或盖章</w:t>
      </w:r>
      <w:r>
        <w:rPr>
          <w:rFonts w:hint="eastAsia" w:ascii="宋体"/>
          <w:color w:val="auto"/>
          <w:sz w:val="28"/>
          <w:szCs w:val="28"/>
          <w:highlight w:val="none"/>
        </w:rPr>
        <w:t>）</w:t>
      </w:r>
    </w:p>
    <w:p w14:paraId="41AA7BBB">
      <w:pPr>
        <w:spacing w:line="480" w:lineRule="exact"/>
        <w:ind w:firstLine="2820" w:firstLineChars="1175"/>
        <w:rPr>
          <w:rFonts w:hint="eastAsia" w:ascii="宋体"/>
          <w:color w:val="auto"/>
          <w:sz w:val="24"/>
          <w:highlight w:val="none"/>
        </w:rPr>
      </w:pPr>
      <w:r>
        <w:rPr>
          <w:rFonts w:hint="eastAsia" w:ascii="宋体"/>
          <w:color w:val="auto"/>
          <w:sz w:val="24"/>
          <w:highlight w:val="none"/>
        </w:rPr>
        <w:t xml:space="preserve">              年    月    日</w:t>
      </w:r>
    </w:p>
    <w:p w14:paraId="427D0AB5">
      <w:pPr>
        <w:spacing w:line="360" w:lineRule="exact"/>
        <w:ind w:firstLine="413" w:firstLineChars="147"/>
        <w:rPr>
          <w:rFonts w:hint="eastAsia"/>
          <w:b/>
          <w:color w:val="auto"/>
          <w:sz w:val="28"/>
          <w:szCs w:val="28"/>
          <w:highlight w:val="none"/>
          <w:u w:val="single"/>
        </w:rPr>
      </w:pPr>
    </w:p>
    <w:p w14:paraId="47680D3B">
      <w:pPr>
        <w:spacing w:line="360" w:lineRule="exact"/>
        <w:ind w:firstLine="413" w:firstLineChars="147"/>
        <w:rPr>
          <w:rFonts w:hint="eastAsia"/>
          <w:b/>
          <w:color w:val="auto"/>
          <w:sz w:val="28"/>
          <w:szCs w:val="28"/>
          <w:highlight w:val="none"/>
          <w:u w:val="single"/>
        </w:rPr>
      </w:pPr>
    </w:p>
    <w:p w14:paraId="48477964">
      <w:pPr>
        <w:spacing w:line="360" w:lineRule="exact"/>
        <w:rPr>
          <w:rFonts w:hint="eastAsia" w:ascii="宋体"/>
          <w:b/>
          <w:color w:val="auto"/>
          <w:sz w:val="30"/>
          <w:szCs w:val="30"/>
          <w:highlight w:val="none"/>
        </w:rPr>
      </w:pPr>
      <w:r>
        <w:rPr>
          <w:rFonts w:hint="eastAsia" w:ascii="宋体"/>
          <w:b/>
          <w:color w:val="auto"/>
          <w:sz w:val="30"/>
          <w:szCs w:val="30"/>
          <w:highlight w:val="none"/>
        </w:rPr>
        <w:t>附件2</w:t>
      </w:r>
    </w:p>
    <w:p w14:paraId="2890D0AE">
      <w:pPr>
        <w:spacing w:line="360" w:lineRule="auto"/>
        <w:jc w:val="center"/>
        <w:rPr>
          <w:rFonts w:hint="eastAsia"/>
          <w:b/>
          <w:color w:val="auto"/>
          <w:sz w:val="28"/>
          <w:szCs w:val="28"/>
          <w:highlight w:val="none"/>
        </w:rPr>
      </w:pPr>
      <w:bookmarkStart w:id="82" w:name="_Toc440443268"/>
      <w:bookmarkStart w:id="83" w:name="_Toc449028950"/>
      <w:r>
        <w:rPr>
          <w:rFonts w:hint="eastAsia"/>
          <w:b/>
          <w:color w:val="auto"/>
          <w:sz w:val="28"/>
          <w:szCs w:val="28"/>
          <w:highlight w:val="none"/>
        </w:rPr>
        <w:t>诚信投标承诺书 </w:t>
      </w:r>
    </w:p>
    <w:p w14:paraId="5FC4BD4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本人以企业法定代表人的身份郑重承诺：</w:t>
      </w:r>
    </w:p>
    <w:p w14:paraId="688C4ADF">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一、将遵循公开、公正和诚实信用的原则自愿参加</w:t>
      </w:r>
      <w:r>
        <w:rPr>
          <w:rFonts w:hint="eastAsia" w:ascii="宋体" w:hAnsi="宋体"/>
          <w:color w:val="auto"/>
          <w:szCs w:val="21"/>
          <w:highlight w:val="none"/>
          <w:u w:val="single"/>
        </w:rPr>
        <w:t xml:space="preserve">                   </w:t>
      </w:r>
      <w:r>
        <w:rPr>
          <w:rFonts w:hint="eastAsia" w:ascii="宋体" w:hAnsi="宋体"/>
          <w:color w:val="auto"/>
          <w:szCs w:val="21"/>
          <w:highlight w:val="none"/>
        </w:rPr>
        <w:t>项目的投标，所提供的一切材料都是真实、有效、合法的；</w:t>
      </w:r>
    </w:p>
    <w:p w14:paraId="3909890F">
      <w:pPr>
        <w:spacing w:line="500" w:lineRule="exact"/>
        <w:ind w:firstLine="420" w:firstLineChars="200"/>
        <w:rPr>
          <w:rFonts w:ascii="宋体" w:hAnsi="宋体"/>
          <w:color w:val="auto"/>
          <w:szCs w:val="21"/>
          <w:highlight w:val="none"/>
        </w:rPr>
      </w:pPr>
      <w:r>
        <w:rPr>
          <w:rFonts w:hint="eastAsia" w:ascii="宋体" w:hAnsi="宋体"/>
          <w:color w:val="auto"/>
          <w:szCs w:val="21"/>
          <w:highlight w:val="none"/>
        </w:rPr>
        <w:t>二、本单位郑重声明，根据《中华人民共和国政府采购法》及《中华人民共和国政府采购法实施条例》的规定，我公司具有良好的商业信誉和健全的财务会计制度，具有履行合同所必需的设备和专业技术能力，有依法缴纳税收和社会保障资金的良好记录；参加政府采购活动前三年内，本单位在经营活动中没有重大违法记录，没有因违法经营受到刑事处罚或者责令停产停业、吊销许可证或者执照、较大数额罚款等行政处罚。</w:t>
      </w:r>
    </w:p>
    <w:p w14:paraId="3EB44A8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三、不出借、转让资质证书，不让他人挂靠投标，不以他人名义投标或者以其他方式弄虚作假，骗取中标；</w:t>
      </w:r>
    </w:p>
    <w:p w14:paraId="0D16BFB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四、不与其他投标人相互串通投标报价，不排挤其他投标人的公平竞争、损害招标人的合法权益；</w:t>
      </w:r>
    </w:p>
    <w:p w14:paraId="2C415BD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五、不与招标人、招标代理机构或其他投标人串通投标，损害国家利益、社会公共利益或者他人的合法权益；</w:t>
      </w:r>
    </w:p>
    <w:p w14:paraId="4D5AF97F">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六、我公司没有下列情形：1、被人民法院列入失信被执行人的；2、我公司及其法定代表人、拟派项目经理（项目负责人）前三年有行贿犯罪行为的；3、被市场监督管理部门列入经营异常名录或者严重违法企业名单，且未被移除的；4、被税收部门列入重大税收违法案件当事人的；5、被政府采购监管部门列入政府采购严重违法失信行为记录名单的；6、在“信用中国”网站上披露仍在公示期的严重失信行为的；7、参与政府采购活动前3年在经营活动中有重大违法记录的。（若招标文件对投标人所属分公司、办事处等分支机构有上述1-6项信誉要求，在此一并承诺我公司所属分公司、办事处等分支机构没有上述1-6项情形）</w:t>
      </w:r>
    </w:p>
    <w:p w14:paraId="2BB6AC2D">
      <w:pPr>
        <w:spacing w:line="500" w:lineRule="exact"/>
        <w:ind w:firstLine="420" w:firstLineChars="200"/>
        <w:rPr>
          <w:rFonts w:hint="eastAsia"/>
          <w:color w:val="auto"/>
          <w:highlight w:val="none"/>
        </w:rPr>
      </w:pPr>
      <w:r>
        <w:rPr>
          <w:rFonts w:hint="eastAsia" w:ascii="宋体" w:hAnsi="宋体"/>
          <w:color w:val="auto"/>
          <w:szCs w:val="21"/>
          <w:highlight w:val="none"/>
        </w:rPr>
        <w:t>七、我公司没有下列情形：被滁州市县两级公管部门记入不良行为记录且在披露期内。</w:t>
      </w:r>
    </w:p>
    <w:p w14:paraId="51F973D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八、严格遵守开标现场纪律，服从监管人员管理；</w:t>
      </w:r>
    </w:p>
    <w:p w14:paraId="14C5211E">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九、保证中标后不转包，若有分包征得招标人同意；</w:t>
      </w:r>
    </w:p>
    <w:p w14:paraId="6399FC2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十、保证中标之后，按照投标文件要求提供相关后续服务；</w:t>
      </w:r>
    </w:p>
    <w:p w14:paraId="3199B032">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十一、保证企业及所属相关人员在本次投标中无行贿等犯罪行为；</w:t>
      </w:r>
    </w:p>
    <w:p w14:paraId="2D8DEA43">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十二、如在投标过程和公示期间发生投诉行为，保证按照相关规定要求进行。投诉内容符合要求，投诉材料加盖企业公章或由法定代表人授权委托人签字，并附有关身份证明复印件。不恶意投诉，对本公司提供的投诉线索的真实性负责，否则愿接受有关部门的处罚。</w:t>
      </w:r>
    </w:p>
    <w:p w14:paraId="2FFE63E1">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以上内容我已仔细阅读，本公司若有违反承诺内容的行为，自愿接受取消投标或者中标资格、记入不良行为记录等有关处理，愿意承担法律责任，给招标人造成损失的，依法承担赔偿责任。</w:t>
      </w:r>
    </w:p>
    <w:p w14:paraId="460CCEFB">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 </w:t>
      </w:r>
    </w:p>
    <w:p w14:paraId="106D0425">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开户银行：                          基本账户：</w:t>
      </w:r>
    </w:p>
    <w:p w14:paraId="62BE0ADA">
      <w:pPr>
        <w:spacing w:line="500" w:lineRule="exact"/>
        <w:ind w:firstLine="420" w:firstLineChars="200"/>
        <w:rPr>
          <w:rFonts w:hint="eastAsia" w:ascii="宋体" w:hAnsi="宋体"/>
          <w:color w:val="auto"/>
          <w:szCs w:val="21"/>
          <w:highlight w:val="none"/>
        </w:rPr>
      </w:pPr>
      <w:r>
        <w:rPr>
          <w:rFonts w:hint="eastAsia" w:ascii="宋体" w:hAnsi="宋体"/>
          <w:color w:val="auto"/>
          <w:szCs w:val="21"/>
          <w:highlight w:val="none"/>
        </w:rPr>
        <w:t>投标单位（盖单位章）：          法定代表人（</w:t>
      </w:r>
      <w:r>
        <w:rPr>
          <w:rFonts w:hint="eastAsia" w:ascii="宋体" w:hAnsi="宋体"/>
          <w:color w:val="auto"/>
          <w:szCs w:val="21"/>
          <w:highlight w:val="none"/>
          <w:lang w:val="en-US" w:eastAsia="zh-CN"/>
        </w:rPr>
        <w:t>签字或盖章</w:t>
      </w:r>
      <w:r>
        <w:rPr>
          <w:rFonts w:hint="eastAsia" w:ascii="宋体" w:hAnsi="宋体"/>
          <w:color w:val="auto"/>
          <w:szCs w:val="21"/>
          <w:highlight w:val="none"/>
        </w:rPr>
        <w:t>）：</w:t>
      </w:r>
    </w:p>
    <w:p w14:paraId="0F8B5443">
      <w:pPr>
        <w:spacing w:line="500" w:lineRule="exact"/>
        <w:ind w:firstLine="420" w:firstLineChars="200"/>
        <w:rPr>
          <w:rFonts w:hint="eastAsia" w:ascii="宋体" w:hAnsi="宋体"/>
          <w:color w:val="auto"/>
          <w:szCs w:val="21"/>
          <w:highlight w:val="none"/>
        </w:rPr>
      </w:pPr>
    </w:p>
    <w:p w14:paraId="26CD09FF">
      <w:pPr>
        <w:spacing w:line="560" w:lineRule="exact"/>
        <w:jc w:val="right"/>
        <w:rPr>
          <w:rFonts w:hint="eastAsia" w:ascii="仿宋_GB2312" w:eastAsia="仿宋_GB2312"/>
          <w:color w:val="auto"/>
          <w:sz w:val="32"/>
          <w:szCs w:val="32"/>
          <w:highlight w:val="none"/>
        </w:rPr>
      </w:pPr>
      <w:r>
        <w:rPr>
          <w:rFonts w:hint="eastAsia" w:ascii="宋体" w:hAnsi="宋体"/>
          <w:color w:val="auto"/>
          <w:szCs w:val="21"/>
          <w:highlight w:val="none"/>
        </w:rPr>
        <w:t>日期：</w:t>
      </w:r>
      <w:r>
        <w:rPr>
          <w:rFonts w:ascii="宋体" w:hAnsi="宋体"/>
          <w:color w:val="auto"/>
          <w:szCs w:val="21"/>
          <w:highlight w:val="none"/>
          <w:u w:val="single"/>
        </w:rPr>
        <w:t xml:space="preserve">           </w:t>
      </w:r>
      <w:r>
        <w:rPr>
          <w:rFonts w:hint="eastAsia" w:ascii="宋体" w:hAnsi="宋体"/>
          <w:color w:val="auto"/>
          <w:szCs w:val="21"/>
          <w:highlight w:val="none"/>
        </w:rPr>
        <w:t>年</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月</w:t>
      </w:r>
      <w:r>
        <w:rPr>
          <w:rFonts w:ascii="宋体" w:hAnsi="宋体"/>
          <w:color w:val="auto"/>
          <w:szCs w:val="21"/>
          <w:highlight w:val="none"/>
        </w:rPr>
        <w:t xml:space="preserve"> </w:t>
      </w:r>
      <w:r>
        <w:rPr>
          <w:rFonts w:ascii="宋体" w:hAnsi="宋体"/>
          <w:color w:val="auto"/>
          <w:szCs w:val="21"/>
          <w:highlight w:val="none"/>
          <w:u w:val="single"/>
        </w:rPr>
        <w:t xml:space="preserve">            </w:t>
      </w:r>
      <w:r>
        <w:rPr>
          <w:rFonts w:hint="eastAsia" w:ascii="宋体" w:hAnsi="宋体"/>
          <w:color w:val="auto"/>
          <w:szCs w:val="21"/>
          <w:highlight w:val="none"/>
        </w:rPr>
        <w:t>日</w:t>
      </w:r>
    </w:p>
    <w:p w14:paraId="7634B614">
      <w:pPr>
        <w:spacing w:line="360" w:lineRule="auto"/>
        <w:jc w:val="center"/>
        <w:rPr>
          <w:rFonts w:hint="eastAsia"/>
          <w:b/>
          <w:color w:val="auto"/>
          <w:sz w:val="28"/>
          <w:szCs w:val="28"/>
          <w:highlight w:val="none"/>
        </w:rPr>
      </w:pPr>
    </w:p>
    <w:p w14:paraId="4208B35F">
      <w:pPr>
        <w:spacing w:line="360" w:lineRule="exact"/>
        <w:ind w:firstLine="443" w:firstLineChars="147"/>
        <w:rPr>
          <w:rFonts w:hint="eastAsia" w:ascii="宋体"/>
          <w:b/>
          <w:color w:val="auto"/>
          <w:sz w:val="30"/>
          <w:szCs w:val="30"/>
          <w:highlight w:val="none"/>
        </w:rPr>
      </w:pPr>
    </w:p>
    <w:p w14:paraId="60E30D5F">
      <w:pPr>
        <w:spacing w:line="360" w:lineRule="exact"/>
        <w:ind w:firstLine="443" w:firstLineChars="147"/>
        <w:rPr>
          <w:rFonts w:hint="eastAsia" w:ascii="宋体"/>
          <w:b/>
          <w:color w:val="auto"/>
          <w:sz w:val="30"/>
          <w:szCs w:val="30"/>
          <w:highlight w:val="none"/>
        </w:rPr>
      </w:pPr>
    </w:p>
    <w:p w14:paraId="4BCC4F46">
      <w:pPr>
        <w:spacing w:line="360" w:lineRule="exact"/>
        <w:ind w:firstLine="443" w:firstLineChars="147"/>
        <w:rPr>
          <w:rFonts w:hint="eastAsia" w:ascii="宋体"/>
          <w:b/>
          <w:color w:val="auto"/>
          <w:sz w:val="30"/>
          <w:szCs w:val="30"/>
          <w:highlight w:val="none"/>
        </w:rPr>
      </w:pPr>
    </w:p>
    <w:p w14:paraId="14FC7AE2">
      <w:pPr>
        <w:spacing w:line="360" w:lineRule="exact"/>
        <w:ind w:firstLine="443" w:firstLineChars="147"/>
        <w:rPr>
          <w:rFonts w:hint="eastAsia" w:ascii="宋体"/>
          <w:b/>
          <w:color w:val="auto"/>
          <w:sz w:val="30"/>
          <w:szCs w:val="30"/>
          <w:highlight w:val="none"/>
        </w:rPr>
      </w:pPr>
    </w:p>
    <w:p w14:paraId="12A30DB5">
      <w:pPr>
        <w:spacing w:line="360" w:lineRule="exact"/>
        <w:ind w:firstLine="443" w:firstLineChars="147"/>
        <w:rPr>
          <w:rFonts w:hint="eastAsia" w:ascii="宋体"/>
          <w:b/>
          <w:color w:val="auto"/>
          <w:sz w:val="30"/>
          <w:szCs w:val="30"/>
          <w:highlight w:val="none"/>
        </w:rPr>
      </w:pPr>
    </w:p>
    <w:p w14:paraId="201191B9">
      <w:pPr>
        <w:spacing w:line="360" w:lineRule="exact"/>
        <w:ind w:firstLine="443" w:firstLineChars="147"/>
        <w:rPr>
          <w:rFonts w:hint="eastAsia" w:ascii="宋体"/>
          <w:b/>
          <w:color w:val="auto"/>
          <w:sz w:val="30"/>
          <w:szCs w:val="30"/>
          <w:highlight w:val="none"/>
        </w:rPr>
      </w:pPr>
    </w:p>
    <w:p w14:paraId="660D4055">
      <w:pPr>
        <w:spacing w:line="360" w:lineRule="exact"/>
        <w:ind w:firstLine="443" w:firstLineChars="147"/>
        <w:rPr>
          <w:rFonts w:hint="eastAsia" w:ascii="宋体"/>
          <w:b/>
          <w:color w:val="auto"/>
          <w:sz w:val="30"/>
          <w:szCs w:val="30"/>
          <w:highlight w:val="none"/>
        </w:rPr>
      </w:pPr>
    </w:p>
    <w:p w14:paraId="21399F2E">
      <w:pPr>
        <w:spacing w:line="360" w:lineRule="exact"/>
        <w:ind w:firstLine="443" w:firstLineChars="147"/>
        <w:rPr>
          <w:rFonts w:hint="eastAsia" w:ascii="宋体"/>
          <w:b/>
          <w:color w:val="auto"/>
          <w:sz w:val="30"/>
          <w:szCs w:val="30"/>
          <w:highlight w:val="none"/>
        </w:rPr>
      </w:pPr>
    </w:p>
    <w:p w14:paraId="06A2C081">
      <w:pPr>
        <w:rPr>
          <w:rFonts w:hint="eastAsia" w:ascii="宋体"/>
          <w:b/>
          <w:color w:val="auto"/>
          <w:sz w:val="30"/>
          <w:szCs w:val="30"/>
          <w:highlight w:val="none"/>
        </w:rPr>
      </w:pPr>
      <w:r>
        <w:rPr>
          <w:rFonts w:hint="eastAsia" w:ascii="宋体"/>
          <w:b/>
          <w:color w:val="auto"/>
          <w:sz w:val="44"/>
          <w:szCs w:val="44"/>
          <w:highlight w:val="none"/>
          <w:lang w:val="en-US" w:eastAsia="zh-CN"/>
        </w:rPr>
        <w:br w:type="page"/>
      </w:r>
      <w:bookmarkEnd w:id="82"/>
      <w:bookmarkEnd w:id="83"/>
    </w:p>
    <w:p w14:paraId="5E858282">
      <w:pPr>
        <w:spacing w:line="360" w:lineRule="exact"/>
        <w:rPr>
          <w:rFonts w:hint="eastAsia" w:ascii="宋体" w:hAnsi="宋体" w:eastAsia="宋体"/>
          <w:b/>
          <w:color w:val="auto"/>
          <w:sz w:val="30"/>
          <w:szCs w:val="30"/>
          <w:highlight w:val="none"/>
          <w:lang w:eastAsia="zh-CN"/>
        </w:rPr>
      </w:pPr>
      <w:r>
        <w:rPr>
          <w:rFonts w:hint="eastAsia" w:ascii="宋体" w:hAnsi="宋体"/>
          <w:b/>
          <w:color w:val="auto"/>
          <w:sz w:val="30"/>
          <w:szCs w:val="30"/>
          <w:highlight w:val="none"/>
        </w:rPr>
        <w:t>附件</w:t>
      </w:r>
      <w:r>
        <w:rPr>
          <w:rFonts w:hint="eastAsia" w:ascii="宋体" w:hAnsi="宋体"/>
          <w:b/>
          <w:color w:val="auto"/>
          <w:sz w:val="30"/>
          <w:szCs w:val="30"/>
          <w:highlight w:val="none"/>
          <w:lang w:val="en-US" w:eastAsia="zh-CN"/>
        </w:rPr>
        <w:t>3</w:t>
      </w:r>
    </w:p>
    <w:p w14:paraId="23353D38">
      <w:pPr>
        <w:spacing w:line="360" w:lineRule="exact"/>
        <w:ind w:firstLine="531" w:firstLineChars="147"/>
        <w:jc w:val="center"/>
        <w:rPr>
          <w:rFonts w:hint="eastAsia" w:ascii="宋体"/>
          <w:b/>
          <w:color w:val="auto"/>
          <w:sz w:val="36"/>
          <w:szCs w:val="36"/>
          <w:highlight w:val="none"/>
        </w:rPr>
      </w:pPr>
      <w:r>
        <w:rPr>
          <w:rFonts w:hint="eastAsia" w:ascii="宋体"/>
          <w:b/>
          <w:color w:val="auto"/>
          <w:sz w:val="36"/>
          <w:szCs w:val="36"/>
          <w:highlight w:val="none"/>
        </w:rPr>
        <w:t>投  标  函</w:t>
      </w:r>
    </w:p>
    <w:p w14:paraId="13B03063">
      <w:pPr>
        <w:spacing w:line="440" w:lineRule="exact"/>
        <w:rPr>
          <w:rFonts w:hint="eastAsia" w:ascii="宋体"/>
          <w:color w:val="auto"/>
          <w:sz w:val="24"/>
          <w:highlight w:val="none"/>
        </w:rPr>
      </w:pPr>
    </w:p>
    <w:p w14:paraId="7DB4BBAC">
      <w:pPr>
        <w:spacing w:line="500" w:lineRule="exact"/>
        <w:ind w:firstLine="480" w:firstLineChars="200"/>
        <w:jc w:val="left"/>
        <w:rPr>
          <w:rFonts w:hint="eastAsia" w:ascii="宋体" w:hAnsi="宋体" w:cs="宋体"/>
          <w:color w:val="auto"/>
          <w:sz w:val="24"/>
          <w:highlight w:val="none"/>
        </w:rPr>
      </w:pPr>
      <w:r>
        <w:rPr>
          <w:rFonts w:hint="eastAsia" w:ascii="宋体" w:hAnsi="宋体" w:cs="宋体"/>
          <w:color w:val="auto"/>
          <w:sz w:val="24"/>
          <w:highlight w:val="none"/>
        </w:rPr>
        <w:t>1.我们决定参加贵单位组织的“</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rPr>
        <w:t xml:space="preserve">”的采购。我方授权 </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rPr>
        <w:t>姓名和职务</w:t>
      </w:r>
      <w:r>
        <w:rPr>
          <w:rFonts w:hint="eastAsia" w:ascii="宋体" w:hAnsi="宋体" w:cs="宋体"/>
          <w:color w:val="auto"/>
          <w:sz w:val="24"/>
          <w:highlight w:val="none"/>
          <w:lang w:eastAsia="zh-CN"/>
        </w:rPr>
        <w:t>）</w:t>
      </w:r>
      <w:r>
        <w:rPr>
          <w:rFonts w:hint="eastAsia" w:ascii="宋体" w:hAnsi="宋体" w:cs="宋体"/>
          <w:color w:val="auto"/>
          <w:sz w:val="24"/>
          <w:highlight w:val="none"/>
        </w:rPr>
        <w:t>代表我方</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（投标人的名称）全权处理本项目投标的有关事宜。</w:t>
      </w:r>
    </w:p>
    <w:p w14:paraId="0E4FC9EA">
      <w:pPr>
        <w:spacing w:line="440" w:lineRule="exact"/>
        <w:ind w:firstLine="480" w:firstLineChars="200"/>
        <w:rPr>
          <w:rFonts w:hint="default" w:ascii="宋体" w:hAnsi="宋体" w:cs="宋体"/>
          <w:color w:val="auto"/>
          <w:sz w:val="24"/>
          <w:highlight w:val="none"/>
          <w:u w:val="none"/>
          <w:lang w:val="en-US" w:eastAsia="zh-CN"/>
        </w:rPr>
      </w:pPr>
      <w:r>
        <w:rPr>
          <w:rFonts w:hint="eastAsia" w:ascii="宋体" w:hAnsi="宋体" w:cs="宋体"/>
          <w:color w:val="auto"/>
          <w:sz w:val="24"/>
          <w:highlight w:val="none"/>
        </w:rPr>
        <w:t>2.我方愿意按照招标文件规定的各项要求，向</w:t>
      </w:r>
      <w:r>
        <w:rPr>
          <w:rFonts w:hint="eastAsia" w:ascii="宋体" w:hAnsi="宋体" w:cs="宋体"/>
          <w:color w:val="auto"/>
          <w:sz w:val="24"/>
          <w:highlight w:val="none"/>
          <w:lang w:eastAsia="zh-CN"/>
        </w:rPr>
        <w:t>招标人</w:t>
      </w:r>
      <w:r>
        <w:rPr>
          <w:rFonts w:hint="eastAsia" w:ascii="宋体" w:hAnsi="宋体" w:cs="宋体"/>
          <w:color w:val="auto"/>
          <w:sz w:val="24"/>
          <w:highlight w:val="none"/>
        </w:rPr>
        <w:t xml:space="preserve">提供“ </w:t>
      </w:r>
      <w:r>
        <w:rPr>
          <w:rFonts w:hint="eastAsia" w:ascii="宋体" w:hAnsi="宋体" w:cs="宋体"/>
          <w:color w:val="auto"/>
          <w:sz w:val="24"/>
          <w:highlight w:val="none"/>
          <w:u w:val="single"/>
        </w:rPr>
        <w:t xml:space="preserve">  （项目名称  </w:t>
      </w:r>
      <w:r>
        <w:rPr>
          <w:rFonts w:hint="eastAsia" w:ascii="宋体" w:hAnsi="宋体" w:cs="宋体"/>
          <w:color w:val="auto"/>
          <w:sz w:val="24"/>
          <w:highlight w:val="none"/>
          <w:u w:val="single"/>
          <w:lang w:val="en-US" w:eastAsia="zh-CN"/>
        </w:rPr>
        <w:t xml:space="preserve">             </w:t>
      </w:r>
      <w:r>
        <w:rPr>
          <w:rFonts w:hint="eastAsia" w:ascii="宋体" w:hAnsi="宋体" w:cs="宋体"/>
          <w:color w:val="auto"/>
          <w:sz w:val="24"/>
          <w:highlight w:val="none"/>
          <w:u w:val="single"/>
        </w:rPr>
        <w:t xml:space="preserve">   </w:t>
      </w:r>
      <w:r>
        <w:rPr>
          <w:rFonts w:hint="eastAsia" w:ascii="宋体" w:hAnsi="宋体" w:cs="宋体"/>
          <w:color w:val="auto"/>
          <w:sz w:val="24"/>
          <w:highlight w:val="none"/>
        </w:rPr>
        <w:t>”项目的货物与服务，总投标价为人民币（大写）</w:t>
      </w:r>
      <w:r>
        <w:rPr>
          <w:rFonts w:hint="eastAsia" w:ascii="宋体" w:hAnsi="宋体" w:cs="宋体"/>
          <w:color w:val="auto"/>
          <w:sz w:val="24"/>
          <w:highlight w:val="none"/>
          <w:u w:val="single"/>
        </w:rPr>
        <w:t xml:space="preserve">             </w:t>
      </w:r>
      <w:r>
        <w:rPr>
          <w:rFonts w:hint="eastAsia" w:ascii="宋体" w:hAnsi="宋体" w:cs="宋体"/>
          <w:color w:val="auto"/>
          <w:sz w:val="24"/>
          <w:highlight w:val="none"/>
          <w:u w:val="single"/>
          <w:lang w:eastAsia="zh-CN"/>
        </w:rPr>
        <w:t>（</w:t>
      </w:r>
      <w:r>
        <w:rPr>
          <w:rFonts w:hint="eastAsia" w:ascii="宋体" w:hAnsi="宋体" w:cs="宋体"/>
          <w:color w:val="auto"/>
          <w:sz w:val="24"/>
          <w:highlight w:val="none"/>
          <w:u w:val="single"/>
          <w:lang w:val="en-US" w:eastAsia="zh-CN"/>
        </w:rPr>
        <w:t>小写）              元。</w:t>
      </w:r>
      <w:r>
        <w:rPr>
          <w:rFonts w:hint="eastAsia" w:ascii="宋体" w:hAnsi="宋体" w:eastAsia="宋体" w:cs="宋体"/>
          <w:color w:val="auto"/>
          <w:kern w:val="0"/>
          <w:sz w:val="24"/>
          <w:szCs w:val="24"/>
          <w:highlight w:val="none"/>
          <w:u w:val="single"/>
          <w:lang w:val="en-US" w:eastAsia="zh-CN"/>
        </w:rPr>
        <w:t>开具增值税专用发票，税率为    %。</w:t>
      </w:r>
      <w:r>
        <w:rPr>
          <w:rFonts w:hint="eastAsia" w:ascii="宋体" w:hAnsi="宋体" w:cs="宋体"/>
          <w:color w:val="auto"/>
          <w:kern w:val="0"/>
          <w:sz w:val="24"/>
          <w:szCs w:val="24"/>
          <w:highlight w:val="none"/>
          <w:u w:val="none"/>
          <w:lang w:val="en-US" w:eastAsia="zh-CN"/>
        </w:rPr>
        <w:t>（注：投标人需明确增值税发票税率）</w:t>
      </w:r>
    </w:p>
    <w:p w14:paraId="7F4AEFF3">
      <w:pPr>
        <w:spacing w:line="440" w:lineRule="exact"/>
        <w:ind w:firstLine="480" w:firstLineChars="200"/>
        <w:rPr>
          <w:rFonts w:hint="eastAsia" w:ascii="宋体"/>
          <w:color w:val="auto"/>
          <w:sz w:val="24"/>
          <w:highlight w:val="none"/>
        </w:rPr>
      </w:pPr>
      <w:r>
        <w:rPr>
          <w:rFonts w:hint="eastAsia" w:ascii="宋体"/>
          <w:color w:val="auto"/>
          <w:sz w:val="24"/>
          <w:highlight w:val="none"/>
        </w:rPr>
        <w:t>3.一旦我方成为合同签字人，我方将严格履行合同规定的责任和义务。</w:t>
      </w:r>
    </w:p>
    <w:p w14:paraId="068B8949">
      <w:pPr>
        <w:spacing w:line="440" w:lineRule="exact"/>
        <w:ind w:firstLine="480" w:firstLineChars="200"/>
        <w:rPr>
          <w:rFonts w:hint="eastAsia" w:ascii="宋体"/>
          <w:color w:val="auto"/>
          <w:sz w:val="24"/>
          <w:highlight w:val="none"/>
        </w:rPr>
      </w:pPr>
      <w:r>
        <w:rPr>
          <w:rFonts w:hint="eastAsia" w:ascii="宋体"/>
          <w:color w:val="auto"/>
          <w:sz w:val="24"/>
          <w:highlight w:val="none"/>
        </w:rPr>
        <w:t>4.我方愿意提供可能另外要求的、与采购投标有关的文件资料，并保证我方已提供和将要提供的文件是真实的、准确的。</w:t>
      </w:r>
    </w:p>
    <w:p w14:paraId="1767BD79">
      <w:pPr>
        <w:spacing w:line="440" w:lineRule="exact"/>
        <w:ind w:firstLine="480" w:firstLineChars="200"/>
        <w:rPr>
          <w:rFonts w:hint="eastAsia" w:ascii="宋体"/>
          <w:color w:val="auto"/>
          <w:sz w:val="24"/>
          <w:highlight w:val="none"/>
        </w:rPr>
      </w:pPr>
      <w:r>
        <w:rPr>
          <w:rFonts w:hint="eastAsia" w:ascii="宋体"/>
          <w:color w:val="auto"/>
          <w:sz w:val="24"/>
          <w:highlight w:val="none"/>
        </w:rPr>
        <w:t>5、投标有效期为</w:t>
      </w:r>
      <w:r>
        <w:rPr>
          <w:rFonts w:hint="eastAsia" w:ascii="宋体"/>
          <w:color w:val="auto"/>
          <w:sz w:val="24"/>
          <w:highlight w:val="none"/>
          <w:u w:val="single"/>
        </w:rPr>
        <w:t xml:space="preserve"> </w:t>
      </w:r>
      <w:r>
        <w:rPr>
          <w:rFonts w:hint="eastAsia" w:ascii="宋体"/>
          <w:color w:val="auto"/>
          <w:sz w:val="24"/>
          <w:highlight w:val="none"/>
          <w:u w:val="single"/>
          <w:lang w:val="en-US" w:eastAsia="zh-CN"/>
        </w:rPr>
        <w:t>60</w:t>
      </w:r>
      <w:r>
        <w:rPr>
          <w:rFonts w:hint="eastAsia" w:ascii="宋体"/>
          <w:color w:val="auto"/>
          <w:sz w:val="24"/>
          <w:highlight w:val="none"/>
          <w:u w:val="single"/>
        </w:rPr>
        <w:t xml:space="preserve"> </w:t>
      </w:r>
      <w:r>
        <w:rPr>
          <w:rFonts w:hint="eastAsia" w:ascii="宋体"/>
          <w:color w:val="auto"/>
          <w:sz w:val="24"/>
          <w:highlight w:val="none"/>
        </w:rPr>
        <w:t>日历天（从投标截止之日算起）。</w:t>
      </w:r>
    </w:p>
    <w:p w14:paraId="6B196070">
      <w:pPr>
        <w:spacing w:line="440" w:lineRule="exact"/>
        <w:ind w:firstLine="480" w:firstLineChars="200"/>
        <w:rPr>
          <w:rFonts w:hint="eastAsia" w:ascii="宋体"/>
          <w:color w:val="auto"/>
          <w:sz w:val="24"/>
          <w:highlight w:val="none"/>
        </w:rPr>
      </w:pPr>
      <w:r>
        <w:rPr>
          <w:rFonts w:hint="eastAsia" w:ascii="宋体"/>
          <w:color w:val="auto"/>
          <w:sz w:val="24"/>
          <w:highlight w:val="none"/>
        </w:rPr>
        <w:t>6、我单位提供如下通讯地址：</w:t>
      </w:r>
      <w:r>
        <w:rPr>
          <w:rFonts w:hint="eastAsia" w:ascii="宋体"/>
          <w:color w:val="auto"/>
          <w:sz w:val="24"/>
          <w:highlight w:val="none"/>
          <w:u w:val="single"/>
        </w:rPr>
        <w:t xml:space="preserve">                电子邮箱（地址）</w:t>
      </w:r>
      <w:r>
        <w:rPr>
          <w:rFonts w:hint="eastAsia" w:ascii="宋体"/>
          <w:color w:val="auto"/>
          <w:sz w:val="24"/>
          <w:highlight w:val="none"/>
        </w:rPr>
        <w:t>，确认本项目相关法律文书均通过提供的以上地址送达，相关文书只要发送至以上电子邮箱（地址）即视为送达，投标人愿意承担一切法律后果。</w:t>
      </w:r>
    </w:p>
    <w:p w14:paraId="3534B0DE">
      <w:pPr>
        <w:spacing w:line="440" w:lineRule="exact"/>
        <w:rPr>
          <w:rFonts w:hint="eastAsia" w:ascii="宋体"/>
          <w:color w:val="auto"/>
          <w:sz w:val="24"/>
          <w:highlight w:val="none"/>
        </w:rPr>
      </w:pPr>
      <w:r>
        <w:rPr>
          <w:rFonts w:hint="eastAsia" w:ascii="宋体"/>
          <w:color w:val="auto"/>
          <w:sz w:val="24"/>
          <w:highlight w:val="none"/>
        </w:rPr>
        <w:t> </w:t>
      </w:r>
    </w:p>
    <w:p w14:paraId="347EA830">
      <w:pPr>
        <w:spacing w:line="440" w:lineRule="exact"/>
        <w:jc w:val="right"/>
        <w:rPr>
          <w:rFonts w:hint="eastAsia" w:ascii="宋体"/>
          <w:color w:val="auto"/>
          <w:sz w:val="24"/>
          <w:highlight w:val="none"/>
        </w:rPr>
      </w:pPr>
      <w:r>
        <w:rPr>
          <w:rFonts w:hint="eastAsia" w:ascii="宋体"/>
          <w:color w:val="auto"/>
          <w:sz w:val="24"/>
          <w:highlight w:val="none"/>
        </w:rPr>
        <w:t>投标人名称：</w:t>
      </w:r>
      <w:r>
        <w:rPr>
          <w:rFonts w:hint="eastAsia" w:ascii="宋体"/>
          <w:color w:val="auto"/>
          <w:sz w:val="24"/>
          <w:highlight w:val="none"/>
          <w:u w:val="single"/>
        </w:rPr>
        <w:t xml:space="preserve">                        </w:t>
      </w:r>
      <w:r>
        <w:rPr>
          <w:rFonts w:hint="eastAsia" w:ascii="宋体"/>
          <w:color w:val="auto"/>
          <w:sz w:val="24"/>
          <w:highlight w:val="none"/>
        </w:rPr>
        <w:t>（盖单位章）</w:t>
      </w:r>
    </w:p>
    <w:p w14:paraId="73911EDE">
      <w:pPr>
        <w:spacing w:line="440" w:lineRule="exact"/>
        <w:jc w:val="right"/>
        <w:rPr>
          <w:rFonts w:hint="eastAsia" w:ascii="宋体"/>
          <w:color w:val="auto"/>
          <w:sz w:val="24"/>
          <w:highlight w:val="none"/>
        </w:rPr>
      </w:pPr>
    </w:p>
    <w:p w14:paraId="2EE797F5">
      <w:pPr>
        <w:spacing w:line="440" w:lineRule="exact"/>
        <w:jc w:val="right"/>
        <w:rPr>
          <w:rFonts w:hint="eastAsia" w:ascii="宋体"/>
          <w:color w:val="auto"/>
          <w:sz w:val="24"/>
          <w:highlight w:val="none"/>
        </w:rPr>
      </w:pPr>
      <w:r>
        <w:rPr>
          <w:rFonts w:hint="eastAsia" w:ascii="宋体"/>
          <w:color w:val="auto"/>
          <w:sz w:val="24"/>
          <w:highlight w:val="none"/>
        </w:rPr>
        <w:t>投标人法定代表人：</w:t>
      </w:r>
      <w:r>
        <w:rPr>
          <w:rFonts w:hint="eastAsia" w:ascii="宋体"/>
          <w:color w:val="auto"/>
          <w:sz w:val="24"/>
          <w:highlight w:val="none"/>
          <w:u w:val="single"/>
        </w:rPr>
        <w:t xml:space="preserve">                      </w:t>
      </w:r>
      <w:r>
        <w:rPr>
          <w:rFonts w:hint="eastAsia" w:ascii="宋体"/>
          <w:color w:val="auto"/>
          <w:sz w:val="24"/>
          <w:highlight w:val="none"/>
        </w:rPr>
        <w:t>（</w:t>
      </w:r>
      <w:r>
        <w:rPr>
          <w:rFonts w:hint="eastAsia" w:ascii="宋体"/>
          <w:color w:val="auto"/>
          <w:sz w:val="24"/>
          <w:highlight w:val="none"/>
          <w:lang w:val="en-US" w:eastAsia="zh-CN"/>
        </w:rPr>
        <w:t>签字或盖章</w:t>
      </w:r>
      <w:r>
        <w:rPr>
          <w:rFonts w:hint="eastAsia" w:ascii="宋体"/>
          <w:color w:val="auto"/>
          <w:sz w:val="24"/>
          <w:highlight w:val="none"/>
        </w:rPr>
        <w:t>）</w:t>
      </w:r>
    </w:p>
    <w:p w14:paraId="687FB852">
      <w:pPr>
        <w:spacing w:line="440" w:lineRule="exact"/>
        <w:ind w:firstLine="2520" w:firstLineChars="1050"/>
        <w:rPr>
          <w:rFonts w:hint="eastAsia" w:ascii="宋体"/>
          <w:color w:val="auto"/>
          <w:sz w:val="24"/>
          <w:highlight w:val="none"/>
        </w:rPr>
      </w:pPr>
      <w:r>
        <w:rPr>
          <w:rFonts w:hint="eastAsia" w:ascii="宋体"/>
          <w:color w:val="auto"/>
          <w:sz w:val="24"/>
          <w:highlight w:val="none"/>
        </w:rPr>
        <w:t>日    期：</w:t>
      </w:r>
      <w:r>
        <w:rPr>
          <w:rFonts w:hint="eastAsia" w:ascii="宋体"/>
          <w:color w:val="auto"/>
          <w:sz w:val="24"/>
          <w:highlight w:val="none"/>
          <w:u w:val="single"/>
        </w:rPr>
        <w:t xml:space="preserve">                 </w:t>
      </w:r>
    </w:p>
    <w:p w14:paraId="125508D2">
      <w:pPr>
        <w:spacing w:line="440" w:lineRule="exact"/>
        <w:ind w:firstLine="2520" w:firstLineChars="1050"/>
        <w:rPr>
          <w:rFonts w:hint="eastAsia" w:ascii="宋体"/>
          <w:color w:val="auto"/>
          <w:sz w:val="24"/>
          <w:highlight w:val="none"/>
        </w:rPr>
      </w:pPr>
      <w:r>
        <w:rPr>
          <w:rFonts w:hint="eastAsia" w:ascii="宋体"/>
          <w:color w:val="auto"/>
          <w:sz w:val="24"/>
          <w:highlight w:val="none"/>
        </w:rPr>
        <w:t>通讯地址：</w:t>
      </w:r>
      <w:r>
        <w:rPr>
          <w:rFonts w:hint="eastAsia" w:ascii="宋体"/>
          <w:color w:val="auto"/>
          <w:sz w:val="24"/>
          <w:highlight w:val="none"/>
          <w:u w:val="single"/>
        </w:rPr>
        <w:t xml:space="preserve">                 </w:t>
      </w:r>
    </w:p>
    <w:p w14:paraId="024B6B03">
      <w:pPr>
        <w:spacing w:line="440" w:lineRule="exact"/>
        <w:ind w:firstLine="2520" w:firstLineChars="1050"/>
        <w:rPr>
          <w:rFonts w:hint="eastAsia" w:ascii="宋体"/>
          <w:color w:val="auto"/>
          <w:sz w:val="24"/>
          <w:highlight w:val="none"/>
        </w:rPr>
      </w:pPr>
      <w:r>
        <w:rPr>
          <w:rFonts w:hint="eastAsia" w:ascii="宋体"/>
          <w:color w:val="auto"/>
          <w:sz w:val="24"/>
          <w:highlight w:val="none"/>
        </w:rPr>
        <w:t>电    话：</w:t>
      </w:r>
      <w:r>
        <w:rPr>
          <w:rFonts w:hint="eastAsia" w:ascii="宋体"/>
          <w:color w:val="auto"/>
          <w:sz w:val="24"/>
          <w:highlight w:val="none"/>
          <w:u w:val="single"/>
        </w:rPr>
        <w:t xml:space="preserve">                 </w:t>
      </w:r>
    </w:p>
    <w:p w14:paraId="341AF316">
      <w:pPr>
        <w:ind w:right="-178" w:rightChars="-85" w:firstLine="2520" w:firstLineChars="1050"/>
        <w:rPr>
          <w:rFonts w:hint="eastAsia" w:ascii="宋体"/>
          <w:color w:val="auto"/>
          <w:sz w:val="24"/>
          <w:highlight w:val="none"/>
          <w:u w:val="single"/>
        </w:rPr>
      </w:pPr>
      <w:r>
        <w:rPr>
          <w:rFonts w:hint="eastAsia" w:ascii="宋体"/>
          <w:color w:val="auto"/>
          <w:sz w:val="24"/>
          <w:highlight w:val="none"/>
        </w:rPr>
        <w:t>传    真：</w:t>
      </w:r>
      <w:r>
        <w:rPr>
          <w:rFonts w:hint="eastAsia" w:ascii="宋体"/>
          <w:color w:val="auto"/>
          <w:sz w:val="24"/>
          <w:highlight w:val="none"/>
          <w:u w:val="single"/>
        </w:rPr>
        <w:t xml:space="preserve">                 </w:t>
      </w:r>
    </w:p>
    <w:p w14:paraId="20C9FE22">
      <w:pPr>
        <w:spacing w:line="360" w:lineRule="exact"/>
        <w:rPr>
          <w:rFonts w:hint="eastAsia" w:ascii="宋体"/>
          <w:b/>
          <w:color w:val="auto"/>
          <w:sz w:val="28"/>
          <w:szCs w:val="28"/>
          <w:highlight w:val="none"/>
        </w:rPr>
      </w:pPr>
    </w:p>
    <w:bookmarkEnd w:id="0"/>
    <w:bookmarkEnd w:id="77"/>
    <w:bookmarkEnd w:id="78"/>
    <w:p w14:paraId="7CFD80ED">
      <w:pPr>
        <w:rPr>
          <w:color w:val="auto"/>
          <w:highlight w:val="none"/>
        </w:rPr>
      </w:pPr>
    </w:p>
    <w:sectPr>
      <w:headerReference r:id="rId10" w:type="default"/>
      <w:footerReference r:id="rId11" w:type="default"/>
      <w:pgSz w:w="11906" w:h="16838"/>
      <w:pgMar w:top="1440" w:right="1800" w:bottom="1440" w:left="1600"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Calibri Light">
    <w:panose1 w:val="020F0302020204030204"/>
    <w:charset w:val="00"/>
    <w:family w:val="swiss"/>
    <w:pitch w:val="default"/>
    <w:sig w:usb0="E4002EFF" w:usb1="C200247B" w:usb2="00000009" w:usb3="00000000" w:csb0="200001FF" w:csb1="00000000"/>
  </w:font>
  <w:font w:name="楷体_GB2312">
    <w:panose1 w:val="02010609030101010101"/>
    <w:charset w:val="86"/>
    <w:family w:val="auto"/>
    <w:pitch w:val="default"/>
    <w:sig w:usb0="00000001" w:usb1="080E0000" w:usb2="00000000" w:usb3="00000000" w:csb0="00040000" w:csb1="00000000"/>
  </w:font>
  <w:font w:name="monospace">
    <w:altName w:val="Segoe Print"/>
    <w:panose1 w:val="00000000000000000000"/>
    <w:charset w:val="00"/>
    <w:family w:val="auto"/>
    <w:pitch w:val="default"/>
    <w:sig w:usb0="00000000" w:usb1="00000000" w:usb2="00000000" w:usb3="00000000" w:csb0="00040001" w:csb1="00000000"/>
  </w:font>
  <w:font w:name="Segoe Print">
    <w:panose1 w:val="02000600000000000000"/>
    <w:charset w:val="00"/>
    <w:family w:val="auto"/>
    <w:pitch w:val="default"/>
    <w:sig w:usb0="0000028F" w:usb1="00000000" w:usb2="00000000" w:usb3="00000000" w:csb0="2000009F" w:csb1="47010000"/>
  </w:font>
  <w:font w:name="DokChampa">
    <w:altName w:val="Leelawadee UI"/>
    <w:panose1 w:val="020B0604020202020204"/>
    <w:charset w:val="00"/>
    <w:family w:val="swiss"/>
    <w:pitch w:val="default"/>
    <w:sig w:usb0="00000000" w:usb1="00000000" w:usb2="00000000" w:usb3="00000000" w:csb0="40010001" w:csb1="00000000"/>
  </w:font>
  <w:font w:name="Leelawadee UI">
    <w:panose1 w:val="020B0502040204020203"/>
    <w:charset w:val="00"/>
    <w:family w:val="auto"/>
    <w:pitch w:val="default"/>
    <w:sig w:usb0="83000003" w:usb1="00000000" w:usb2="00010000" w:usb3="00000001" w:csb0="00010101" w:csb1="00000000"/>
  </w:font>
  <w:font w:name="Verdana">
    <w:panose1 w:val="020B0604030504040204"/>
    <w:charset w:val="00"/>
    <w:family w:val="swiss"/>
    <w:pitch w:val="default"/>
    <w:sig w:usb0="A00006FF" w:usb1="4000205B" w:usb2="00000010" w:usb3="00000000" w:csb0="2000019F" w:csb1="00000000"/>
  </w:font>
  <w:font w:name="Tahoma">
    <w:panose1 w:val="020B0604030504040204"/>
    <w:charset w:val="00"/>
    <w:family w:val="swiss"/>
    <w:pitch w:val="default"/>
    <w:sig w:usb0="E1002EFF" w:usb1="C000605B" w:usb2="00000029" w:usb3="00000000" w:csb0="200101FF" w:csb1="20280000"/>
  </w:font>
  <w:font w:name="Arial Unicode MS">
    <w:altName w:val="宋体"/>
    <w:panose1 w:val="020B0604020202020204"/>
    <w:charset w:val="86"/>
    <w:family w:val="roman"/>
    <w:pitch w:val="default"/>
    <w:sig w:usb0="00000000" w:usb1="00000000" w:usb2="0000003F" w:usb3="00000000" w:csb0="603F01FF" w:csb1="FFFF0000"/>
  </w:font>
  <w:font w:name="Times">
    <w:altName w:val="Times New Roman"/>
    <w:panose1 w:val="02020603050405020304"/>
    <w:charset w:val="00"/>
    <w:family w:val="roman"/>
    <w:pitch w:val="default"/>
    <w:sig w:usb0="00000000" w:usb1="00000000" w:usb2="00000009" w:usb3="00000000" w:csb0="000001FF" w:csb1="00000000"/>
  </w:font>
  <w:font w:name="宋体-18030">
    <w:altName w:val="宋体"/>
    <w:panose1 w:val="02010609060101010101"/>
    <w:charset w:val="86"/>
    <w:family w:val="modern"/>
    <w:pitch w:val="default"/>
    <w:sig w:usb0="00000000" w:usb1="00000000" w:usb2="000A005E"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3893CA">
    <w:pPr>
      <w:pStyle w:val="23"/>
      <w:tabs>
        <w:tab w:val="clear" w:pos="4153"/>
        <w:tab w:val="clear" w:pos="8306"/>
      </w:tabs>
      <w:rPr>
        <w:rFonts w:hint="eastAsi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F68C98D">
    <w:pPr>
      <w:pStyle w:val="23"/>
      <w:framePr w:wrap="around" w:vAnchor="text" w:hAnchor="margin" w:xAlign="center" w:y="1"/>
      <w:tabs>
        <w:tab w:val="clear" w:pos="4153"/>
        <w:tab w:val="clear" w:pos="8306"/>
      </w:tabs>
      <w:rPr>
        <w:rStyle w:val="39"/>
      </w:rPr>
    </w:pPr>
    <w:r>
      <w:fldChar w:fldCharType="begin"/>
    </w:r>
    <w:r>
      <w:rPr>
        <w:rStyle w:val="39"/>
      </w:rPr>
      <w:instrText xml:space="preserve">PAGE  </w:instrText>
    </w:r>
    <w:r>
      <w:fldChar w:fldCharType="separate"/>
    </w:r>
    <w:r>
      <w:t xml:space="preserve"> </w:t>
    </w:r>
    <w:r>
      <w:fldChar w:fldCharType="end"/>
    </w:r>
  </w:p>
  <w:p w14:paraId="72930192">
    <w:pPr>
      <w:pStyle w:val="23"/>
      <w:tabs>
        <w:tab w:val="clear" w:pos="4153"/>
        <w:tab w:val="clear" w:pos="8306"/>
      </w:tabs>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FCEF4EC">
    <w:pPr>
      <w:pStyle w:val="23"/>
      <w:framePr w:wrap="around" w:vAnchor="text" w:hAnchor="margin" w:xAlign="center" w:y="1"/>
      <w:tabs>
        <w:tab w:val="clear" w:pos="4153"/>
        <w:tab w:val="clear" w:pos="8306"/>
      </w:tabs>
      <w:rPr>
        <w:rStyle w:val="39"/>
        <w:rFonts w:hint="eastAsia"/>
      </w:rPr>
    </w:pPr>
  </w:p>
  <w:p w14:paraId="4E2F41FC">
    <w:pPr>
      <w:pStyle w:val="23"/>
      <w:tabs>
        <w:tab w:val="clear" w:pos="4153"/>
        <w:tab w:val="clear" w:pos="8306"/>
      </w:tabs>
      <w:rPr>
        <w:rFonts w:hint="eastAsia"/>
        <w:szCs w:val="21"/>
      </w:rPr>
    </w:pPr>
  </w:p>
  <w:p w14:paraId="00C9D172">
    <w:pPr>
      <w:pStyle w:val="23"/>
      <w:tabs>
        <w:tab w:val="clear" w:pos="4153"/>
        <w:tab w:val="clear" w:pos="8306"/>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EC170">
    <w:pPr>
      <w:pStyle w:val="23"/>
      <w:tabs>
        <w:tab w:val="clear" w:pos="4153"/>
        <w:tab w:val="clear" w:pos="8306"/>
      </w:tabs>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2277F78">
                          <w:pPr>
                            <w:pStyle w:val="23"/>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2277F78">
                    <w:pPr>
                      <w:pStyle w:val="23"/>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C6825">
    <w:pPr>
      <w:pStyle w:val="23"/>
      <w:tabs>
        <w:tab w:val="clear" w:pos="4153"/>
        <w:tab w:val="clear" w:pos="8306"/>
      </w:tabs>
    </w:pPr>
    <w:r>
      <w:rPr>
        <w:sz w:val="18"/>
      </w:rPr>
      <mc:AlternateContent>
        <mc:Choice Requires="wps">
          <w:drawing>
            <wp:anchor distT="0" distB="0" distL="114300" distR="114300" simplePos="0" relativeHeight="251660288" behindDoc="0" locked="0" layoutInCell="1" allowOverlap="1">
              <wp:simplePos x="0" y="0"/>
              <wp:positionH relativeFrom="margin">
                <wp:align>right</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34272C1">
                          <w:pPr>
                            <w:pStyle w:val="23"/>
                          </w:pPr>
                          <w:r>
                            <w:fldChar w:fldCharType="begin"/>
                          </w:r>
                          <w:r>
                            <w:instrText xml:space="preserve"> PAGE  \* MERGEFORMAT </w:instrText>
                          </w:r>
                          <w:r>
                            <w:fldChar w:fldCharType="separate"/>
                          </w:r>
                          <w:r>
                            <w:t>23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534272C1">
                    <w:pPr>
                      <w:pStyle w:val="23"/>
                    </w:pPr>
                    <w:r>
                      <w:fldChar w:fldCharType="begin"/>
                    </w:r>
                    <w:r>
                      <w:instrText xml:space="preserve"> PAGE  \* MERGEFORMAT </w:instrText>
                    </w:r>
                    <w:r>
                      <w:fldChar w:fldCharType="separate"/>
                    </w:r>
                    <w:r>
                      <w:t>23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4B94D35">
    <w:pPr>
      <w:pStyle w:val="24"/>
      <w:pBdr>
        <w:bottom w:val="none" w:color="auto" w:sz="0" w:space="0"/>
      </w:pBdr>
      <w:tabs>
        <w:tab w:val="clear" w:pos="4153"/>
        <w:tab w:val="clear"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112E6F9">
    <w:pPr>
      <w:pStyle w:val="24"/>
      <w:pBdr>
        <w:bottom w:val="none" w:color="auto" w:sz="0" w:space="0"/>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CDA03F">
    <w:pPr>
      <w:pStyle w:val="24"/>
      <w:pBdr>
        <w:bottom w:val="none" w:color="auto" w:sz="0" w:space="0"/>
      </w:pBdr>
      <w:tabs>
        <w:tab w:val="clear" w:pos="4153"/>
        <w:tab w:val="clear"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CADC3CD">
    <w:pPr>
      <w:pStyle w:val="24"/>
      <w:pBdr>
        <w:bottom w:val="none" w:color="auto" w:sz="0" w:space="0"/>
      </w:pBdr>
      <w:tabs>
        <w:tab w:val="clear" w:pos="4153"/>
        <w:tab w:val="clear" w:pos="8306"/>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68E8E43"/>
    <w:multiLevelType w:val="singleLevel"/>
    <w:tmpl w:val="868E8E43"/>
    <w:lvl w:ilvl="0" w:tentative="0">
      <w:start w:val="11"/>
      <w:numFmt w:val="decimal"/>
      <w:suff w:val="space"/>
      <w:lvlText w:val="%1."/>
      <w:lvlJc w:val="left"/>
    </w:lvl>
  </w:abstractNum>
  <w:abstractNum w:abstractNumId="1">
    <w:nsid w:val="00000019"/>
    <w:multiLevelType w:val="multilevel"/>
    <w:tmpl w:val="00000019"/>
    <w:lvl w:ilvl="0" w:tentative="0">
      <w:start w:val="1"/>
      <w:numFmt w:val="chineseCountingThousand"/>
      <w:pStyle w:val="117"/>
      <w:suff w:val="space"/>
      <w:lvlText w:val="%1、"/>
      <w:lvlJc w:val="left"/>
      <w:pPr>
        <w:ind w:left="425" w:hanging="425"/>
      </w:pPr>
      <w:rPr>
        <w:rFonts w:hint="eastAsia"/>
      </w:rPr>
    </w:lvl>
    <w:lvl w:ilvl="1" w:tentative="0">
      <w:start w:val="1"/>
      <w:numFmt w:val="decimal"/>
      <w:lvlRestart w:val="0"/>
      <w:suff w:val="space"/>
      <w:lvlText w:val="%2、"/>
      <w:lvlJc w:val="left"/>
      <w:pPr>
        <w:ind w:left="454" w:hanging="454"/>
      </w:pPr>
      <w:rPr>
        <w:rFonts w:hint="eastAsia"/>
      </w:rPr>
    </w:lvl>
    <w:lvl w:ilvl="2" w:tentative="0">
      <w:start w:val="1"/>
      <w:numFmt w:val="decimal"/>
      <w:lvlRestart w:val="0"/>
      <w:suff w:val="space"/>
      <w:lvlText w:val="%2.%3"/>
      <w:lvlJc w:val="left"/>
      <w:pPr>
        <w:ind w:left="454" w:hanging="454"/>
      </w:pPr>
      <w:rPr>
        <w:rFonts w:hint="default" w:ascii="Cambria" w:hAnsi="Cambria"/>
      </w:rPr>
    </w:lvl>
    <w:lvl w:ilvl="3" w:tentative="0">
      <w:start w:val="1"/>
      <w:numFmt w:val="decimal"/>
      <w:lvlText w:val="%2.%3.%4"/>
      <w:lvlJc w:val="left"/>
      <w:pPr>
        <w:ind w:left="454" w:hanging="454"/>
      </w:pPr>
      <w:rPr>
        <w:rFonts w:hint="eastAsia"/>
      </w:rPr>
    </w:lvl>
    <w:lvl w:ilvl="4" w:tentative="0">
      <w:start w:val="1"/>
      <w:numFmt w:val="decimal"/>
      <w:lvlText w:val="%2.%3.%4.%5"/>
      <w:lvlJc w:val="left"/>
      <w:pPr>
        <w:ind w:left="454" w:hanging="454"/>
      </w:pPr>
      <w:rPr>
        <w:rFonts w:hint="eastAsia"/>
      </w:rPr>
    </w:lvl>
    <w:lvl w:ilvl="5" w:tentative="0">
      <w:start w:val="1"/>
      <w:numFmt w:val="decimal"/>
      <w:lvlText w:val="%1.%2.%3.%4.%5.%6"/>
      <w:lvlJc w:val="left"/>
      <w:pPr>
        <w:ind w:left="2550" w:hanging="425"/>
      </w:pPr>
      <w:rPr>
        <w:rFonts w:hint="eastAsia"/>
      </w:rPr>
    </w:lvl>
    <w:lvl w:ilvl="6" w:tentative="0">
      <w:start w:val="1"/>
      <w:numFmt w:val="decimal"/>
      <w:lvlText w:val="%1.%2.%3.%4.%5.%6.%7"/>
      <w:lvlJc w:val="left"/>
      <w:pPr>
        <w:ind w:left="2975" w:hanging="425"/>
      </w:pPr>
      <w:rPr>
        <w:rFonts w:hint="eastAsia"/>
      </w:rPr>
    </w:lvl>
    <w:lvl w:ilvl="7" w:tentative="0">
      <w:start w:val="1"/>
      <w:numFmt w:val="decimal"/>
      <w:lvlText w:val="%1.%2.%3.%4.%5.%6.%7.%8"/>
      <w:lvlJc w:val="left"/>
      <w:pPr>
        <w:ind w:left="3400" w:hanging="425"/>
      </w:pPr>
      <w:rPr>
        <w:rFonts w:hint="eastAsia"/>
      </w:rPr>
    </w:lvl>
    <w:lvl w:ilvl="8" w:tentative="0">
      <w:start w:val="1"/>
      <w:numFmt w:val="decimal"/>
      <w:lvlText w:val="%1.%2.%3.%4.%5.%6.%7.%8.%9"/>
      <w:lvlJc w:val="left"/>
      <w:pPr>
        <w:ind w:left="3825" w:hanging="425"/>
      </w:pPr>
      <w:rPr>
        <w:rFonts w:hint="eastAsia"/>
      </w:rPr>
    </w:lvl>
  </w:abstractNum>
  <w:abstractNum w:abstractNumId="2">
    <w:nsid w:val="18995355"/>
    <w:multiLevelType w:val="multilevel"/>
    <w:tmpl w:val="18995355"/>
    <w:lvl w:ilvl="0" w:tentative="0">
      <w:start w:val="1"/>
      <w:numFmt w:val="decimal"/>
      <w:pStyle w:val="102"/>
      <w:lvlText w:val="（%1）"/>
      <w:lvlJc w:val="left"/>
      <w:pPr>
        <w:ind w:left="840" w:hanging="420"/>
      </w:pPr>
      <w:rPr>
        <w:rFonts w:hint="eastAsia"/>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abstractNum w:abstractNumId="3">
    <w:nsid w:val="2323379E"/>
    <w:multiLevelType w:val="multilevel"/>
    <w:tmpl w:val="2323379E"/>
    <w:lvl w:ilvl="0" w:tentative="0">
      <w:start w:val="1"/>
      <w:numFmt w:val="chineseCountingThousand"/>
      <w:pStyle w:val="32"/>
      <w:lvlText w:val="%1、"/>
      <w:lvlJc w:val="left"/>
      <w:pPr>
        <w:ind w:left="420" w:hanging="42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26857717"/>
    <w:multiLevelType w:val="multilevel"/>
    <w:tmpl w:val="26857717"/>
    <w:lvl w:ilvl="0" w:tentative="0">
      <w:start w:val="1"/>
      <w:numFmt w:val="chineseCountingThousand"/>
      <w:pStyle w:val="100"/>
      <w:lvlText w:val="%1、"/>
      <w:lvlJc w:val="left"/>
      <w:pPr>
        <w:tabs>
          <w:tab w:val="left" w:pos="425"/>
        </w:tabs>
        <w:ind w:left="425" w:hanging="425"/>
      </w:pPr>
      <w:rPr>
        <w:rFonts w:hint="eastAsia" w:cs="Times New Roman"/>
      </w:rPr>
    </w:lvl>
    <w:lvl w:ilvl="1" w:tentative="0">
      <w:start w:val="1"/>
      <w:numFmt w:val="decimal"/>
      <w:isLgl/>
      <w:lvlText w:val="%1.%2"/>
      <w:lvlJc w:val="left"/>
      <w:pPr>
        <w:tabs>
          <w:tab w:val="left" w:pos="567"/>
        </w:tabs>
        <w:ind w:left="567" w:hanging="567"/>
      </w:pPr>
      <w:rPr>
        <w:rFonts w:hint="default" w:ascii="Arial" w:hAnsi="Arial" w:cs="Arial"/>
      </w:rPr>
    </w:lvl>
    <w:lvl w:ilvl="2" w:tentative="0">
      <w:start w:val="1"/>
      <w:numFmt w:val="decimal"/>
      <w:isLgl/>
      <w:lvlText w:val="%1.%2.%3"/>
      <w:lvlJc w:val="left"/>
      <w:pPr>
        <w:tabs>
          <w:tab w:val="left" w:pos="1069"/>
        </w:tabs>
        <w:ind w:left="1069" w:hanging="709"/>
      </w:pPr>
      <w:rPr>
        <w:rFonts w:hint="default" w:ascii="Arial" w:hAnsi="Arial" w:cs="Arial"/>
      </w:rPr>
    </w:lvl>
    <w:lvl w:ilvl="3" w:tentative="0">
      <w:start w:val="1"/>
      <w:numFmt w:val="decimal"/>
      <w:isLgl/>
      <w:lvlText w:val="%1.%2.%3.%4"/>
      <w:lvlJc w:val="left"/>
      <w:pPr>
        <w:tabs>
          <w:tab w:val="left" w:pos="1080"/>
        </w:tabs>
        <w:ind w:left="851" w:hanging="851"/>
      </w:pPr>
      <w:rPr>
        <w:rFonts w:hint="default" w:ascii="Arial" w:hAnsi="Arial" w:cs="Arial"/>
        <w:sz w:val="24"/>
        <w:szCs w:val="24"/>
      </w:rPr>
    </w:lvl>
    <w:lvl w:ilvl="4" w:tentative="0">
      <w:start w:val="1"/>
      <w:numFmt w:val="decimal"/>
      <w:isLgl/>
      <w:lvlText w:val="%1.%2.%3.%4.%5"/>
      <w:lvlJc w:val="left"/>
      <w:pPr>
        <w:tabs>
          <w:tab w:val="left" w:pos="1440"/>
        </w:tabs>
        <w:ind w:left="992" w:hanging="992"/>
      </w:pPr>
      <w:rPr>
        <w:rFonts w:hint="eastAsia" w:cs="Times New Roman"/>
      </w:rPr>
    </w:lvl>
    <w:lvl w:ilvl="5" w:tentative="0">
      <w:start w:val="1"/>
      <w:numFmt w:val="decimal"/>
      <w:isLgl/>
      <w:lvlText w:val="%1.%2.%3.%4.%5.%6"/>
      <w:lvlJc w:val="left"/>
      <w:pPr>
        <w:tabs>
          <w:tab w:val="left" w:pos="1440"/>
        </w:tabs>
        <w:ind w:left="1134" w:hanging="1134"/>
      </w:pPr>
      <w:rPr>
        <w:rFonts w:hint="eastAsia" w:cs="Times New Roman"/>
      </w:rPr>
    </w:lvl>
    <w:lvl w:ilvl="6" w:tentative="0">
      <w:start w:val="1"/>
      <w:numFmt w:val="decimal"/>
      <w:isLgl/>
      <w:lvlText w:val="%1.%2.%3.%4.%5.%6.%7"/>
      <w:lvlJc w:val="left"/>
      <w:pPr>
        <w:tabs>
          <w:tab w:val="left" w:pos="1800"/>
        </w:tabs>
        <w:ind w:left="1276" w:hanging="1276"/>
      </w:pPr>
      <w:rPr>
        <w:rFonts w:hint="eastAsia" w:cs="Times New Roman"/>
      </w:rPr>
    </w:lvl>
    <w:lvl w:ilvl="7" w:tentative="0">
      <w:start w:val="1"/>
      <w:numFmt w:val="decimal"/>
      <w:isLgl/>
      <w:lvlText w:val="%1.%2.%3.%4.%5.%6.%7.%8"/>
      <w:lvlJc w:val="left"/>
      <w:pPr>
        <w:tabs>
          <w:tab w:val="left" w:pos="1800"/>
        </w:tabs>
        <w:ind w:left="1418" w:hanging="1418"/>
      </w:pPr>
      <w:rPr>
        <w:rFonts w:hint="eastAsia" w:cs="Times New Roman"/>
      </w:rPr>
    </w:lvl>
    <w:lvl w:ilvl="8" w:tentative="0">
      <w:start w:val="1"/>
      <w:numFmt w:val="decimal"/>
      <w:isLgl/>
      <w:lvlText w:val="%1.%2.%3.%4.%5.%6.%7.%8.%9"/>
      <w:lvlJc w:val="left"/>
      <w:pPr>
        <w:tabs>
          <w:tab w:val="left" w:pos="2160"/>
        </w:tabs>
        <w:ind w:left="1559" w:hanging="1559"/>
      </w:pPr>
      <w:rPr>
        <w:rFonts w:hint="eastAsia" w:cs="Times New Roman"/>
      </w:rPr>
    </w:lvl>
  </w:abstractNum>
  <w:abstractNum w:abstractNumId="5">
    <w:nsid w:val="26F2549E"/>
    <w:multiLevelType w:val="multilevel"/>
    <w:tmpl w:val="26F2549E"/>
    <w:lvl w:ilvl="0" w:tentative="0">
      <w:start w:val="1"/>
      <w:numFmt w:val="decimal"/>
      <w:lvlText w:val="%1、"/>
      <w:lvlJc w:val="left"/>
      <w:pPr>
        <w:ind w:left="371" w:hanging="360"/>
      </w:pPr>
      <w:rPr>
        <w:rFonts w:hint="default"/>
      </w:rPr>
    </w:lvl>
    <w:lvl w:ilvl="1" w:tentative="0">
      <w:start w:val="1"/>
      <w:numFmt w:val="lowerLetter"/>
      <w:pStyle w:val="7"/>
      <w:lvlText w:val="%2)"/>
      <w:lvlJc w:val="left"/>
      <w:pPr>
        <w:ind w:left="851" w:hanging="420"/>
      </w:pPr>
    </w:lvl>
    <w:lvl w:ilvl="2" w:tentative="0">
      <w:start w:val="1"/>
      <w:numFmt w:val="lowerRoman"/>
      <w:lvlText w:val="%3."/>
      <w:lvlJc w:val="right"/>
      <w:pPr>
        <w:ind w:left="1271" w:hanging="420"/>
      </w:pPr>
    </w:lvl>
    <w:lvl w:ilvl="3" w:tentative="0">
      <w:start w:val="1"/>
      <w:numFmt w:val="decimal"/>
      <w:lvlText w:val="%4."/>
      <w:lvlJc w:val="left"/>
      <w:pPr>
        <w:ind w:left="1691" w:hanging="420"/>
      </w:pPr>
    </w:lvl>
    <w:lvl w:ilvl="4" w:tentative="0">
      <w:start w:val="1"/>
      <w:numFmt w:val="lowerLetter"/>
      <w:lvlText w:val="%5)"/>
      <w:lvlJc w:val="left"/>
      <w:pPr>
        <w:ind w:left="2111" w:hanging="420"/>
      </w:pPr>
    </w:lvl>
    <w:lvl w:ilvl="5" w:tentative="0">
      <w:start w:val="1"/>
      <w:numFmt w:val="lowerRoman"/>
      <w:lvlText w:val="%6."/>
      <w:lvlJc w:val="right"/>
      <w:pPr>
        <w:ind w:left="2531" w:hanging="420"/>
      </w:pPr>
    </w:lvl>
    <w:lvl w:ilvl="6" w:tentative="0">
      <w:start w:val="1"/>
      <w:numFmt w:val="decimal"/>
      <w:lvlText w:val="%7."/>
      <w:lvlJc w:val="left"/>
      <w:pPr>
        <w:ind w:left="2951" w:hanging="420"/>
      </w:pPr>
    </w:lvl>
    <w:lvl w:ilvl="7" w:tentative="0">
      <w:start w:val="1"/>
      <w:numFmt w:val="lowerLetter"/>
      <w:lvlText w:val="%8)"/>
      <w:lvlJc w:val="left"/>
      <w:pPr>
        <w:ind w:left="3371" w:hanging="420"/>
      </w:pPr>
    </w:lvl>
    <w:lvl w:ilvl="8" w:tentative="0">
      <w:start w:val="1"/>
      <w:numFmt w:val="lowerRoman"/>
      <w:lvlText w:val="%9."/>
      <w:lvlJc w:val="right"/>
      <w:pPr>
        <w:ind w:left="3791" w:hanging="420"/>
      </w:pPr>
    </w:lvl>
  </w:abstractNum>
  <w:abstractNum w:abstractNumId="6">
    <w:nsid w:val="6CB11212"/>
    <w:multiLevelType w:val="multilevel"/>
    <w:tmpl w:val="6CB11212"/>
    <w:lvl w:ilvl="0" w:tentative="0">
      <w:start w:val="1"/>
      <w:numFmt w:val="decimal"/>
      <w:pStyle w:val="13"/>
      <w:lvlText w:val="%1"/>
      <w:lvlJc w:val="left"/>
      <w:pPr>
        <w:tabs>
          <w:tab w:val="left" w:pos="425"/>
        </w:tabs>
        <w:ind w:left="425" w:hanging="425"/>
      </w:pPr>
      <w:rPr>
        <w:rFonts w:hint="default" w:ascii="Times New Roman" w:hAnsi="Times New Roman" w:cs="Times New Roman"/>
        <w:b/>
        <w:i w:val="0"/>
        <w:sz w:val="28"/>
      </w:rPr>
    </w:lvl>
    <w:lvl w:ilvl="1" w:tentative="0">
      <w:start w:val="1"/>
      <w:numFmt w:val="decimal"/>
      <w:lvlText w:val="%1.%2"/>
      <w:lvlJc w:val="left"/>
      <w:pPr>
        <w:tabs>
          <w:tab w:val="left" w:pos="992"/>
        </w:tabs>
        <w:ind w:left="992" w:hanging="567"/>
      </w:pPr>
      <w:rPr>
        <w:rFonts w:hint="eastAsia" w:cs="Times New Roman"/>
      </w:rPr>
    </w:lvl>
    <w:lvl w:ilvl="2" w:tentative="0">
      <w:start w:val="1"/>
      <w:numFmt w:val="decimal"/>
      <w:lvlText w:val="%1.%2.%3"/>
      <w:lvlJc w:val="left"/>
      <w:pPr>
        <w:tabs>
          <w:tab w:val="left" w:pos="1418"/>
        </w:tabs>
        <w:ind w:left="1418" w:hanging="567"/>
      </w:pPr>
      <w:rPr>
        <w:rFonts w:hint="eastAsia" w:cs="Times New Roman"/>
      </w:rPr>
    </w:lvl>
    <w:lvl w:ilvl="3" w:tentative="0">
      <w:start w:val="1"/>
      <w:numFmt w:val="decimal"/>
      <w:lvlText w:val="%1.%2.%3.%4"/>
      <w:lvlJc w:val="left"/>
      <w:pPr>
        <w:tabs>
          <w:tab w:val="left" w:pos="1984"/>
        </w:tabs>
        <w:ind w:left="1984" w:hanging="708"/>
      </w:pPr>
      <w:rPr>
        <w:rFonts w:hint="eastAsia" w:cs="Times New Roman"/>
      </w:rPr>
    </w:lvl>
    <w:lvl w:ilvl="4" w:tentative="0">
      <w:start w:val="1"/>
      <w:numFmt w:val="decimal"/>
      <w:lvlText w:val="%1.%2.%3.%4.%5"/>
      <w:lvlJc w:val="left"/>
      <w:pPr>
        <w:tabs>
          <w:tab w:val="left" w:pos="2551"/>
        </w:tabs>
        <w:ind w:left="2551" w:hanging="850"/>
      </w:pPr>
      <w:rPr>
        <w:rFonts w:hint="eastAsia" w:cs="Times New Roman"/>
      </w:rPr>
    </w:lvl>
    <w:lvl w:ilvl="5" w:tentative="0">
      <w:start w:val="1"/>
      <w:numFmt w:val="decimal"/>
      <w:lvlText w:val="%1.%2.%3.%4.%5.%6"/>
      <w:lvlJc w:val="left"/>
      <w:pPr>
        <w:tabs>
          <w:tab w:val="left" w:pos="3260"/>
        </w:tabs>
        <w:ind w:left="3260" w:hanging="1134"/>
      </w:pPr>
      <w:rPr>
        <w:rFonts w:hint="eastAsia" w:cs="Times New Roman"/>
      </w:rPr>
    </w:lvl>
    <w:lvl w:ilvl="6" w:tentative="0">
      <w:start w:val="1"/>
      <w:numFmt w:val="decimal"/>
      <w:lvlText w:val="%1.%2.%3.%4.%5.%6.%7"/>
      <w:lvlJc w:val="left"/>
      <w:pPr>
        <w:tabs>
          <w:tab w:val="left" w:pos="3827"/>
        </w:tabs>
        <w:ind w:left="3827" w:hanging="1276"/>
      </w:pPr>
      <w:rPr>
        <w:rFonts w:hint="eastAsia" w:cs="Times New Roman"/>
      </w:rPr>
    </w:lvl>
    <w:lvl w:ilvl="7" w:tentative="0">
      <w:start w:val="1"/>
      <w:numFmt w:val="decimal"/>
      <w:lvlText w:val="%1.%2.%3.%4.%5.%6.%7.%8"/>
      <w:lvlJc w:val="left"/>
      <w:pPr>
        <w:tabs>
          <w:tab w:val="left" w:pos="4394"/>
        </w:tabs>
        <w:ind w:left="4394" w:hanging="1418"/>
      </w:pPr>
      <w:rPr>
        <w:rFonts w:hint="eastAsia" w:cs="Times New Roman"/>
      </w:rPr>
    </w:lvl>
    <w:lvl w:ilvl="8" w:tentative="0">
      <w:start w:val="1"/>
      <w:numFmt w:val="decimal"/>
      <w:lvlText w:val="%1.%2.%3.%4.%5.%6.%7.%8.%9"/>
      <w:lvlJc w:val="left"/>
      <w:pPr>
        <w:tabs>
          <w:tab w:val="left" w:pos="5102"/>
        </w:tabs>
        <w:ind w:left="5102" w:hanging="1700"/>
      </w:pPr>
      <w:rPr>
        <w:rFonts w:hint="eastAsia" w:cs="Times New Roman"/>
      </w:rPr>
    </w:lvl>
  </w:abstractNum>
  <w:abstractNum w:abstractNumId="7">
    <w:nsid w:val="6F1D7D26"/>
    <w:multiLevelType w:val="multilevel"/>
    <w:tmpl w:val="6F1D7D26"/>
    <w:lvl w:ilvl="0" w:tentative="0">
      <w:start w:val="1"/>
      <w:numFmt w:val="decimal"/>
      <w:pStyle w:val="26"/>
      <w:lvlText w:val="%1."/>
      <w:lvlJc w:val="left"/>
      <w:pPr>
        <w:ind w:left="420" w:firstLine="0"/>
      </w:pPr>
      <w:rPr>
        <w:rFonts w:ascii="Times New Roman" w:hAnsi="Times New Roman" w:cs="Times New Roman"/>
        <w:b w:val="0"/>
        <w:bCs w:val="0"/>
        <w:i w:val="0"/>
        <w:iCs w:val="0"/>
        <w:caps w:val="0"/>
        <w:smallCaps w:val="0"/>
        <w:strike w:val="0"/>
        <w:dstrike w:val="0"/>
        <w:outline w:val="0"/>
        <w:shadow w:val="0"/>
        <w:emboss w:val="0"/>
        <w:imprint w:val="0"/>
        <w:snapToGrid w:val="0"/>
        <w:vanish w:val="0"/>
        <w:color w:val="000000"/>
        <w:spacing w:val="0"/>
        <w:w w:val="0"/>
        <w:kern w:val="0"/>
        <w:position w:val="0"/>
        <w:sz w:val="16"/>
        <w:szCs w:val="0"/>
        <w:u w:val="none" w:color="000000"/>
        <w:shd w:val="clear" w:color="000000" w:fill="000000"/>
        <w:vertAlign w:val="baseline"/>
        <w:lang w:val="zh-CN" w:eastAsia="zh-CN" w:bidi="zh-C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5"/>
  </w:num>
  <w:num w:numId="2">
    <w:abstractNumId w:val="6"/>
  </w:num>
  <w:num w:numId="3">
    <w:abstractNumId w:val="7"/>
  </w:num>
  <w:num w:numId="4">
    <w:abstractNumId w:val="3"/>
  </w:num>
  <w:num w:numId="5">
    <w:abstractNumId w:val="4"/>
  </w:num>
  <w:num w:numId="6">
    <w:abstractNumId w:val="2"/>
  </w:num>
  <w:num w:numId="7">
    <w:abstractNumId w:val="1"/>
  </w:num>
  <w:num w:numId="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M1YjM1ZjhjYjdhOTRmNjFjYjcxY2NlMTgzNzkxOGYifQ=="/>
  </w:docVars>
  <w:rsids>
    <w:rsidRoot w:val="00AE79E0"/>
    <w:rsid w:val="00000FD7"/>
    <w:rsid w:val="00001745"/>
    <w:rsid w:val="000018C2"/>
    <w:rsid w:val="00001EDD"/>
    <w:rsid w:val="00002FE3"/>
    <w:rsid w:val="00003231"/>
    <w:rsid w:val="0000387A"/>
    <w:rsid w:val="00003B78"/>
    <w:rsid w:val="00003E3C"/>
    <w:rsid w:val="00003F2A"/>
    <w:rsid w:val="00005025"/>
    <w:rsid w:val="00005C91"/>
    <w:rsid w:val="0000620B"/>
    <w:rsid w:val="0000682D"/>
    <w:rsid w:val="00007272"/>
    <w:rsid w:val="00007892"/>
    <w:rsid w:val="00011FD2"/>
    <w:rsid w:val="0001207D"/>
    <w:rsid w:val="00012CBB"/>
    <w:rsid w:val="00012CFA"/>
    <w:rsid w:val="00013187"/>
    <w:rsid w:val="000131BA"/>
    <w:rsid w:val="00014B17"/>
    <w:rsid w:val="0001582D"/>
    <w:rsid w:val="00015980"/>
    <w:rsid w:val="0001696F"/>
    <w:rsid w:val="00016F81"/>
    <w:rsid w:val="00017E3B"/>
    <w:rsid w:val="000201C1"/>
    <w:rsid w:val="000204E4"/>
    <w:rsid w:val="00020F35"/>
    <w:rsid w:val="00021C59"/>
    <w:rsid w:val="00021FD3"/>
    <w:rsid w:val="00023055"/>
    <w:rsid w:val="00023156"/>
    <w:rsid w:val="00023185"/>
    <w:rsid w:val="00026A08"/>
    <w:rsid w:val="00026B7C"/>
    <w:rsid w:val="000279EA"/>
    <w:rsid w:val="000314DB"/>
    <w:rsid w:val="000316BD"/>
    <w:rsid w:val="00032E2D"/>
    <w:rsid w:val="000334DF"/>
    <w:rsid w:val="00033536"/>
    <w:rsid w:val="00033AA1"/>
    <w:rsid w:val="00033B6A"/>
    <w:rsid w:val="00034324"/>
    <w:rsid w:val="0003496F"/>
    <w:rsid w:val="00034BA3"/>
    <w:rsid w:val="00034CDA"/>
    <w:rsid w:val="00034F63"/>
    <w:rsid w:val="0003627F"/>
    <w:rsid w:val="00037505"/>
    <w:rsid w:val="000404C6"/>
    <w:rsid w:val="000405BF"/>
    <w:rsid w:val="00040C87"/>
    <w:rsid w:val="00040CAE"/>
    <w:rsid w:val="00041067"/>
    <w:rsid w:val="00041856"/>
    <w:rsid w:val="00041921"/>
    <w:rsid w:val="000430E9"/>
    <w:rsid w:val="00044BB7"/>
    <w:rsid w:val="00044F9F"/>
    <w:rsid w:val="00045942"/>
    <w:rsid w:val="00045EE5"/>
    <w:rsid w:val="00047196"/>
    <w:rsid w:val="00050258"/>
    <w:rsid w:val="0005034F"/>
    <w:rsid w:val="00051277"/>
    <w:rsid w:val="0005173F"/>
    <w:rsid w:val="00051ECE"/>
    <w:rsid w:val="00054663"/>
    <w:rsid w:val="00055300"/>
    <w:rsid w:val="00055AB6"/>
    <w:rsid w:val="0005632F"/>
    <w:rsid w:val="00056A13"/>
    <w:rsid w:val="00061311"/>
    <w:rsid w:val="00061B85"/>
    <w:rsid w:val="00062064"/>
    <w:rsid w:val="00063028"/>
    <w:rsid w:val="00063B93"/>
    <w:rsid w:val="00063EFE"/>
    <w:rsid w:val="00064417"/>
    <w:rsid w:val="0006463B"/>
    <w:rsid w:val="00064649"/>
    <w:rsid w:val="00064BF9"/>
    <w:rsid w:val="00065388"/>
    <w:rsid w:val="00065665"/>
    <w:rsid w:val="0006601A"/>
    <w:rsid w:val="000665FE"/>
    <w:rsid w:val="000671A2"/>
    <w:rsid w:val="00067818"/>
    <w:rsid w:val="00067833"/>
    <w:rsid w:val="00067D7A"/>
    <w:rsid w:val="00070340"/>
    <w:rsid w:val="000708F9"/>
    <w:rsid w:val="000719DB"/>
    <w:rsid w:val="00071DAC"/>
    <w:rsid w:val="0007207A"/>
    <w:rsid w:val="00072CA0"/>
    <w:rsid w:val="00072FF3"/>
    <w:rsid w:val="00073F2F"/>
    <w:rsid w:val="00073F71"/>
    <w:rsid w:val="00073F84"/>
    <w:rsid w:val="000743D1"/>
    <w:rsid w:val="000746A8"/>
    <w:rsid w:val="00074FC6"/>
    <w:rsid w:val="00076052"/>
    <w:rsid w:val="00076223"/>
    <w:rsid w:val="00076436"/>
    <w:rsid w:val="00076558"/>
    <w:rsid w:val="00077068"/>
    <w:rsid w:val="0007793B"/>
    <w:rsid w:val="00077C43"/>
    <w:rsid w:val="00077D8B"/>
    <w:rsid w:val="00082390"/>
    <w:rsid w:val="00082EB0"/>
    <w:rsid w:val="00083463"/>
    <w:rsid w:val="00083C57"/>
    <w:rsid w:val="00084EFD"/>
    <w:rsid w:val="00085489"/>
    <w:rsid w:val="000863D1"/>
    <w:rsid w:val="00086A7A"/>
    <w:rsid w:val="000874E4"/>
    <w:rsid w:val="00087DEF"/>
    <w:rsid w:val="000921FF"/>
    <w:rsid w:val="000942A8"/>
    <w:rsid w:val="00094641"/>
    <w:rsid w:val="00094F01"/>
    <w:rsid w:val="00095245"/>
    <w:rsid w:val="00095368"/>
    <w:rsid w:val="00095431"/>
    <w:rsid w:val="000955A6"/>
    <w:rsid w:val="0009679B"/>
    <w:rsid w:val="00097185"/>
    <w:rsid w:val="000A2970"/>
    <w:rsid w:val="000A2A2A"/>
    <w:rsid w:val="000A3B88"/>
    <w:rsid w:val="000A3FD5"/>
    <w:rsid w:val="000A4A5B"/>
    <w:rsid w:val="000A4BA2"/>
    <w:rsid w:val="000A4C42"/>
    <w:rsid w:val="000A4D00"/>
    <w:rsid w:val="000A6219"/>
    <w:rsid w:val="000A694F"/>
    <w:rsid w:val="000A6DD1"/>
    <w:rsid w:val="000A6DF5"/>
    <w:rsid w:val="000A7BFA"/>
    <w:rsid w:val="000A7E34"/>
    <w:rsid w:val="000B071E"/>
    <w:rsid w:val="000B0A14"/>
    <w:rsid w:val="000B0B87"/>
    <w:rsid w:val="000B0C3D"/>
    <w:rsid w:val="000B2E83"/>
    <w:rsid w:val="000B40C2"/>
    <w:rsid w:val="000B428C"/>
    <w:rsid w:val="000B5B09"/>
    <w:rsid w:val="000B5CD6"/>
    <w:rsid w:val="000B5DAB"/>
    <w:rsid w:val="000B6098"/>
    <w:rsid w:val="000B615E"/>
    <w:rsid w:val="000B7097"/>
    <w:rsid w:val="000B71A8"/>
    <w:rsid w:val="000B7353"/>
    <w:rsid w:val="000B7627"/>
    <w:rsid w:val="000B7B9F"/>
    <w:rsid w:val="000B7FF5"/>
    <w:rsid w:val="000C0D0A"/>
    <w:rsid w:val="000C3114"/>
    <w:rsid w:val="000C5FF0"/>
    <w:rsid w:val="000C7F94"/>
    <w:rsid w:val="000D0783"/>
    <w:rsid w:val="000D0794"/>
    <w:rsid w:val="000D1770"/>
    <w:rsid w:val="000D1955"/>
    <w:rsid w:val="000D1963"/>
    <w:rsid w:val="000D2B25"/>
    <w:rsid w:val="000D2BE7"/>
    <w:rsid w:val="000D3563"/>
    <w:rsid w:val="000D3FE5"/>
    <w:rsid w:val="000D456B"/>
    <w:rsid w:val="000D45FF"/>
    <w:rsid w:val="000D522D"/>
    <w:rsid w:val="000D57AA"/>
    <w:rsid w:val="000D5856"/>
    <w:rsid w:val="000D5BFA"/>
    <w:rsid w:val="000D73C3"/>
    <w:rsid w:val="000E12E1"/>
    <w:rsid w:val="000E169F"/>
    <w:rsid w:val="000E18AA"/>
    <w:rsid w:val="000E1C32"/>
    <w:rsid w:val="000E3822"/>
    <w:rsid w:val="000E416E"/>
    <w:rsid w:val="000E427E"/>
    <w:rsid w:val="000E4C55"/>
    <w:rsid w:val="000E4F64"/>
    <w:rsid w:val="000E5225"/>
    <w:rsid w:val="000E7541"/>
    <w:rsid w:val="000F1DED"/>
    <w:rsid w:val="000F1DEE"/>
    <w:rsid w:val="000F1E18"/>
    <w:rsid w:val="000F2EDB"/>
    <w:rsid w:val="000F365B"/>
    <w:rsid w:val="000F3FFF"/>
    <w:rsid w:val="000F44ED"/>
    <w:rsid w:val="000F4B95"/>
    <w:rsid w:val="000F5992"/>
    <w:rsid w:val="000F6AB9"/>
    <w:rsid w:val="000F6B00"/>
    <w:rsid w:val="000F6FE4"/>
    <w:rsid w:val="000F7194"/>
    <w:rsid w:val="000F746A"/>
    <w:rsid w:val="0010047E"/>
    <w:rsid w:val="001008C8"/>
    <w:rsid w:val="0010124A"/>
    <w:rsid w:val="001017D7"/>
    <w:rsid w:val="00102D15"/>
    <w:rsid w:val="00103102"/>
    <w:rsid w:val="00104E2B"/>
    <w:rsid w:val="001051AF"/>
    <w:rsid w:val="001057AF"/>
    <w:rsid w:val="00106684"/>
    <w:rsid w:val="0010699C"/>
    <w:rsid w:val="00106EC5"/>
    <w:rsid w:val="00107005"/>
    <w:rsid w:val="001072E0"/>
    <w:rsid w:val="00107B42"/>
    <w:rsid w:val="001108D1"/>
    <w:rsid w:val="00111111"/>
    <w:rsid w:val="001123E7"/>
    <w:rsid w:val="001129B2"/>
    <w:rsid w:val="00112A7E"/>
    <w:rsid w:val="00113A3E"/>
    <w:rsid w:val="00114702"/>
    <w:rsid w:val="00114A7D"/>
    <w:rsid w:val="001159EE"/>
    <w:rsid w:val="00115E66"/>
    <w:rsid w:val="001161CF"/>
    <w:rsid w:val="001167DB"/>
    <w:rsid w:val="00116967"/>
    <w:rsid w:val="00116A34"/>
    <w:rsid w:val="00116D76"/>
    <w:rsid w:val="00116E49"/>
    <w:rsid w:val="00117062"/>
    <w:rsid w:val="001170CE"/>
    <w:rsid w:val="001178E2"/>
    <w:rsid w:val="00117C52"/>
    <w:rsid w:val="001209B7"/>
    <w:rsid w:val="001213E9"/>
    <w:rsid w:val="001214D0"/>
    <w:rsid w:val="00123DB7"/>
    <w:rsid w:val="0012425E"/>
    <w:rsid w:val="00124F09"/>
    <w:rsid w:val="0012511F"/>
    <w:rsid w:val="00125262"/>
    <w:rsid w:val="00125392"/>
    <w:rsid w:val="00126AD8"/>
    <w:rsid w:val="001276ED"/>
    <w:rsid w:val="00127E6A"/>
    <w:rsid w:val="00130067"/>
    <w:rsid w:val="001302B8"/>
    <w:rsid w:val="00131086"/>
    <w:rsid w:val="0013112F"/>
    <w:rsid w:val="0013161B"/>
    <w:rsid w:val="00131C30"/>
    <w:rsid w:val="00131D14"/>
    <w:rsid w:val="00131F24"/>
    <w:rsid w:val="00132477"/>
    <w:rsid w:val="0013362D"/>
    <w:rsid w:val="0013431D"/>
    <w:rsid w:val="00134648"/>
    <w:rsid w:val="001347EC"/>
    <w:rsid w:val="00135759"/>
    <w:rsid w:val="00135AED"/>
    <w:rsid w:val="00135BC4"/>
    <w:rsid w:val="001369C3"/>
    <w:rsid w:val="00136EE6"/>
    <w:rsid w:val="001378A8"/>
    <w:rsid w:val="00137AF4"/>
    <w:rsid w:val="00137B6B"/>
    <w:rsid w:val="001407AB"/>
    <w:rsid w:val="00141CB6"/>
    <w:rsid w:val="00142194"/>
    <w:rsid w:val="0014457C"/>
    <w:rsid w:val="001449E6"/>
    <w:rsid w:val="0014579B"/>
    <w:rsid w:val="00146A7E"/>
    <w:rsid w:val="0015132A"/>
    <w:rsid w:val="00151628"/>
    <w:rsid w:val="00151A64"/>
    <w:rsid w:val="0015210B"/>
    <w:rsid w:val="0015286F"/>
    <w:rsid w:val="001528B1"/>
    <w:rsid w:val="00152AFF"/>
    <w:rsid w:val="001554EC"/>
    <w:rsid w:val="001565DA"/>
    <w:rsid w:val="00157E12"/>
    <w:rsid w:val="001602D9"/>
    <w:rsid w:val="001605FB"/>
    <w:rsid w:val="00160863"/>
    <w:rsid w:val="00160C56"/>
    <w:rsid w:val="001621B2"/>
    <w:rsid w:val="00162769"/>
    <w:rsid w:val="00162B12"/>
    <w:rsid w:val="00163021"/>
    <w:rsid w:val="00163A4F"/>
    <w:rsid w:val="00164A96"/>
    <w:rsid w:val="001654FA"/>
    <w:rsid w:val="0016649D"/>
    <w:rsid w:val="00166692"/>
    <w:rsid w:val="0016722F"/>
    <w:rsid w:val="00167DD2"/>
    <w:rsid w:val="00167EAD"/>
    <w:rsid w:val="00170051"/>
    <w:rsid w:val="00170340"/>
    <w:rsid w:val="0017080E"/>
    <w:rsid w:val="00170C26"/>
    <w:rsid w:val="00171430"/>
    <w:rsid w:val="00173435"/>
    <w:rsid w:val="00173C5E"/>
    <w:rsid w:val="00174529"/>
    <w:rsid w:val="00174D16"/>
    <w:rsid w:val="00174E84"/>
    <w:rsid w:val="00175041"/>
    <w:rsid w:val="00175BB3"/>
    <w:rsid w:val="00176570"/>
    <w:rsid w:val="0017662E"/>
    <w:rsid w:val="0017703B"/>
    <w:rsid w:val="00177477"/>
    <w:rsid w:val="00177851"/>
    <w:rsid w:val="00177B77"/>
    <w:rsid w:val="00177E3F"/>
    <w:rsid w:val="001801CB"/>
    <w:rsid w:val="00180275"/>
    <w:rsid w:val="00180644"/>
    <w:rsid w:val="0018131E"/>
    <w:rsid w:val="00181735"/>
    <w:rsid w:val="00181BE3"/>
    <w:rsid w:val="00182153"/>
    <w:rsid w:val="00183195"/>
    <w:rsid w:val="00183525"/>
    <w:rsid w:val="0018358B"/>
    <w:rsid w:val="00183724"/>
    <w:rsid w:val="00184EAF"/>
    <w:rsid w:val="0018503D"/>
    <w:rsid w:val="0018523C"/>
    <w:rsid w:val="00185E01"/>
    <w:rsid w:val="00186292"/>
    <w:rsid w:val="00187319"/>
    <w:rsid w:val="00187533"/>
    <w:rsid w:val="0019079F"/>
    <w:rsid w:val="00190953"/>
    <w:rsid w:val="00191194"/>
    <w:rsid w:val="00192441"/>
    <w:rsid w:val="00192922"/>
    <w:rsid w:val="001935E2"/>
    <w:rsid w:val="0019444D"/>
    <w:rsid w:val="00194A22"/>
    <w:rsid w:val="00194D8F"/>
    <w:rsid w:val="001958DC"/>
    <w:rsid w:val="00196252"/>
    <w:rsid w:val="001966AA"/>
    <w:rsid w:val="00196D5E"/>
    <w:rsid w:val="00196F4B"/>
    <w:rsid w:val="001A0CAB"/>
    <w:rsid w:val="001A0E41"/>
    <w:rsid w:val="001A11EB"/>
    <w:rsid w:val="001A1D0A"/>
    <w:rsid w:val="001A3056"/>
    <w:rsid w:val="001A312F"/>
    <w:rsid w:val="001A330F"/>
    <w:rsid w:val="001A344A"/>
    <w:rsid w:val="001A3ACE"/>
    <w:rsid w:val="001A406C"/>
    <w:rsid w:val="001A62A1"/>
    <w:rsid w:val="001A63E7"/>
    <w:rsid w:val="001A64CF"/>
    <w:rsid w:val="001A6AF5"/>
    <w:rsid w:val="001B0F50"/>
    <w:rsid w:val="001B16CE"/>
    <w:rsid w:val="001B1C75"/>
    <w:rsid w:val="001B253D"/>
    <w:rsid w:val="001B31D7"/>
    <w:rsid w:val="001B4093"/>
    <w:rsid w:val="001B522A"/>
    <w:rsid w:val="001B5738"/>
    <w:rsid w:val="001B58C9"/>
    <w:rsid w:val="001B6006"/>
    <w:rsid w:val="001B6C2D"/>
    <w:rsid w:val="001B6E93"/>
    <w:rsid w:val="001B74F5"/>
    <w:rsid w:val="001B79FD"/>
    <w:rsid w:val="001B7B84"/>
    <w:rsid w:val="001C05AB"/>
    <w:rsid w:val="001C1059"/>
    <w:rsid w:val="001C2A8A"/>
    <w:rsid w:val="001C4859"/>
    <w:rsid w:val="001C54F3"/>
    <w:rsid w:val="001C5539"/>
    <w:rsid w:val="001C5E26"/>
    <w:rsid w:val="001D28A8"/>
    <w:rsid w:val="001D2F5F"/>
    <w:rsid w:val="001D30A6"/>
    <w:rsid w:val="001D44EC"/>
    <w:rsid w:val="001D58FF"/>
    <w:rsid w:val="001D59B0"/>
    <w:rsid w:val="001D6266"/>
    <w:rsid w:val="001D63FD"/>
    <w:rsid w:val="001D677E"/>
    <w:rsid w:val="001D6F3F"/>
    <w:rsid w:val="001D72FB"/>
    <w:rsid w:val="001D77EC"/>
    <w:rsid w:val="001D79C2"/>
    <w:rsid w:val="001E04A0"/>
    <w:rsid w:val="001E04F1"/>
    <w:rsid w:val="001E07BF"/>
    <w:rsid w:val="001E1E50"/>
    <w:rsid w:val="001E3BD1"/>
    <w:rsid w:val="001E3F0E"/>
    <w:rsid w:val="001E44BA"/>
    <w:rsid w:val="001E460E"/>
    <w:rsid w:val="001E4EE8"/>
    <w:rsid w:val="001E5159"/>
    <w:rsid w:val="001E5898"/>
    <w:rsid w:val="001E68D0"/>
    <w:rsid w:val="001E7E31"/>
    <w:rsid w:val="001F07C5"/>
    <w:rsid w:val="001F1324"/>
    <w:rsid w:val="001F134E"/>
    <w:rsid w:val="001F1946"/>
    <w:rsid w:val="001F1C38"/>
    <w:rsid w:val="001F1C73"/>
    <w:rsid w:val="001F3378"/>
    <w:rsid w:val="001F3C43"/>
    <w:rsid w:val="001F4719"/>
    <w:rsid w:val="001F602E"/>
    <w:rsid w:val="001F66CF"/>
    <w:rsid w:val="001F7137"/>
    <w:rsid w:val="001F7DFE"/>
    <w:rsid w:val="002005FD"/>
    <w:rsid w:val="00201180"/>
    <w:rsid w:val="00201590"/>
    <w:rsid w:val="00201F0C"/>
    <w:rsid w:val="00202157"/>
    <w:rsid w:val="002028E4"/>
    <w:rsid w:val="00202D5B"/>
    <w:rsid w:val="00202F2A"/>
    <w:rsid w:val="002036F3"/>
    <w:rsid w:val="00204191"/>
    <w:rsid w:val="002047D3"/>
    <w:rsid w:val="002054D8"/>
    <w:rsid w:val="002056FA"/>
    <w:rsid w:val="00205A83"/>
    <w:rsid w:val="00205CBD"/>
    <w:rsid w:val="00206487"/>
    <w:rsid w:val="0020674D"/>
    <w:rsid w:val="00206C3F"/>
    <w:rsid w:val="00206E10"/>
    <w:rsid w:val="00207273"/>
    <w:rsid w:val="00207E8B"/>
    <w:rsid w:val="002108DD"/>
    <w:rsid w:val="0021092F"/>
    <w:rsid w:val="0021169E"/>
    <w:rsid w:val="00211789"/>
    <w:rsid w:val="00211C20"/>
    <w:rsid w:val="00212686"/>
    <w:rsid w:val="002130FB"/>
    <w:rsid w:val="0021421B"/>
    <w:rsid w:val="002157C5"/>
    <w:rsid w:val="00215BDE"/>
    <w:rsid w:val="0021605B"/>
    <w:rsid w:val="002164F2"/>
    <w:rsid w:val="002169E6"/>
    <w:rsid w:val="0021708A"/>
    <w:rsid w:val="002173CF"/>
    <w:rsid w:val="00217490"/>
    <w:rsid w:val="00217DC1"/>
    <w:rsid w:val="00220226"/>
    <w:rsid w:val="00220734"/>
    <w:rsid w:val="002216C1"/>
    <w:rsid w:val="00222513"/>
    <w:rsid w:val="0022259D"/>
    <w:rsid w:val="0022346E"/>
    <w:rsid w:val="00224266"/>
    <w:rsid w:val="00224DB7"/>
    <w:rsid w:val="00225305"/>
    <w:rsid w:val="00225A4D"/>
    <w:rsid w:val="00226100"/>
    <w:rsid w:val="00227667"/>
    <w:rsid w:val="00227E9F"/>
    <w:rsid w:val="002306BE"/>
    <w:rsid w:val="00230CC1"/>
    <w:rsid w:val="00230D14"/>
    <w:rsid w:val="00231065"/>
    <w:rsid w:val="002314E9"/>
    <w:rsid w:val="00231F99"/>
    <w:rsid w:val="00232729"/>
    <w:rsid w:val="00233016"/>
    <w:rsid w:val="00235478"/>
    <w:rsid w:val="00235509"/>
    <w:rsid w:val="002358C7"/>
    <w:rsid w:val="002362CC"/>
    <w:rsid w:val="00237506"/>
    <w:rsid w:val="002378D0"/>
    <w:rsid w:val="00237D12"/>
    <w:rsid w:val="002402A5"/>
    <w:rsid w:val="0024055D"/>
    <w:rsid w:val="00240863"/>
    <w:rsid w:val="00240C70"/>
    <w:rsid w:val="00240ECA"/>
    <w:rsid w:val="002410F9"/>
    <w:rsid w:val="0024120B"/>
    <w:rsid w:val="002414ED"/>
    <w:rsid w:val="002423ED"/>
    <w:rsid w:val="00242A2B"/>
    <w:rsid w:val="00243A1C"/>
    <w:rsid w:val="00245ACA"/>
    <w:rsid w:val="00245C87"/>
    <w:rsid w:val="00246194"/>
    <w:rsid w:val="00246411"/>
    <w:rsid w:val="00247253"/>
    <w:rsid w:val="00247B6D"/>
    <w:rsid w:val="00252089"/>
    <w:rsid w:val="0025249A"/>
    <w:rsid w:val="00252ADA"/>
    <w:rsid w:val="00252FF5"/>
    <w:rsid w:val="0025326E"/>
    <w:rsid w:val="0025448F"/>
    <w:rsid w:val="002553EA"/>
    <w:rsid w:val="00255705"/>
    <w:rsid w:val="0025577C"/>
    <w:rsid w:val="002557DC"/>
    <w:rsid w:val="0025785F"/>
    <w:rsid w:val="00261696"/>
    <w:rsid w:val="00261984"/>
    <w:rsid w:val="0026258A"/>
    <w:rsid w:val="00262A9D"/>
    <w:rsid w:val="00263540"/>
    <w:rsid w:val="00263AF8"/>
    <w:rsid w:val="00264279"/>
    <w:rsid w:val="0026440A"/>
    <w:rsid w:val="002646DF"/>
    <w:rsid w:val="00265130"/>
    <w:rsid w:val="00265203"/>
    <w:rsid w:val="0026581B"/>
    <w:rsid w:val="00265D50"/>
    <w:rsid w:val="00265EDA"/>
    <w:rsid w:val="00266594"/>
    <w:rsid w:val="0026664B"/>
    <w:rsid w:val="00270D49"/>
    <w:rsid w:val="00270FEA"/>
    <w:rsid w:val="00272390"/>
    <w:rsid w:val="00272582"/>
    <w:rsid w:val="00272A37"/>
    <w:rsid w:val="00272B60"/>
    <w:rsid w:val="00272E91"/>
    <w:rsid w:val="002734B2"/>
    <w:rsid w:val="00273945"/>
    <w:rsid w:val="00273DEE"/>
    <w:rsid w:val="0027522C"/>
    <w:rsid w:val="0027543F"/>
    <w:rsid w:val="002760E4"/>
    <w:rsid w:val="002765B9"/>
    <w:rsid w:val="00277378"/>
    <w:rsid w:val="002775E0"/>
    <w:rsid w:val="00280BAA"/>
    <w:rsid w:val="002834D7"/>
    <w:rsid w:val="0028431C"/>
    <w:rsid w:val="00284AA1"/>
    <w:rsid w:val="00284BDB"/>
    <w:rsid w:val="00284FF3"/>
    <w:rsid w:val="00285937"/>
    <w:rsid w:val="00285CC4"/>
    <w:rsid w:val="00286851"/>
    <w:rsid w:val="002870BB"/>
    <w:rsid w:val="002909AD"/>
    <w:rsid w:val="00291B90"/>
    <w:rsid w:val="00292F4A"/>
    <w:rsid w:val="00293F97"/>
    <w:rsid w:val="00294D1A"/>
    <w:rsid w:val="002962C6"/>
    <w:rsid w:val="0029660E"/>
    <w:rsid w:val="00296FAA"/>
    <w:rsid w:val="00297134"/>
    <w:rsid w:val="0029727E"/>
    <w:rsid w:val="0029798C"/>
    <w:rsid w:val="002A04DB"/>
    <w:rsid w:val="002A1959"/>
    <w:rsid w:val="002A3638"/>
    <w:rsid w:val="002A49E9"/>
    <w:rsid w:val="002A4D9A"/>
    <w:rsid w:val="002A61A0"/>
    <w:rsid w:val="002A64B0"/>
    <w:rsid w:val="002A666B"/>
    <w:rsid w:val="002A6B50"/>
    <w:rsid w:val="002A7567"/>
    <w:rsid w:val="002A7DF4"/>
    <w:rsid w:val="002B0308"/>
    <w:rsid w:val="002B14F2"/>
    <w:rsid w:val="002B1A43"/>
    <w:rsid w:val="002B1ABC"/>
    <w:rsid w:val="002B1FB9"/>
    <w:rsid w:val="002B2690"/>
    <w:rsid w:val="002B26EC"/>
    <w:rsid w:val="002B324A"/>
    <w:rsid w:val="002B3D17"/>
    <w:rsid w:val="002B3EF5"/>
    <w:rsid w:val="002B5793"/>
    <w:rsid w:val="002B5F03"/>
    <w:rsid w:val="002B6423"/>
    <w:rsid w:val="002B65EE"/>
    <w:rsid w:val="002B6A63"/>
    <w:rsid w:val="002B6B7B"/>
    <w:rsid w:val="002B7C85"/>
    <w:rsid w:val="002B7DCD"/>
    <w:rsid w:val="002C0484"/>
    <w:rsid w:val="002C0D1E"/>
    <w:rsid w:val="002C1DFD"/>
    <w:rsid w:val="002C20CF"/>
    <w:rsid w:val="002C2381"/>
    <w:rsid w:val="002C2987"/>
    <w:rsid w:val="002C2BF7"/>
    <w:rsid w:val="002C324F"/>
    <w:rsid w:val="002C3B7F"/>
    <w:rsid w:val="002C4380"/>
    <w:rsid w:val="002C44F8"/>
    <w:rsid w:val="002C66EA"/>
    <w:rsid w:val="002D1BCB"/>
    <w:rsid w:val="002D2B6F"/>
    <w:rsid w:val="002D4617"/>
    <w:rsid w:val="002D5B85"/>
    <w:rsid w:val="002D64B1"/>
    <w:rsid w:val="002D6C02"/>
    <w:rsid w:val="002D6F6A"/>
    <w:rsid w:val="002D73D4"/>
    <w:rsid w:val="002E023A"/>
    <w:rsid w:val="002E05E3"/>
    <w:rsid w:val="002E0CF1"/>
    <w:rsid w:val="002E1533"/>
    <w:rsid w:val="002E1AF0"/>
    <w:rsid w:val="002E1F1A"/>
    <w:rsid w:val="002E2E1F"/>
    <w:rsid w:val="002E3A69"/>
    <w:rsid w:val="002E3B8A"/>
    <w:rsid w:val="002E5015"/>
    <w:rsid w:val="002E55E5"/>
    <w:rsid w:val="002E5DC8"/>
    <w:rsid w:val="002E620F"/>
    <w:rsid w:val="002E6CBA"/>
    <w:rsid w:val="002E6CF3"/>
    <w:rsid w:val="002E779E"/>
    <w:rsid w:val="002F0126"/>
    <w:rsid w:val="002F04E5"/>
    <w:rsid w:val="002F0C88"/>
    <w:rsid w:val="002F1B07"/>
    <w:rsid w:val="002F29ED"/>
    <w:rsid w:val="002F33E4"/>
    <w:rsid w:val="002F553D"/>
    <w:rsid w:val="002F5EA3"/>
    <w:rsid w:val="002F60DC"/>
    <w:rsid w:val="002F6189"/>
    <w:rsid w:val="002F62E7"/>
    <w:rsid w:val="002F6350"/>
    <w:rsid w:val="002F65D3"/>
    <w:rsid w:val="002F6C62"/>
    <w:rsid w:val="002F6E36"/>
    <w:rsid w:val="002F7307"/>
    <w:rsid w:val="002F7D96"/>
    <w:rsid w:val="003002FC"/>
    <w:rsid w:val="0030054A"/>
    <w:rsid w:val="00301451"/>
    <w:rsid w:val="00301764"/>
    <w:rsid w:val="003061F3"/>
    <w:rsid w:val="003065EA"/>
    <w:rsid w:val="0030791A"/>
    <w:rsid w:val="00310A63"/>
    <w:rsid w:val="00311D1C"/>
    <w:rsid w:val="0031215C"/>
    <w:rsid w:val="00312B46"/>
    <w:rsid w:val="00313C11"/>
    <w:rsid w:val="00313E87"/>
    <w:rsid w:val="00314E48"/>
    <w:rsid w:val="00314EAA"/>
    <w:rsid w:val="00315218"/>
    <w:rsid w:val="003162FE"/>
    <w:rsid w:val="003169FF"/>
    <w:rsid w:val="00317374"/>
    <w:rsid w:val="0031782B"/>
    <w:rsid w:val="00320797"/>
    <w:rsid w:val="003209A5"/>
    <w:rsid w:val="00321303"/>
    <w:rsid w:val="003215D0"/>
    <w:rsid w:val="00321B0F"/>
    <w:rsid w:val="00321BF5"/>
    <w:rsid w:val="00321CA7"/>
    <w:rsid w:val="00322242"/>
    <w:rsid w:val="0032294B"/>
    <w:rsid w:val="00322BDA"/>
    <w:rsid w:val="00322FEA"/>
    <w:rsid w:val="0032368B"/>
    <w:rsid w:val="00323B3C"/>
    <w:rsid w:val="00323B9B"/>
    <w:rsid w:val="00323EE0"/>
    <w:rsid w:val="003250B5"/>
    <w:rsid w:val="0032569D"/>
    <w:rsid w:val="00325E39"/>
    <w:rsid w:val="00327342"/>
    <w:rsid w:val="003275CF"/>
    <w:rsid w:val="00327958"/>
    <w:rsid w:val="00327AE8"/>
    <w:rsid w:val="003300D1"/>
    <w:rsid w:val="00330EEC"/>
    <w:rsid w:val="003310FC"/>
    <w:rsid w:val="003316A2"/>
    <w:rsid w:val="00331BA2"/>
    <w:rsid w:val="00331F09"/>
    <w:rsid w:val="0033248F"/>
    <w:rsid w:val="0033289C"/>
    <w:rsid w:val="00334294"/>
    <w:rsid w:val="00336881"/>
    <w:rsid w:val="0033705C"/>
    <w:rsid w:val="00337E3A"/>
    <w:rsid w:val="00340700"/>
    <w:rsid w:val="00341701"/>
    <w:rsid w:val="00341E1B"/>
    <w:rsid w:val="00342538"/>
    <w:rsid w:val="00343F2D"/>
    <w:rsid w:val="00345340"/>
    <w:rsid w:val="003454D9"/>
    <w:rsid w:val="003468BE"/>
    <w:rsid w:val="003468D2"/>
    <w:rsid w:val="00346D81"/>
    <w:rsid w:val="0034767C"/>
    <w:rsid w:val="003504E0"/>
    <w:rsid w:val="00351B7B"/>
    <w:rsid w:val="003520CF"/>
    <w:rsid w:val="00352130"/>
    <w:rsid w:val="00352629"/>
    <w:rsid w:val="00352F5E"/>
    <w:rsid w:val="003535C3"/>
    <w:rsid w:val="0035435C"/>
    <w:rsid w:val="00354637"/>
    <w:rsid w:val="0035480E"/>
    <w:rsid w:val="0035494E"/>
    <w:rsid w:val="00354BFF"/>
    <w:rsid w:val="00355078"/>
    <w:rsid w:val="00355BD8"/>
    <w:rsid w:val="00356AD2"/>
    <w:rsid w:val="003577C2"/>
    <w:rsid w:val="003607F7"/>
    <w:rsid w:val="00360DE5"/>
    <w:rsid w:val="00361C08"/>
    <w:rsid w:val="0036201E"/>
    <w:rsid w:val="003633E1"/>
    <w:rsid w:val="0036373E"/>
    <w:rsid w:val="003639F7"/>
    <w:rsid w:val="00363AD4"/>
    <w:rsid w:val="00363D93"/>
    <w:rsid w:val="00363EAE"/>
    <w:rsid w:val="00364893"/>
    <w:rsid w:val="00365A9D"/>
    <w:rsid w:val="00366C81"/>
    <w:rsid w:val="00366D2F"/>
    <w:rsid w:val="00367FDD"/>
    <w:rsid w:val="0037282B"/>
    <w:rsid w:val="0037338E"/>
    <w:rsid w:val="003738CE"/>
    <w:rsid w:val="0037433D"/>
    <w:rsid w:val="003764D2"/>
    <w:rsid w:val="00376B56"/>
    <w:rsid w:val="003773A5"/>
    <w:rsid w:val="003775F7"/>
    <w:rsid w:val="0037765D"/>
    <w:rsid w:val="0037791B"/>
    <w:rsid w:val="00377CC1"/>
    <w:rsid w:val="0038033E"/>
    <w:rsid w:val="003822A4"/>
    <w:rsid w:val="003822B8"/>
    <w:rsid w:val="00382429"/>
    <w:rsid w:val="00382C45"/>
    <w:rsid w:val="00382C7E"/>
    <w:rsid w:val="00383387"/>
    <w:rsid w:val="0038351C"/>
    <w:rsid w:val="00383891"/>
    <w:rsid w:val="003845F8"/>
    <w:rsid w:val="00384A94"/>
    <w:rsid w:val="003852A8"/>
    <w:rsid w:val="00385827"/>
    <w:rsid w:val="00385E7A"/>
    <w:rsid w:val="00386A77"/>
    <w:rsid w:val="00386B3B"/>
    <w:rsid w:val="003872A8"/>
    <w:rsid w:val="00387EF5"/>
    <w:rsid w:val="0039030C"/>
    <w:rsid w:val="003906A3"/>
    <w:rsid w:val="003907C0"/>
    <w:rsid w:val="00390A55"/>
    <w:rsid w:val="003916E8"/>
    <w:rsid w:val="00391F3C"/>
    <w:rsid w:val="00392149"/>
    <w:rsid w:val="00392461"/>
    <w:rsid w:val="00392690"/>
    <w:rsid w:val="0039288E"/>
    <w:rsid w:val="00393021"/>
    <w:rsid w:val="00393365"/>
    <w:rsid w:val="0039363C"/>
    <w:rsid w:val="00393D4C"/>
    <w:rsid w:val="00394B4B"/>
    <w:rsid w:val="00397EBC"/>
    <w:rsid w:val="00397F87"/>
    <w:rsid w:val="003A185C"/>
    <w:rsid w:val="003A1C83"/>
    <w:rsid w:val="003A1FAF"/>
    <w:rsid w:val="003A24EE"/>
    <w:rsid w:val="003A2A46"/>
    <w:rsid w:val="003A2BEE"/>
    <w:rsid w:val="003A4F37"/>
    <w:rsid w:val="003A53B6"/>
    <w:rsid w:val="003A5F71"/>
    <w:rsid w:val="003A6060"/>
    <w:rsid w:val="003A797D"/>
    <w:rsid w:val="003A7EA6"/>
    <w:rsid w:val="003B03DB"/>
    <w:rsid w:val="003B080C"/>
    <w:rsid w:val="003B0BC6"/>
    <w:rsid w:val="003B25FB"/>
    <w:rsid w:val="003B436D"/>
    <w:rsid w:val="003B45BC"/>
    <w:rsid w:val="003B49C5"/>
    <w:rsid w:val="003B500B"/>
    <w:rsid w:val="003B7173"/>
    <w:rsid w:val="003B76FC"/>
    <w:rsid w:val="003B7796"/>
    <w:rsid w:val="003B77DC"/>
    <w:rsid w:val="003C0070"/>
    <w:rsid w:val="003C008F"/>
    <w:rsid w:val="003C1764"/>
    <w:rsid w:val="003C1D2A"/>
    <w:rsid w:val="003C2AF5"/>
    <w:rsid w:val="003C4520"/>
    <w:rsid w:val="003C4616"/>
    <w:rsid w:val="003C4D5C"/>
    <w:rsid w:val="003C522F"/>
    <w:rsid w:val="003C562D"/>
    <w:rsid w:val="003C58A1"/>
    <w:rsid w:val="003C6DB2"/>
    <w:rsid w:val="003C7D73"/>
    <w:rsid w:val="003C7EC0"/>
    <w:rsid w:val="003D0205"/>
    <w:rsid w:val="003D086A"/>
    <w:rsid w:val="003D1587"/>
    <w:rsid w:val="003D238C"/>
    <w:rsid w:val="003D24F7"/>
    <w:rsid w:val="003D3259"/>
    <w:rsid w:val="003D38BA"/>
    <w:rsid w:val="003D589D"/>
    <w:rsid w:val="003D6965"/>
    <w:rsid w:val="003D6DAE"/>
    <w:rsid w:val="003E0184"/>
    <w:rsid w:val="003E042B"/>
    <w:rsid w:val="003E0721"/>
    <w:rsid w:val="003E0CD3"/>
    <w:rsid w:val="003E13FF"/>
    <w:rsid w:val="003E14E7"/>
    <w:rsid w:val="003E1E30"/>
    <w:rsid w:val="003E2182"/>
    <w:rsid w:val="003E333B"/>
    <w:rsid w:val="003E334E"/>
    <w:rsid w:val="003E3BF0"/>
    <w:rsid w:val="003E4056"/>
    <w:rsid w:val="003E42A7"/>
    <w:rsid w:val="003E4507"/>
    <w:rsid w:val="003E5852"/>
    <w:rsid w:val="003E5EB4"/>
    <w:rsid w:val="003E5F67"/>
    <w:rsid w:val="003E6E09"/>
    <w:rsid w:val="003E6F20"/>
    <w:rsid w:val="003E718F"/>
    <w:rsid w:val="003E7D50"/>
    <w:rsid w:val="003F101A"/>
    <w:rsid w:val="003F1095"/>
    <w:rsid w:val="003F15CD"/>
    <w:rsid w:val="003F1B20"/>
    <w:rsid w:val="003F2112"/>
    <w:rsid w:val="003F2267"/>
    <w:rsid w:val="003F2E97"/>
    <w:rsid w:val="003F3171"/>
    <w:rsid w:val="003F382F"/>
    <w:rsid w:val="003F41E8"/>
    <w:rsid w:val="003F4D4E"/>
    <w:rsid w:val="003F5570"/>
    <w:rsid w:val="003F6082"/>
    <w:rsid w:val="003F6180"/>
    <w:rsid w:val="003F6452"/>
    <w:rsid w:val="003F6931"/>
    <w:rsid w:val="003F7D6D"/>
    <w:rsid w:val="004006D6"/>
    <w:rsid w:val="00401DB1"/>
    <w:rsid w:val="00402646"/>
    <w:rsid w:val="00402C0A"/>
    <w:rsid w:val="004039CF"/>
    <w:rsid w:val="00404F09"/>
    <w:rsid w:val="00405792"/>
    <w:rsid w:val="00405802"/>
    <w:rsid w:val="00405E5E"/>
    <w:rsid w:val="004066FB"/>
    <w:rsid w:val="00407458"/>
    <w:rsid w:val="004079D9"/>
    <w:rsid w:val="00410282"/>
    <w:rsid w:val="00410585"/>
    <w:rsid w:val="0041072B"/>
    <w:rsid w:val="00410764"/>
    <w:rsid w:val="004113FC"/>
    <w:rsid w:val="0041223C"/>
    <w:rsid w:val="004126E0"/>
    <w:rsid w:val="00412E27"/>
    <w:rsid w:val="0041542E"/>
    <w:rsid w:val="004154BF"/>
    <w:rsid w:val="00415780"/>
    <w:rsid w:val="00415A8A"/>
    <w:rsid w:val="00415D23"/>
    <w:rsid w:val="0041615B"/>
    <w:rsid w:val="00416645"/>
    <w:rsid w:val="004168C5"/>
    <w:rsid w:val="00416D78"/>
    <w:rsid w:val="00417BC7"/>
    <w:rsid w:val="0042096D"/>
    <w:rsid w:val="00420E6D"/>
    <w:rsid w:val="00421C2B"/>
    <w:rsid w:val="004233B2"/>
    <w:rsid w:val="004236FB"/>
    <w:rsid w:val="004237BE"/>
    <w:rsid w:val="00423B8C"/>
    <w:rsid w:val="00423FF8"/>
    <w:rsid w:val="00424232"/>
    <w:rsid w:val="00424370"/>
    <w:rsid w:val="00424BCC"/>
    <w:rsid w:val="00427129"/>
    <w:rsid w:val="0042715C"/>
    <w:rsid w:val="004274FB"/>
    <w:rsid w:val="004301B1"/>
    <w:rsid w:val="00430339"/>
    <w:rsid w:val="004303D4"/>
    <w:rsid w:val="00432121"/>
    <w:rsid w:val="004326BA"/>
    <w:rsid w:val="004333A6"/>
    <w:rsid w:val="004338B0"/>
    <w:rsid w:val="00433900"/>
    <w:rsid w:val="00434AED"/>
    <w:rsid w:val="00434EAA"/>
    <w:rsid w:val="004350B4"/>
    <w:rsid w:val="004363E7"/>
    <w:rsid w:val="004376E9"/>
    <w:rsid w:val="00437EE6"/>
    <w:rsid w:val="004400F3"/>
    <w:rsid w:val="004416DD"/>
    <w:rsid w:val="00441D12"/>
    <w:rsid w:val="004425B4"/>
    <w:rsid w:val="00443B24"/>
    <w:rsid w:val="00445AD1"/>
    <w:rsid w:val="004460F3"/>
    <w:rsid w:val="004465A9"/>
    <w:rsid w:val="0044683C"/>
    <w:rsid w:val="00446E3D"/>
    <w:rsid w:val="00447213"/>
    <w:rsid w:val="00447CE2"/>
    <w:rsid w:val="00450FFB"/>
    <w:rsid w:val="004511E3"/>
    <w:rsid w:val="004520ED"/>
    <w:rsid w:val="00452E71"/>
    <w:rsid w:val="00453895"/>
    <w:rsid w:val="00453EBB"/>
    <w:rsid w:val="004542CB"/>
    <w:rsid w:val="0045480C"/>
    <w:rsid w:val="00454DE2"/>
    <w:rsid w:val="004555C5"/>
    <w:rsid w:val="00457544"/>
    <w:rsid w:val="0046063A"/>
    <w:rsid w:val="0046069B"/>
    <w:rsid w:val="004607F9"/>
    <w:rsid w:val="00460DA4"/>
    <w:rsid w:val="00461382"/>
    <w:rsid w:val="00462D9B"/>
    <w:rsid w:val="004630FD"/>
    <w:rsid w:val="0046342A"/>
    <w:rsid w:val="00463E1B"/>
    <w:rsid w:val="0046401C"/>
    <w:rsid w:val="00464999"/>
    <w:rsid w:val="004650EF"/>
    <w:rsid w:val="004676E9"/>
    <w:rsid w:val="00467822"/>
    <w:rsid w:val="00467898"/>
    <w:rsid w:val="00470476"/>
    <w:rsid w:val="00471219"/>
    <w:rsid w:val="00471564"/>
    <w:rsid w:val="0047382F"/>
    <w:rsid w:val="00473C03"/>
    <w:rsid w:val="00474DB3"/>
    <w:rsid w:val="004753B8"/>
    <w:rsid w:val="00475748"/>
    <w:rsid w:val="00476BBF"/>
    <w:rsid w:val="00477AEB"/>
    <w:rsid w:val="00477C21"/>
    <w:rsid w:val="00480BD3"/>
    <w:rsid w:val="00480E1C"/>
    <w:rsid w:val="00480ED4"/>
    <w:rsid w:val="004810CA"/>
    <w:rsid w:val="00481B48"/>
    <w:rsid w:val="004824DF"/>
    <w:rsid w:val="00484148"/>
    <w:rsid w:val="004845DF"/>
    <w:rsid w:val="004860C8"/>
    <w:rsid w:val="0048617F"/>
    <w:rsid w:val="004870BB"/>
    <w:rsid w:val="004874ED"/>
    <w:rsid w:val="0049006E"/>
    <w:rsid w:val="00491CA5"/>
    <w:rsid w:val="00492569"/>
    <w:rsid w:val="00492593"/>
    <w:rsid w:val="00493825"/>
    <w:rsid w:val="004946A1"/>
    <w:rsid w:val="00495EE5"/>
    <w:rsid w:val="00496239"/>
    <w:rsid w:val="00496267"/>
    <w:rsid w:val="00496540"/>
    <w:rsid w:val="00496F58"/>
    <w:rsid w:val="004A009F"/>
    <w:rsid w:val="004A1991"/>
    <w:rsid w:val="004A1F33"/>
    <w:rsid w:val="004A2693"/>
    <w:rsid w:val="004A2A11"/>
    <w:rsid w:val="004A2E1E"/>
    <w:rsid w:val="004A3F21"/>
    <w:rsid w:val="004A44AE"/>
    <w:rsid w:val="004A478F"/>
    <w:rsid w:val="004A4B21"/>
    <w:rsid w:val="004A4C5E"/>
    <w:rsid w:val="004A65D9"/>
    <w:rsid w:val="004A7286"/>
    <w:rsid w:val="004A7AB9"/>
    <w:rsid w:val="004B1083"/>
    <w:rsid w:val="004B1BB6"/>
    <w:rsid w:val="004B21D8"/>
    <w:rsid w:val="004B2282"/>
    <w:rsid w:val="004B3258"/>
    <w:rsid w:val="004B36C2"/>
    <w:rsid w:val="004B3765"/>
    <w:rsid w:val="004B39C1"/>
    <w:rsid w:val="004B3D77"/>
    <w:rsid w:val="004B46CA"/>
    <w:rsid w:val="004B4B38"/>
    <w:rsid w:val="004B6214"/>
    <w:rsid w:val="004B67D1"/>
    <w:rsid w:val="004B7182"/>
    <w:rsid w:val="004B74DD"/>
    <w:rsid w:val="004C031B"/>
    <w:rsid w:val="004C0519"/>
    <w:rsid w:val="004C07D7"/>
    <w:rsid w:val="004C0F35"/>
    <w:rsid w:val="004C193F"/>
    <w:rsid w:val="004C1A8A"/>
    <w:rsid w:val="004C1D16"/>
    <w:rsid w:val="004C1E29"/>
    <w:rsid w:val="004C2023"/>
    <w:rsid w:val="004C2D1E"/>
    <w:rsid w:val="004C32E5"/>
    <w:rsid w:val="004C34B1"/>
    <w:rsid w:val="004C4357"/>
    <w:rsid w:val="004C4429"/>
    <w:rsid w:val="004C4656"/>
    <w:rsid w:val="004C50AB"/>
    <w:rsid w:val="004C5351"/>
    <w:rsid w:val="004C5697"/>
    <w:rsid w:val="004C5734"/>
    <w:rsid w:val="004C6E98"/>
    <w:rsid w:val="004C6EA0"/>
    <w:rsid w:val="004C6EFC"/>
    <w:rsid w:val="004C7260"/>
    <w:rsid w:val="004C7DF5"/>
    <w:rsid w:val="004C7FDD"/>
    <w:rsid w:val="004D067C"/>
    <w:rsid w:val="004D072B"/>
    <w:rsid w:val="004D0CC6"/>
    <w:rsid w:val="004D1634"/>
    <w:rsid w:val="004D18C2"/>
    <w:rsid w:val="004D27C4"/>
    <w:rsid w:val="004D2AC1"/>
    <w:rsid w:val="004D2C5E"/>
    <w:rsid w:val="004D3FCF"/>
    <w:rsid w:val="004D44DC"/>
    <w:rsid w:val="004D470B"/>
    <w:rsid w:val="004D4765"/>
    <w:rsid w:val="004D4CC6"/>
    <w:rsid w:val="004D4E3E"/>
    <w:rsid w:val="004D52FF"/>
    <w:rsid w:val="004D5837"/>
    <w:rsid w:val="004D63C6"/>
    <w:rsid w:val="004D7742"/>
    <w:rsid w:val="004D7796"/>
    <w:rsid w:val="004E03FE"/>
    <w:rsid w:val="004E1DDA"/>
    <w:rsid w:val="004E2027"/>
    <w:rsid w:val="004E23B9"/>
    <w:rsid w:val="004E33E6"/>
    <w:rsid w:val="004E3802"/>
    <w:rsid w:val="004E4631"/>
    <w:rsid w:val="004E4C3E"/>
    <w:rsid w:val="004E5DDF"/>
    <w:rsid w:val="004E7513"/>
    <w:rsid w:val="004E7687"/>
    <w:rsid w:val="004F0179"/>
    <w:rsid w:val="004F0776"/>
    <w:rsid w:val="004F07B4"/>
    <w:rsid w:val="004F0A2E"/>
    <w:rsid w:val="004F0A50"/>
    <w:rsid w:val="004F0BBC"/>
    <w:rsid w:val="004F158C"/>
    <w:rsid w:val="004F2179"/>
    <w:rsid w:val="004F2D39"/>
    <w:rsid w:val="004F2E66"/>
    <w:rsid w:val="004F31B6"/>
    <w:rsid w:val="00500239"/>
    <w:rsid w:val="005013C8"/>
    <w:rsid w:val="00501669"/>
    <w:rsid w:val="00501833"/>
    <w:rsid w:val="00501D1E"/>
    <w:rsid w:val="00502D77"/>
    <w:rsid w:val="00502E30"/>
    <w:rsid w:val="0050301A"/>
    <w:rsid w:val="00503965"/>
    <w:rsid w:val="00503B38"/>
    <w:rsid w:val="00503F0C"/>
    <w:rsid w:val="005048EF"/>
    <w:rsid w:val="00506243"/>
    <w:rsid w:val="00506740"/>
    <w:rsid w:val="00506AF4"/>
    <w:rsid w:val="0051007B"/>
    <w:rsid w:val="00510100"/>
    <w:rsid w:val="005103F6"/>
    <w:rsid w:val="00510FF3"/>
    <w:rsid w:val="00511A3F"/>
    <w:rsid w:val="005123B0"/>
    <w:rsid w:val="00512C46"/>
    <w:rsid w:val="00513292"/>
    <w:rsid w:val="005133F8"/>
    <w:rsid w:val="005140B3"/>
    <w:rsid w:val="00514644"/>
    <w:rsid w:val="00515E9D"/>
    <w:rsid w:val="005170DB"/>
    <w:rsid w:val="0051736C"/>
    <w:rsid w:val="0051783C"/>
    <w:rsid w:val="00517A78"/>
    <w:rsid w:val="00520130"/>
    <w:rsid w:val="00520994"/>
    <w:rsid w:val="00520DE4"/>
    <w:rsid w:val="005212D1"/>
    <w:rsid w:val="00521398"/>
    <w:rsid w:val="005216F4"/>
    <w:rsid w:val="00521A71"/>
    <w:rsid w:val="00521C4C"/>
    <w:rsid w:val="005230ED"/>
    <w:rsid w:val="0052353E"/>
    <w:rsid w:val="005241CD"/>
    <w:rsid w:val="005253CD"/>
    <w:rsid w:val="005254B6"/>
    <w:rsid w:val="00525807"/>
    <w:rsid w:val="00526CD8"/>
    <w:rsid w:val="00526EAD"/>
    <w:rsid w:val="00527552"/>
    <w:rsid w:val="00530019"/>
    <w:rsid w:val="00530813"/>
    <w:rsid w:val="00530C83"/>
    <w:rsid w:val="00531CED"/>
    <w:rsid w:val="00531D80"/>
    <w:rsid w:val="0053214E"/>
    <w:rsid w:val="005324E4"/>
    <w:rsid w:val="005329CE"/>
    <w:rsid w:val="00532A14"/>
    <w:rsid w:val="00533A96"/>
    <w:rsid w:val="00534464"/>
    <w:rsid w:val="005355C1"/>
    <w:rsid w:val="00535B0B"/>
    <w:rsid w:val="005360E0"/>
    <w:rsid w:val="005364A9"/>
    <w:rsid w:val="00536A36"/>
    <w:rsid w:val="00537EAD"/>
    <w:rsid w:val="005402D0"/>
    <w:rsid w:val="005407B3"/>
    <w:rsid w:val="0054154B"/>
    <w:rsid w:val="005425D7"/>
    <w:rsid w:val="005429C0"/>
    <w:rsid w:val="005429D8"/>
    <w:rsid w:val="00543A5B"/>
    <w:rsid w:val="005448F0"/>
    <w:rsid w:val="0054503F"/>
    <w:rsid w:val="00545325"/>
    <w:rsid w:val="005453AD"/>
    <w:rsid w:val="00545DB7"/>
    <w:rsid w:val="005462E0"/>
    <w:rsid w:val="00546C28"/>
    <w:rsid w:val="00547001"/>
    <w:rsid w:val="00547251"/>
    <w:rsid w:val="005478AA"/>
    <w:rsid w:val="00550097"/>
    <w:rsid w:val="00550481"/>
    <w:rsid w:val="00550683"/>
    <w:rsid w:val="005511C0"/>
    <w:rsid w:val="0055255E"/>
    <w:rsid w:val="0055448A"/>
    <w:rsid w:val="0055471E"/>
    <w:rsid w:val="00555A2D"/>
    <w:rsid w:val="00555DC1"/>
    <w:rsid w:val="005567A5"/>
    <w:rsid w:val="00560806"/>
    <w:rsid w:val="00560AC2"/>
    <w:rsid w:val="00560F48"/>
    <w:rsid w:val="0056185D"/>
    <w:rsid w:val="00561DE3"/>
    <w:rsid w:val="005623A4"/>
    <w:rsid w:val="00562825"/>
    <w:rsid w:val="00562CB9"/>
    <w:rsid w:val="00563E7F"/>
    <w:rsid w:val="005651DF"/>
    <w:rsid w:val="0056536A"/>
    <w:rsid w:val="0056585D"/>
    <w:rsid w:val="005667D3"/>
    <w:rsid w:val="005669E9"/>
    <w:rsid w:val="005678C9"/>
    <w:rsid w:val="00567EE8"/>
    <w:rsid w:val="0057014C"/>
    <w:rsid w:val="005713D9"/>
    <w:rsid w:val="00573793"/>
    <w:rsid w:val="005742A7"/>
    <w:rsid w:val="00576042"/>
    <w:rsid w:val="00576136"/>
    <w:rsid w:val="0057660A"/>
    <w:rsid w:val="005770D8"/>
    <w:rsid w:val="00577A29"/>
    <w:rsid w:val="00577EBF"/>
    <w:rsid w:val="00580632"/>
    <w:rsid w:val="0058170B"/>
    <w:rsid w:val="00581CF2"/>
    <w:rsid w:val="00581D96"/>
    <w:rsid w:val="005828DE"/>
    <w:rsid w:val="00582938"/>
    <w:rsid w:val="0058309C"/>
    <w:rsid w:val="005851F3"/>
    <w:rsid w:val="00586D56"/>
    <w:rsid w:val="0058721B"/>
    <w:rsid w:val="00590CD1"/>
    <w:rsid w:val="00591360"/>
    <w:rsid w:val="00591AAD"/>
    <w:rsid w:val="00591DFC"/>
    <w:rsid w:val="00592A5D"/>
    <w:rsid w:val="00592D2A"/>
    <w:rsid w:val="0059373E"/>
    <w:rsid w:val="00594EC0"/>
    <w:rsid w:val="0059545B"/>
    <w:rsid w:val="00596D16"/>
    <w:rsid w:val="00596DC4"/>
    <w:rsid w:val="005A0E19"/>
    <w:rsid w:val="005A224F"/>
    <w:rsid w:val="005A268E"/>
    <w:rsid w:val="005A3F5D"/>
    <w:rsid w:val="005A5F79"/>
    <w:rsid w:val="005A7103"/>
    <w:rsid w:val="005A7372"/>
    <w:rsid w:val="005A79B9"/>
    <w:rsid w:val="005A7A1D"/>
    <w:rsid w:val="005B0CEE"/>
    <w:rsid w:val="005B214C"/>
    <w:rsid w:val="005B2527"/>
    <w:rsid w:val="005B4E15"/>
    <w:rsid w:val="005B583B"/>
    <w:rsid w:val="005B5A2B"/>
    <w:rsid w:val="005B6758"/>
    <w:rsid w:val="005B6852"/>
    <w:rsid w:val="005B6B94"/>
    <w:rsid w:val="005B72DA"/>
    <w:rsid w:val="005B7348"/>
    <w:rsid w:val="005B79A8"/>
    <w:rsid w:val="005B7DF7"/>
    <w:rsid w:val="005B7E73"/>
    <w:rsid w:val="005C12E9"/>
    <w:rsid w:val="005C14DC"/>
    <w:rsid w:val="005C1E5C"/>
    <w:rsid w:val="005C2D29"/>
    <w:rsid w:val="005C326A"/>
    <w:rsid w:val="005C386B"/>
    <w:rsid w:val="005C3EB0"/>
    <w:rsid w:val="005C4719"/>
    <w:rsid w:val="005C47D6"/>
    <w:rsid w:val="005C50B4"/>
    <w:rsid w:val="005C61C4"/>
    <w:rsid w:val="005C6209"/>
    <w:rsid w:val="005C6232"/>
    <w:rsid w:val="005C62AB"/>
    <w:rsid w:val="005C6739"/>
    <w:rsid w:val="005C6A97"/>
    <w:rsid w:val="005C6ABF"/>
    <w:rsid w:val="005C7960"/>
    <w:rsid w:val="005D03FC"/>
    <w:rsid w:val="005D082B"/>
    <w:rsid w:val="005D146B"/>
    <w:rsid w:val="005D1CAE"/>
    <w:rsid w:val="005D2E94"/>
    <w:rsid w:val="005D32B9"/>
    <w:rsid w:val="005D3C7D"/>
    <w:rsid w:val="005D4C9D"/>
    <w:rsid w:val="005D50B8"/>
    <w:rsid w:val="005D5217"/>
    <w:rsid w:val="005D5811"/>
    <w:rsid w:val="005D6DFF"/>
    <w:rsid w:val="005D7212"/>
    <w:rsid w:val="005D72C0"/>
    <w:rsid w:val="005E04D3"/>
    <w:rsid w:val="005E0585"/>
    <w:rsid w:val="005E1071"/>
    <w:rsid w:val="005E135F"/>
    <w:rsid w:val="005E14C5"/>
    <w:rsid w:val="005E1AD4"/>
    <w:rsid w:val="005E216A"/>
    <w:rsid w:val="005E21ED"/>
    <w:rsid w:val="005E3267"/>
    <w:rsid w:val="005E424D"/>
    <w:rsid w:val="005E63E0"/>
    <w:rsid w:val="005E6A58"/>
    <w:rsid w:val="005E74AA"/>
    <w:rsid w:val="005F037B"/>
    <w:rsid w:val="005F20ED"/>
    <w:rsid w:val="005F250C"/>
    <w:rsid w:val="005F265C"/>
    <w:rsid w:val="005F272D"/>
    <w:rsid w:val="005F276A"/>
    <w:rsid w:val="005F34DC"/>
    <w:rsid w:val="005F472D"/>
    <w:rsid w:val="005F486C"/>
    <w:rsid w:val="005F4A05"/>
    <w:rsid w:val="005F515D"/>
    <w:rsid w:val="005F58F6"/>
    <w:rsid w:val="005F6A04"/>
    <w:rsid w:val="005F70C0"/>
    <w:rsid w:val="005F7D1A"/>
    <w:rsid w:val="0060026A"/>
    <w:rsid w:val="00600974"/>
    <w:rsid w:val="00600D49"/>
    <w:rsid w:val="00601AD4"/>
    <w:rsid w:val="00601EFD"/>
    <w:rsid w:val="006026B5"/>
    <w:rsid w:val="00602F06"/>
    <w:rsid w:val="0060367E"/>
    <w:rsid w:val="00603A0D"/>
    <w:rsid w:val="00604420"/>
    <w:rsid w:val="006047C3"/>
    <w:rsid w:val="00604D8B"/>
    <w:rsid w:val="0060515D"/>
    <w:rsid w:val="0060572C"/>
    <w:rsid w:val="00605ADC"/>
    <w:rsid w:val="00605E01"/>
    <w:rsid w:val="0060714A"/>
    <w:rsid w:val="006077C1"/>
    <w:rsid w:val="00610392"/>
    <w:rsid w:val="0061141D"/>
    <w:rsid w:val="00611CD4"/>
    <w:rsid w:val="00611CE4"/>
    <w:rsid w:val="00612728"/>
    <w:rsid w:val="00612914"/>
    <w:rsid w:val="00612E4C"/>
    <w:rsid w:val="006147E7"/>
    <w:rsid w:val="006148C0"/>
    <w:rsid w:val="0061506A"/>
    <w:rsid w:val="00615574"/>
    <w:rsid w:val="006156DE"/>
    <w:rsid w:val="00615AC0"/>
    <w:rsid w:val="00616E90"/>
    <w:rsid w:val="0061737F"/>
    <w:rsid w:val="006207BC"/>
    <w:rsid w:val="00621166"/>
    <w:rsid w:val="00621C81"/>
    <w:rsid w:val="00621DDA"/>
    <w:rsid w:val="00621E03"/>
    <w:rsid w:val="00623207"/>
    <w:rsid w:val="0062332E"/>
    <w:rsid w:val="00623DFC"/>
    <w:rsid w:val="0062412C"/>
    <w:rsid w:val="0062440C"/>
    <w:rsid w:val="0062472F"/>
    <w:rsid w:val="006247C0"/>
    <w:rsid w:val="00625048"/>
    <w:rsid w:val="00625D78"/>
    <w:rsid w:val="00626629"/>
    <w:rsid w:val="00626A56"/>
    <w:rsid w:val="00626E36"/>
    <w:rsid w:val="00627173"/>
    <w:rsid w:val="00627474"/>
    <w:rsid w:val="00627B8B"/>
    <w:rsid w:val="0063105D"/>
    <w:rsid w:val="0063330A"/>
    <w:rsid w:val="00633CBC"/>
    <w:rsid w:val="00633D90"/>
    <w:rsid w:val="006347A2"/>
    <w:rsid w:val="00634A5D"/>
    <w:rsid w:val="0063570F"/>
    <w:rsid w:val="00635711"/>
    <w:rsid w:val="006363D5"/>
    <w:rsid w:val="006363DA"/>
    <w:rsid w:val="00640F05"/>
    <w:rsid w:val="006421DF"/>
    <w:rsid w:val="00643884"/>
    <w:rsid w:val="0064418E"/>
    <w:rsid w:val="00644F7F"/>
    <w:rsid w:val="0064538E"/>
    <w:rsid w:val="00645472"/>
    <w:rsid w:val="00645F55"/>
    <w:rsid w:val="00646A25"/>
    <w:rsid w:val="00646EA5"/>
    <w:rsid w:val="00647A5E"/>
    <w:rsid w:val="00647B5F"/>
    <w:rsid w:val="00647B67"/>
    <w:rsid w:val="00647C7F"/>
    <w:rsid w:val="00650039"/>
    <w:rsid w:val="006510E8"/>
    <w:rsid w:val="00651C76"/>
    <w:rsid w:val="00654555"/>
    <w:rsid w:val="00654915"/>
    <w:rsid w:val="00654D9A"/>
    <w:rsid w:val="00654EEE"/>
    <w:rsid w:val="00655F87"/>
    <w:rsid w:val="006562F3"/>
    <w:rsid w:val="00656573"/>
    <w:rsid w:val="00657568"/>
    <w:rsid w:val="006600B9"/>
    <w:rsid w:val="00660260"/>
    <w:rsid w:val="00661381"/>
    <w:rsid w:val="0066164D"/>
    <w:rsid w:val="00661B4A"/>
    <w:rsid w:val="00662265"/>
    <w:rsid w:val="006624E0"/>
    <w:rsid w:val="00662FB6"/>
    <w:rsid w:val="00663804"/>
    <w:rsid w:val="00664193"/>
    <w:rsid w:val="006643DF"/>
    <w:rsid w:val="00664E12"/>
    <w:rsid w:val="006651D0"/>
    <w:rsid w:val="006653DB"/>
    <w:rsid w:val="0066573E"/>
    <w:rsid w:val="00665D65"/>
    <w:rsid w:val="006664BC"/>
    <w:rsid w:val="006665F2"/>
    <w:rsid w:val="00666FE8"/>
    <w:rsid w:val="006671DE"/>
    <w:rsid w:val="00667EA6"/>
    <w:rsid w:val="006702FE"/>
    <w:rsid w:val="00670AF3"/>
    <w:rsid w:val="00670B5E"/>
    <w:rsid w:val="00671C63"/>
    <w:rsid w:val="00671FF3"/>
    <w:rsid w:val="006726D4"/>
    <w:rsid w:val="00672BF0"/>
    <w:rsid w:val="00672EBC"/>
    <w:rsid w:val="006733E5"/>
    <w:rsid w:val="006736C1"/>
    <w:rsid w:val="006743BA"/>
    <w:rsid w:val="00674A18"/>
    <w:rsid w:val="0067528F"/>
    <w:rsid w:val="0067619F"/>
    <w:rsid w:val="00677784"/>
    <w:rsid w:val="0068001A"/>
    <w:rsid w:val="0068018B"/>
    <w:rsid w:val="00680B45"/>
    <w:rsid w:val="00680B97"/>
    <w:rsid w:val="006810FA"/>
    <w:rsid w:val="00681A38"/>
    <w:rsid w:val="00682F92"/>
    <w:rsid w:val="00683085"/>
    <w:rsid w:val="00683B4C"/>
    <w:rsid w:val="0068522C"/>
    <w:rsid w:val="0068609C"/>
    <w:rsid w:val="006874D8"/>
    <w:rsid w:val="00687E01"/>
    <w:rsid w:val="00687F19"/>
    <w:rsid w:val="00690220"/>
    <w:rsid w:val="00690638"/>
    <w:rsid w:val="00691098"/>
    <w:rsid w:val="00691980"/>
    <w:rsid w:val="006932B6"/>
    <w:rsid w:val="00694402"/>
    <w:rsid w:val="0069481D"/>
    <w:rsid w:val="00694887"/>
    <w:rsid w:val="00694C91"/>
    <w:rsid w:val="006950FD"/>
    <w:rsid w:val="006957C4"/>
    <w:rsid w:val="00696109"/>
    <w:rsid w:val="00696684"/>
    <w:rsid w:val="006967E5"/>
    <w:rsid w:val="00696B27"/>
    <w:rsid w:val="006A02CB"/>
    <w:rsid w:val="006A0D9E"/>
    <w:rsid w:val="006A10D8"/>
    <w:rsid w:val="006A1449"/>
    <w:rsid w:val="006A1797"/>
    <w:rsid w:val="006A1EAF"/>
    <w:rsid w:val="006A2403"/>
    <w:rsid w:val="006A25A4"/>
    <w:rsid w:val="006A298B"/>
    <w:rsid w:val="006A2FFC"/>
    <w:rsid w:val="006A3379"/>
    <w:rsid w:val="006A33C7"/>
    <w:rsid w:val="006A3701"/>
    <w:rsid w:val="006A39AF"/>
    <w:rsid w:val="006A3D83"/>
    <w:rsid w:val="006A5308"/>
    <w:rsid w:val="006A59BA"/>
    <w:rsid w:val="006A59DA"/>
    <w:rsid w:val="006A5D0C"/>
    <w:rsid w:val="006A6B2B"/>
    <w:rsid w:val="006A6CA2"/>
    <w:rsid w:val="006A7844"/>
    <w:rsid w:val="006B0212"/>
    <w:rsid w:val="006B1C46"/>
    <w:rsid w:val="006B1E20"/>
    <w:rsid w:val="006B2C55"/>
    <w:rsid w:val="006B32A5"/>
    <w:rsid w:val="006B38E7"/>
    <w:rsid w:val="006B404E"/>
    <w:rsid w:val="006B522D"/>
    <w:rsid w:val="006B5339"/>
    <w:rsid w:val="006B5367"/>
    <w:rsid w:val="006B5455"/>
    <w:rsid w:val="006B63AA"/>
    <w:rsid w:val="006B66C8"/>
    <w:rsid w:val="006B7579"/>
    <w:rsid w:val="006B7E61"/>
    <w:rsid w:val="006B7FD5"/>
    <w:rsid w:val="006B7FDD"/>
    <w:rsid w:val="006C0111"/>
    <w:rsid w:val="006C012F"/>
    <w:rsid w:val="006C0731"/>
    <w:rsid w:val="006C119B"/>
    <w:rsid w:val="006C1DF0"/>
    <w:rsid w:val="006C208C"/>
    <w:rsid w:val="006C3157"/>
    <w:rsid w:val="006C5277"/>
    <w:rsid w:val="006C54F9"/>
    <w:rsid w:val="006C6955"/>
    <w:rsid w:val="006C73EB"/>
    <w:rsid w:val="006C7B78"/>
    <w:rsid w:val="006D123A"/>
    <w:rsid w:val="006D2000"/>
    <w:rsid w:val="006D2689"/>
    <w:rsid w:val="006D3D6F"/>
    <w:rsid w:val="006D5A20"/>
    <w:rsid w:val="006D5FF4"/>
    <w:rsid w:val="006D6134"/>
    <w:rsid w:val="006D64C7"/>
    <w:rsid w:val="006D6704"/>
    <w:rsid w:val="006D6C92"/>
    <w:rsid w:val="006D6D53"/>
    <w:rsid w:val="006D76C3"/>
    <w:rsid w:val="006D7DF8"/>
    <w:rsid w:val="006E0634"/>
    <w:rsid w:val="006E17C0"/>
    <w:rsid w:val="006E188C"/>
    <w:rsid w:val="006E190E"/>
    <w:rsid w:val="006E2D7D"/>
    <w:rsid w:val="006E33B2"/>
    <w:rsid w:val="006E3A1F"/>
    <w:rsid w:val="006E42CB"/>
    <w:rsid w:val="006E49ED"/>
    <w:rsid w:val="006E5612"/>
    <w:rsid w:val="006E592D"/>
    <w:rsid w:val="006E62A3"/>
    <w:rsid w:val="006E6620"/>
    <w:rsid w:val="006E7719"/>
    <w:rsid w:val="006E7B1E"/>
    <w:rsid w:val="006F106B"/>
    <w:rsid w:val="006F108F"/>
    <w:rsid w:val="006F1BBF"/>
    <w:rsid w:val="006F2DED"/>
    <w:rsid w:val="006F46C4"/>
    <w:rsid w:val="006F4A9F"/>
    <w:rsid w:val="006F4FC7"/>
    <w:rsid w:val="006F5022"/>
    <w:rsid w:val="006F611E"/>
    <w:rsid w:val="006F74E4"/>
    <w:rsid w:val="006F770D"/>
    <w:rsid w:val="00700E28"/>
    <w:rsid w:val="007022E1"/>
    <w:rsid w:val="0070290A"/>
    <w:rsid w:val="0070320D"/>
    <w:rsid w:val="007033FB"/>
    <w:rsid w:val="007040AD"/>
    <w:rsid w:val="007049BE"/>
    <w:rsid w:val="00704A99"/>
    <w:rsid w:val="00704F7C"/>
    <w:rsid w:val="00705D76"/>
    <w:rsid w:val="0070660A"/>
    <w:rsid w:val="00706680"/>
    <w:rsid w:val="00706B95"/>
    <w:rsid w:val="00706F32"/>
    <w:rsid w:val="00707B58"/>
    <w:rsid w:val="00707B88"/>
    <w:rsid w:val="00707EC6"/>
    <w:rsid w:val="00707F3F"/>
    <w:rsid w:val="0071013E"/>
    <w:rsid w:val="00710702"/>
    <w:rsid w:val="007107B7"/>
    <w:rsid w:val="00710E26"/>
    <w:rsid w:val="0071121C"/>
    <w:rsid w:val="007113B6"/>
    <w:rsid w:val="007114B6"/>
    <w:rsid w:val="00711A71"/>
    <w:rsid w:val="00711C04"/>
    <w:rsid w:val="00712829"/>
    <w:rsid w:val="00713390"/>
    <w:rsid w:val="00713748"/>
    <w:rsid w:val="007151E5"/>
    <w:rsid w:val="00716902"/>
    <w:rsid w:val="007175D3"/>
    <w:rsid w:val="00717AFA"/>
    <w:rsid w:val="00717D7C"/>
    <w:rsid w:val="00720042"/>
    <w:rsid w:val="00720655"/>
    <w:rsid w:val="00720BA7"/>
    <w:rsid w:val="00722CF8"/>
    <w:rsid w:val="00723080"/>
    <w:rsid w:val="00723224"/>
    <w:rsid w:val="00723285"/>
    <w:rsid w:val="0072329B"/>
    <w:rsid w:val="00723CDC"/>
    <w:rsid w:val="0072525F"/>
    <w:rsid w:val="00725D4E"/>
    <w:rsid w:val="007272AF"/>
    <w:rsid w:val="007277E1"/>
    <w:rsid w:val="00727812"/>
    <w:rsid w:val="0072790F"/>
    <w:rsid w:val="007307A3"/>
    <w:rsid w:val="00731244"/>
    <w:rsid w:val="00731AE4"/>
    <w:rsid w:val="00731CBA"/>
    <w:rsid w:val="0073264B"/>
    <w:rsid w:val="00732771"/>
    <w:rsid w:val="007333C0"/>
    <w:rsid w:val="007349FD"/>
    <w:rsid w:val="00737C5E"/>
    <w:rsid w:val="007402C7"/>
    <w:rsid w:val="00740E95"/>
    <w:rsid w:val="00741B79"/>
    <w:rsid w:val="007425D6"/>
    <w:rsid w:val="00742777"/>
    <w:rsid w:val="00743424"/>
    <w:rsid w:val="00743AB1"/>
    <w:rsid w:val="0074550E"/>
    <w:rsid w:val="00745A48"/>
    <w:rsid w:val="00745C40"/>
    <w:rsid w:val="00747549"/>
    <w:rsid w:val="0075047D"/>
    <w:rsid w:val="00751B48"/>
    <w:rsid w:val="00752498"/>
    <w:rsid w:val="007535AE"/>
    <w:rsid w:val="00754F7F"/>
    <w:rsid w:val="00755589"/>
    <w:rsid w:val="0075760B"/>
    <w:rsid w:val="007576C7"/>
    <w:rsid w:val="00757D8F"/>
    <w:rsid w:val="00757DCD"/>
    <w:rsid w:val="00760288"/>
    <w:rsid w:val="00760490"/>
    <w:rsid w:val="00760ECE"/>
    <w:rsid w:val="00761014"/>
    <w:rsid w:val="007618D8"/>
    <w:rsid w:val="0076208F"/>
    <w:rsid w:val="00762219"/>
    <w:rsid w:val="007625DB"/>
    <w:rsid w:val="00762725"/>
    <w:rsid w:val="00762EF7"/>
    <w:rsid w:val="00762F07"/>
    <w:rsid w:val="0076323D"/>
    <w:rsid w:val="007638D6"/>
    <w:rsid w:val="00763B28"/>
    <w:rsid w:val="0076430C"/>
    <w:rsid w:val="00764A1D"/>
    <w:rsid w:val="00764DD4"/>
    <w:rsid w:val="0076535E"/>
    <w:rsid w:val="00765824"/>
    <w:rsid w:val="00766571"/>
    <w:rsid w:val="007666F9"/>
    <w:rsid w:val="00766F93"/>
    <w:rsid w:val="007704C6"/>
    <w:rsid w:val="00770543"/>
    <w:rsid w:val="007709DA"/>
    <w:rsid w:val="00770ABF"/>
    <w:rsid w:val="00770BAD"/>
    <w:rsid w:val="00772F22"/>
    <w:rsid w:val="00772F8D"/>
    <w:rsid w:val="00773132"/>
    <w:rsid w:val="0077349C"/>
    <w:rsid w:val="00773831"/>
    <w:rsid w:val="00773B22"/>
    <w:rsid w:val="00774512"/>
    <w:rsid w:val="00775C80"/>
    <w:rsid w:val="0078055F"/>
    <w:rsid w:val="00780CF2"/>
    <w:rsid w:val="007813CF"/>
    <w:rsid w:val="00784404"/>
    <w:rsid w:val="0078497E"/>
    <w:rsid w:val="00784B14"/>
    <w:rsid w:val="00784F2C"/>
    <w:rsid w:val="007850DF"/>
    <w:rsid w:val="00785674"/>
    <w:rsid w:val="00785690"/>
    <w:rsid w:val="0078692E"/>
    <w:rsid w:val="00790432"/>
    <w:rsid w:val="00790494"/>
    <w:rsid w:val="00790808"/>
    <w:rsid w:val="00790FA5"/>
    <w:rsid w:val="007913B6"/>
    <w:rsid w:val="007936DC"/>
    <w:rsid w:val="00794AFE"/>
    <w:rsid w:val="00794CA3"/>
    <w:rsid w:val="00794CEF"/>
    <w:rsid w:val="007974FA"/>
    <w:rsid w:val="0079757D"/>
    <w:rsid w:val="00797995"/>
    <w:rsid w:val="007A0212"/>
    <w:rsid w:val="007A034C"/>
    <w:rsid w:val="007A0AC9"/>
    <w:rsid w:val="007A10C2"/>
    <w:rsid w:val="007A1104"/>
    <w:rsid w:val="007A1A75"/>
    <w:rsid w:val="007A1D54"/>
    <w:rsid w:val="007A2E94"/>
    <w:rsid w:val="007A38B9"/>
    <w:rsid w:val="007A3CEB"/>
    <w:rsid w:val="007A413D"/>
    <w:rsid w:val="007A427A"/>
    <w:rsid w:val="007A4656"/>
    <w:rsid w:val="007A4D9D"/>
    <w:rsid w:val="007A59E3"/>
    <w:rsid w:val="007A6174"/>
    <w:rsid w:val="007A634A"/>
    <w:rsid w:val="007A63B5"/>
    <w:rsid w:val="007A6406"/>
    <w:rsid w:val="007A65E9"/>
    <w:rsid w:val="007A6A9E"/>
    <w:rsid w:val="007A6C84"/>
    <w:rsid w:val="007A7176"/>
    <w:rsid w:val="007A72CF"/>
    <w:rsid w:val="007A7638"/>
    <w:rsid w:val="007B0900"/>
    <w:rsid w:val="007B0B93"/>
    <w:rsid w:val="007B13C7"/>
    <w:rsid w:val="007B13EC"/>
    <w:rsid w:val="007B233C"/>
    <w:rsid w:val="007B2CBB"/>
    <w:rsid w:val="007B452D"/>
    <w:rsid w:val="007B462B"/>
    <w:rsid w:val="007B698D"/>
    <w:rsid w:val="007B7175"/>
    <w:rsid w:val="007C0011"/>
    <w:rsid w:val="007C0309"/>
    <w:rsid w:val="007C0C6B"/>
    <w:rsid w:val="007C154A"/>
    <w:rsid w:val="007C1842"/>
    <w:rsid w:val="007C24AA"/>
    <w:rsid w:val="007C2CD3"/>
    <w:rsid w:val="007C2E4D"/>
    <w:rsid w:val="007C3037"/>
    <w:rsid w:val="007C460F"/>
    <w:rsid w:val="007C65CD"/>
    <w:rsid w:val="007C71D9"/>
    <w:rsid w:val="007C77DE"/>
    <w:rsid w:val="007C7D63"/>
    <w:rsid w:val="007D0D07"/>
    <w:rsid w:val="007D0DFB"/>
    <w:rsid w:val="007D1746"/>
    <w:rsid w:val="007D1E14"/>
    <w:rsid w:val="007D2649"/>
    <w:rsid w:val="007D4838"/>
    <w:rsid w:val="007D516E"/>
    <w:rsid w:val="007D6896"/>
    <w:rsid w:val="007D6B1D"/>
    <w:rsid w:val="007D79B9"/>
    <w:rsid w:val="007D7FB5"/>
    <w:rsid w:val="007E0419"/>
    <w:rsid w:val="007E04C9"/>
    <w:rsid w:val="007E095D"/>
    <w:rsid w:val="007E15CA"/>
    <w:rsid w:val="007E2BC5"/>
    <w:rsid w:val="007E3271"/>
    <w:rsid w:val="007E3C04"/>
    <w:rsid w:val="007E4384"/>
    <w:rsid w:val="007E4E45"/>
    <w:rsid w:val="007E5646"/>
    <w:rsid w:val="007E61C8"/>
    <w:rsid w:val="007E62E8"/>
    <w:rsid w:val="007E63BF"/>
    <w:rsid w:val="007E66ED"/>
    <w:rsid w:val="007F017A"/>
    <w:rsid w:val="007F05B0"/>
    <w:rsid w:val="007F0ACA"/>
    <w:rsid w:val="007F21FB"/>
    <w:rsid w:val="007F2D2B"/>
    <w:rsid w:val="007F301F"/>
    <w:rsid w:val="007F5828"/>
    <w:rsid w:val="007F5DA7"/>
    <w:rsid w:val="007F60C9"/>
    <w:rsid w:val="007F7081"/>
    <w:rsid w:val="007F7256"/>
    <w:rsid w:val="00800178"/>
    <w:rsid w:val="00800743"/>
    <w:rsid w:val="008011CA"/>
    <w:rsid w:val="00802115"/>
    <w:rsid w:val="0080297F"/>
    <w:rsid w:val="00804653"/>
    <w:rsid w:val="008050D4"/>
    <w:rsid w:val="00805376"/>
    <w:rsid w:val="00805E6B"/>
    <w:rsid w:val="00806B48"/>
    <w:rsid w:val="00806B79"/>
    <w:rsid w:val="00807409"/>
    <w:rsid w:val="00807C05"/>
    <w:rsid w:val="00810142"/>
    <w:rsid w:val="00810D7D"/>
    <w:rsid w:val="00810E82"/>
    <w:rsid w:val="0081149E"/>
    <w:rsid w:val="0081255C"/>
    <w:rsid w:val="008139AE"/>
    <w:rsid w:val="00814123"/>
    <w:rsid w:val="008142DE"/>
    <w:rsid w:val="00814482"/>
    <w:rsid w:val="008144F4"/>
    <w:rsid w:val="00814509"/>
    <w:rsid w:val="00815814"/>
    <w:rsid w:val="0081713C"/>
    <w:rsid w:val="00817A3E"/>
    <w:rsid w:val="00817CE9"/>
    <w:rsid w:val="0082098C"/>
    <w:rsid w:val="00820C87"/>
    <w:rsid w:val="00822524"/>
    <w:rsid w:val="0082336A"/>
    <w:rsid w:val="008237D2"/>
    <w:rsid w:val="008248B1"/>
    <w:rsid w:val="00824A60"/>
    <w:rsid w:val="00824D94"/>
    <w:rsid w:val="00826543"/>
    <w:rsid w:val="00827420"/>
    <w:rsid w:val="00827500"/>
    <w:rsid w:val="00827D38"/>
    <w:rsid w:val="00830D77"/>
    <w:rsid w:val="00831610"/>
    <w:rsid w:val="0083401D"/>
    <w:rsid w:val="00834126"/>
    <w:rsid w:val="00834226"/>
    <w:rsid w:val="00834839"/>
    <w:rsid w:val="00835338"/>
    <w:rsid w:val="00835FAD"/>
    <w:rsid w:val="0083660F"/>
    <w:rsid w:val="00837CF8"/>
    <w:rsid w:val="00840530"/>
    <w:rsid w:val="00840EAF"/>
    <w:rsid w:val="0084102B"/>
    <w:rsid w:val="008411AD"/>
    <w:rsid w:val="008415D7"/>
    <w:rsid w:val="0084160B"/>
    <w:rsid w:val="00841666"/>
    <w:rsid w:val="00842134"/>
    <w:rsid w:val="00842394"/>
    <w:rsid w:val="00842B81"/>
    <w:rsid w:val="00843508"/>
    <w:rsid w:val="00844DE2"/>
    <w:rsid w:val="008452CB"/>
    <w:rsid w:val="0084548E"/>
    <w:rsid w:val="008477BC"/>
    <w:rsid w:val="00851032"/>
    <w:rsid w:val="0085148D"/>
    <w:rsid w:val="00851504"/>
    <w:rsid w:val="0085314A"/>
    <w:rsid w:val="00853ECF"/>
    <w:rsid w:val="0085439C"/>
    <w:rsid w:val="00854AD1"/>
    <w:rsid w:val="00855332"/>
    <w:rsid w:val="0085543E"/>
    <w:rsid w:val="0085578B"/>
    <w:rsid w:val="00855CB4"/>
    <w:rsid w:val="00856EEC"/>
    <w:rsid w:val="00857202"/>
    <w:rsid w:val="0085763D"/>
    <w:rsid w:val="008579B9"/>
    <w:rsid w:val="00857C72"/>
    <w:rsid w:val="00860637"/>
    <w:rsid w:val="00860E4D"/>
    <w:rsid w:val="00861337"/>
    <w:rsid w:val="00861906"/>
    <w:rsid w:val="008633F6"/>
    <w:rsid w:val="00863B59"/>
    <w:rsid w:val="00864415"/>
    <w:rsid w:val="008646F4"/>
    <w:rsid w:val="00864EE5"/>
    <w:rsid w:val="0086594A"/>
    <w:rsid w:val="00865A02"/>
    <w:rsid w:val="00865EE8"/>
    <w:rsid w:val="0086750F"/>
    <w:rsid w:val="008676F6"/>
    <w:rsid w:val="00870753"/>
    <w:rsid w:val="00870BED"/>
    <w:rsid w:val="00872B76"/>
    <w:rsid w:val="00873FFC"/>
    <w:rsid w:val="008742D4"/>
    <w:rsid w:val="00874F9C"/>
    <w:rsid w:val="00875B10"/>
    <w:rsid w:val="00875FB0"/>
    <w:rsid w:val="00880122"/>
    <w:rsid w:val="008803DB"/>
    <w:rsid w:val="0088059E"/>
    <w:rsid w:val="00880A20"/>
    <w:rsid w:val="00881014"/>
    <w:rsid w:val="0088132C"/>
    <w:rsid w:val="008814B9"/>
    <w:rsid w:val="00881613"/>
    <w:rsid w:val="008819D7"/>
    <w:rsid w:val="00881CE8"/>
    <w:rsid w:val="00882328"/>
    <w:rsid w:val="0088255E"/>
    <w:rsid w:val="00882B67"/>
    <w:rsid w:val="0088317C"/>
    <w:rsid w:val="00883B30"/>
    <w:rsid w:val="00884217"/>
    <w:rsid w:val="00884BA6"/>
    <w:rsid w:val="008855C7"/>
    <w:rsid w:val="0088645D"/>
    <w:rsid w:val="008868ED"/>
    <w:rsid w:val="00891286"/>
    <w:rsid w:val="00891B2E"/>
    <w:rsid w:val="00893590"/>
    <w:rsid w:val="00893596"/>
    <w:rsid w:val="00893C65"/>
    <w:rsid w:val="00894794"/>
    <w:rsid w:val="00894BAC"/>
    <w:rsid w:val="00894EEA"/>
    <w:rsid w:val="0089578A"/>
    <w:rsid w:val="00895CF2"/>
    <w:rsid w:val="00896B6C"/>
    <w:rsid w:val="008973DD"/>
    <w:rsid w:val="008978E4"/>
    <w:rsid w:val="008A084B"/>
    <w:rsid w:val="008A18DE"/>
    <w:rsid w:val="008A1976"/>
    <w:rsid w:val="008A1A55"/>
    <w:rsid w:val="008A2374"/>
    <w:rsid w:val="008A2709"/>
    <w:rsid w:val="008A3B0F"/>
    <w:rsid w:val="008A44CD"/>
    <w:rsid w:val="008A4910"/>
    <w:rsid w:val="008A53A8"/>
    <w:rsid w:val="008A60AD"/>
    <w:rsid w:val="008A60BD"/>
    <w:rsid w:val="008A6C6B"/>
    <w:rsid w:val="008A6CCF"/>
    <w:rsid w:val="008A76FD"/>
    <w:rsid w:val="008A7BCB"/>
    <w:rsid w:val="008B0347"/>
    <w:rsid w:val="008B03CD"/>
    <w:rsid w:val="008B0AB8"/>
    <w:rsid w:val="008B1368"/>
    <w:rsid w:val="008B2C6E"/>
    <w:rsid w:val="008B37D1"/>
    <w:rsid w:val="008B4713"/>
    <w:rsid w:val="008B4846"/>
    <w:rsid w:val="008B48F3"/>
    <w:rsid w:val="008B6593"/>
    <w:rsid w:val="008B6A09"/>
    <w:rsid w:val="008B7006"/>
    <w:rsid w:val="008C0B15"/>
    <w:rsid w:val="008C0FFE"/>
    <w:rsid w:val="008C2AB7"/>
    <w:rsid w:val="008C3219"/>
    <w:rsid w:val="008C4945"/>
    <w:rsid w:val="008C4ACB"/>
    <w:rsid w:val="008C59D3"/>
    <w:rsid w:val="008C7357"/>
    <w:rsid w:val="008D050A"/>
    <w:rsid w:val="008D08B1"/>
    <w:rsid w:val="008D1ADD"/>
    <w:rsid w:val="008D2AB4"/>
    <w:rsid w:val="008D31E0"/>
    <w:rsid w:val="008D4818"/>
    <w:rsid w:val="008D4E03"/>
    <w:rsid w:val="008D5327"/>
    <w:rsid w:val="008D6086"/>
    <w:rsid w:val="008D6A1C"/>
    <w:rsid w:val="008D6FA8"/>
    <w:rsid w:val="008D747C"/>
    <w:rsid w:val="008E0096"/>
    <w:rsid w:val="008E00B8"/>
    <w:rsid w:val="008E1259"/>
    <w:rsid w:val="008E1935"/>
    <w:rsid w:val="008E292F"/>
    <w:rsid w:val="008E29FF"/>
    <w:rsid w:val="008E31C0"/>
    <w:rsid w:val="008E329C"/>
    <w:rsid w:val="008E5051"/>
    <w:rsid w:val="008E5C69"/>
    <w:rsid w:val="008E65EC"/>
    <w:rsid w:val="008E6D1A"/>
    <w:rsid w:val="008E7021"/>
    <w:rsid w:val="008E79D3"/>
    <w:rsid w:val="008E7E7B"/>
    <w:rsid w:val="008F092E"/>
    <w:rsid w:val="008F0B62"/>
    <w:rsid w:val="008F133D"/>
    <w:rsid w:val="008F1365"/>
    <w:rsid w:val="008F1670"/>
    <w:rsid w:val="008F1B99"/>
    <w:rsid w:val="008F2132"/>
    <w:rsid w:val="008F2249"/>
    <w:rsid w:val="008F28AA"/>
    <w:rsid w:val="008F3D82"/>
    <w:rsid w:val="008F42C8"/>
    <w:rsid w:val="008F4DC2"/>
    <w:rsid w:val="008F572E"/>
    <w:rsid w:val="008F5A54"/>
    <w:rsid w:val="008F5D8C"/>
    <w:rsid w:val="008F63D2"/>
    <w:rsid w:val="008F64AE"/>
    <w:rsid w:val="008F6C65"/>
    <w:rsid w:val="00900033"/>
    <w:rsid w:val="009004DF"/>
    <w:rsid w:val="0090122B"/>
    <w:rsid w:val="009017F9"/>
    <w:rsid w:val="009019ED"/>
    <w:rsid w:val="00901D95"/>
    <w:rsid w:val="009027B1"/>
    <w:rsid w:val="00902D57"/>
    <w:rsid w:val="0090407C"/>
    <w:rsid w:val="00905504"/>
    <w:rsid w:val="00906B8F"/>
    <w:rsid w:val="00906BBF"/>
    <w:rsid w:val="00906CF9"/>
    <w:rsid w:val="009100A1"/>
    <w:rsid w:val="009102F3"/>
    <w:rsid w:val="00910587"/>
    <w:rsid w:val="00910D50"/>
    <w:rsid w:val="009114C1"/>
    <w:rsid w:val="009119E7"/>
    <w:rsid w:val="00913747"/>
    <w:rsid w:val="00913E62"/>
    <w:rsid w:val="009143FC"/>
    <w:rsid w:val="00915F1C"/>
    <w:rsid w:val="00916340"/>
    <w:rsid w:val="00917B17"/>
    <w:rsid w:val="009215B3"/>
    <w:rsid w:val="0092176E"/>
    <w:rsid w:val="00921771"/>
    <w:rsid w:val="00924006"/>
    <w:rsid w:val="009250E4"/>
    <w:rsid w:val="00925958"/>
    <w:rsid w:val="00925D5A"/>
    <w:rsid w:val="009263DA"/>
    <w:rsid w:val="0093028F"/>
    <w:rsid w:val="00930D6E"/>
    <w:rsid w:val="00931895"/>
    <w:rsid w:val="00933E6D"/>
    <w:rsid w:val="00934302"/>
    <w:rsid w:val="0093447D"/>
    <w:rsid w:val="00934ED4"/>
    <w:rsid w:val="00935C34"/>
    <w:rsid w:val="00936BB8"/>
    <w:rsid w:val="00937316"/>
    <w:rsid w:val="00937817"/>
    <w:rsid w:val="009407CC"/>
    <w:rsid w:val="00940969"/>
    <w:rsid w:val="00941460"/>
    <w:rsid w:val="009415E6"/>
    <w:rsid w:val="009416A8"/>
    <w:rsid w:val="00942307"/>
    <w:rsid w:val="009433D5"/>
    <w:rsid w:val="009436AD"/>
    <w:rsid w:val="00943C53"/>
    <w:rsid w:val="00944BB1"/>
    <w:rsid w:val="009453C4"/>
    <w:rsid w:val="0094785D"/>
    <w:rsid w:val="00947C94"/>
    <w:rsid w:val="00951727"/>
    <w:rsid w:val="00951846"/>
    <w:rsid w:val="00951F8F"/>
    <w:rsid w:val="009547A0"/>
    <w:rsid w:val="00955C3A"/>
    <w:rsid w:val="00955EFF"/>
    <w:rsid w:val="00956000"/>
    <w:rsid w:val="0095690D"/>
    <w:rsid w:val="00960CD9"/>
    <w:rsid w:val="00960E15"/>
    <w:rsid w:val="0096221C"/>
    <w:rsid w:val="009622B9"/>
    <w:rsid w:val="00962F51"/>
    <w:rsid w:val="0096360F"/>
    <w:rsid w:val="0096478B"/>
    <w:rsid w:val="009647EF"/>
    <w:rsid w:val="00966EBC"/>
    <w:rsid w:val="00967288"/>
    <w:rsid w:val="00967352"/>
    <w:rsid w:val="0096771D"/>
    <w:rsid w:val="00967CBD"/>
    <w:rsid w:val="0097026B"/>
    <w:rsid w:val="00971384"/>
    <w:rsid w:val="00972005"/>
    <w:rsid w:val="00972124"/>
    <w:rsid w:val="00973D76"/>
    <w:rsid w:val="0097450C"/>
    <w:rsid w:val="009746CD"/>
    <w:rsid w:val="00975419"/>
    <w:rsid w:val="00975672"/>
    <w:rsid w:val="00975891"/>
    <w:rsid w:val="0097591B"/>
    <w:rsid w:val="00975F53"/>
    <w:rsid w:val="009768E6"/>
    <w:rsid w:val="009809D4"/>
    <w:rsid w:val="00981545"/>
    <w:rsid w:val="009816D9"/>
    <w:rsid w:val="009818C1"/>
    <w:rsid w:val="00981D12"/>
    <w:rsid w:val="00982B4B"/>
    <w:rsid w:val="00983912"/>
    <w:rsid w:val="00983E29"/>
    <w:rsid w:val="00986183"/>
    <w:rsid w:val="00986691"/>
    <w:rsid w:val="00986F93"/>
    <w:rsid w:val="009870C7"/>
    <w:rsid w:val="009879AD"/>
    <w:rsid w:val="00990106"/>
    <w:rsid w:val="009901B3"/>
    <w:rsid w:val="009902FB"/>
    <w:rsid w:val="0099045A"/>
    <w:rsid w:val="0099063B"/>
    <w:rsid w:val="00990D70"/>
    <w:rsid w:val="00991417"/>
    <w:rsid w:val="00991731"/>
    <w:rsid w:val="00992311"/>
    <w:rsid w:val="00993604"/>
    <w:rsid w:val="00993814"/>
    <w:rsid w:val="009954B9"/>
    <w:rsid w:val="009964C4"/>
    <w:rsid w:val="00996C9B"/>
    <w:rsid w:val="009973BB"/>
    <w:rsid w:val="00997649"/>
    <w:rsid w:val="00997E5B"/>
    <w:rsid w:val="009A01DD"/>
    <w:rsid w:val="009A07F0"/>
    <w:rsid w:val="009A0E02"/>
    <w:rsid w:val="009A16EF"/>
    <w:rsid w:val="009A176E"/>
    <w:rsid w:val="009A1A84"/>
    <w:rsid w:val="009A2CCF"/>
    <w:rsid w:val="009A32AE"/>
    <w:rsid w:val="009A36FE"/>
    <w:rsid w:val="009A4AD1"/>
    <w:rsid w:val="009A5295"/>
    <w:rsid w:val="009A60BC"/>
    <w:rsid w:val="009A67B2"/>
    <w:rsid w:val="009B20FF"/>
    <w:rsid w:val="009B22BC"/>
    <w:rsid w:val="009B30FB"/>
    <w:rsid w:val="009B3593"/>
    <w:rsid w:val="009B41AF"/>
    <w:rsid w:val="009B491B"/>
    <w:rsid w:val="009B51E7"/>
    <w:rsid w:val="009B5A8B"/>
    <w:rsid w:val="009B6833"/>
    <w:rsid w:val="009B68BD"/>
    <w:rsid w:val="009B7953"/>
    <w:rsid w:val="009B7B21"/>
    <w:rsid w:val="009C11A8"/>
    <w:rsid w:val="009C23DD"/>
    <w:rsid w:val="009C242A"/>
    <w:rsid w:val="009C3469"/>
    <w:rsid w:val="009C3C24"/>
    <w:rsid w:val="009C424A"/>
    <w:rsid w:val="009C4DA6"/>
    <w:rsid w:val="009C50D9"/>
    <w:rsid w:val="009C514B"/>
    <w:rsid w:val="009C5DB1"/>
    <w:rsid w:val="009C5E4A"/>
    <w:rsid w:val="009C78F7"/>
    <w:rsid w:val="009C796C"/>
    <w:rsid w:val="009C7A44"/>
    <w:rsid w:val="009C7D7A"/>
    <w:rsid w:val="009D0398"/>
    <w:rsid w:val="009D0998"/>
    <w:rsid w:val="009D09C4"/>
    <w:rsid w:val="009D0F17"/>
    <w:rsid w:val="009D1679"/>
    <w:rsid w:val="009D176A"/>
    <w:rsid w:val="009D1D9B"/>
    <w:rsid w:val="009D1E2D"/>
    <w:rsid w:val="009D250D"/>
    <w:rsid w:val="009D39E9"/>
    <w:rsid w:val="009D3A7E"/>
    <w:rsid w:val="009D4A03"/>
    <w:rsid w:val="009D4BBA"/>
    <w:rsid w:val="009D5FBF"/>
    <w:rsid w:val="009D68F6"/>
    <w:rsid w:val="009D6930"/>
    <w:rsid w:val="009D7CB3"/>
    <w:rsid w:val="009E069C"/>
    <w:rsid w:val="009E1851"/>
    <w:rsid w:val="009E1E47"/>
    <w:rsid w:val="009E249C"/>
    <w:rsid w:val="009E2F96"/>
    <w:rsid w:val="009E40EF"/>
    <w:rsid w:val="009E4275"/>
    <w:rsid w:val="009E4A2A"/>
    <w:rsid w:val="009E4BCE"/>
    <w:rsid w:val="009E5B01"/>
    <w:rsid w:val="009E70DA"/>
    <w:rsid w:val="009E7DE5"/>
    <w:rsid w:val="009F18CE"/>
    <w:rsid w:val="009F2CF8"/>
    <w:rsid w:val="009F31B6"/>
    <w:rsid w:val="009F3EEF"/>
    <w:rsid w:val="009F4065"/>
    <w:rsid w:val="009F4552"/>
    <w:rsid w:val="009F4B67"/>
    <w:rsid w:val="009F4C1D"/>
    <w:rsid w:val="009F5503"/>
    <w:rsid w:val="009F5866"/>
    <w:rsid w:val="009F615F"/>
    <w:rsid w:val="009F6F81"/>
    <w:rsid w:val="009F71A9"/>
    <w:rsid w:val="00A01176"/>
    <w:rsid w:val="00A0257C"/>
    <w:rsid w:val="00A039E6"/>
    <w:rsid w:val="00A03F0D"/>
    <w:rsid w:val="00A0479D"/>
    <w:rsid w:val="00A05AF4"/>
    <w:rsid w:val="00A05CF3"/>
    <w:rsid w:val="00A0632E"/>
    <w:rsid w:val="00A0748F"/>
    <w:rsid w:val="00A0753F"/>
    <w:rsid w:val="00A07754"/>
    <w:rsid w:val="00A10319"/>
    <w:rsid w:val="00A10453"/>
    <w:rsid w:val="00A10C44"/>
    <w:rsid w:val="00A117A1"/>
    <w:rsid w:val="00A11FFF"/>
    <w:rsid w:val="00A120C7"/>
    <w:rsid w:val="00A1237F"/>
    <w:rsid w:val="00A12592"/>
    <w:rsid w:val="00A12B88"/>
    <w:rsid w:val="00A12B90"/>
    <w:rsid w:val="00A139C2"/>
    <w:rsid w:val="00A13A72"/>
    <w:rsid w:val="00A13CEC"/>
    <w:rsid w:val="00A15247"/>
    <w:rsid w:val="00A15567"/>
    <w:rsid w:val="00A15664"/>
    <w:rsid w:val="00A15A35"/>
    <w:rsid w:val="00A15D28"/>
    <w:rsid w:val="00A16C2D"/>
    <w:rsid w:val="00A16FAF"/>
    <w:rsid w:val="00A202D9"/>
    <w:rsid w:val="00A206EA"/>
    <w:rsid w:val="00A208DF"/>
    <w:rsid w:val="00A2097D"/>
    <w:rsid w:val="00A2121E"/>
    <w:rsid w:val="00A21BD9"/>
    <w:rsid w:val="00A22490"/>
    <w:rsid w:val="00A235C2"/>
    <w:rsid w:val="00A2437C"/>
    <w:rsid w:val="00A27CB5"/>
    <w:rsid w:val="00A27D6F"/>
    <w:rsid w:val="00A30CD0"/>
    <w:rsid w:val="00A3113C"/>
    <w:rsid w:val="00A3196C"/>
    <w:rsid w:val="00A34E38"/>
    <w:rsid w:val="00A35F68"/>
    <w:rsid w:val="00A36840"/>
    <w:rsid w:val="00A3735F"/>
    <w:rsid w:val="00A374CF"/>
    <w:rsid w:val="00A375FB"/>
    <w:rsid w:val="00A37CA6"/>
    <w:rsid w:val="00A37FDE"/>
    <w:rsid w:val="00A40174"/>
    <w:rsid w:val="00A40184"/>
    <w:rsid w:val="00A41747"/>
    <w:rsid w:val="00A41770"/>
    <w:rsid w:val="00A41B9C"/>
    <w:rsid w:val="00A422F9"/>
    <w:rsid w:val="00A42695"/>
    <w:rsid w:val="00A44AC4"/>
    <w:rsid w:val="00A450FD"/>
    <w:rsid w:val="00A45114"/>
    <w:rsid w:val="00A46894"/>
    <w:rsid w:val="00A46CBB"/>
    <w:rsid w:val="00A46E36"/>
    <w:rsid w:val="00A47A03"/>
    <w:rsid w:val="00A512F8"/>
    <w:rsid w:val="00A51E34"/>
    <w:rsid w:val="00A521ED"/>
    <w:rsid w:val="00A52588"/>
    <w:rsid w:val="00A534B2"/>
    <w:rsid w:val="00A54D04"/>
    <w:rsid w:val="00A54DE3"/>
    <w:rsid w:val="00A55626"/>
    <w:rsid w:val="00A55D1E"/>
    <w:rsid w:val="00A5673B"/>
    <w:rsid w:val="00A567D2"/>
    <w:rsid w:val="00A56E67"/>
    <w:rsid w:val="00A572A2"/>
    <w:rsid w:val="00A57D9B"/>
    <w:rsid w:val="00A60EE0"/>
    <w:rsid w:val="00A6193F"/>
    <w:rsid w:val="00A62702"/>
    <w:rsid w:val="00A62800"/>
    <w:rsid w:val="00A62A44"/>
    <w:rsid w:val="00A63099"/>
    <w:rsid w:val="00A63186"/>
    <w:rsid w:val="00A632D6"/>
    <w:rsid w:val="00A63AD6"/>
    <w:rsid w:val="00A64FBA"/>
    <w:rsid w:val="00A659F2"/>
    <w:rsid w:val="00A66887"/>
    <w:rsid w:val="00A6748D"/>
    <w:rsid w:val="00A67496"/>
    <w:rsid w:val="00A674A8"/>
    <w:rsid w:val="00A705DC"/>
    <w:rsid w:val="00A705F0"/>
    <w:rsid w:val="00A70FE2"/>
    <w:rsid w:val="00A719FC"/>
    <w:rsid w:val="00A71CD7"/>
    <w:rsid w:val="00A7331D"/>
    <w:rsid w:val="00A742C5"/>
    <w:rsid w:val="00A77171"/>
    <w:rsid w:val="00A77297"/>
    <w:rsid w:val="00A77377"/>
    <w:rsid w:val="00A7793E"/>
    <w:rsid w:val="00A77B5C"/>
    <w:rsid w:val="00A80323"/>
    <w:rsid w:val="00A80505"/>
    <w:rsid w:val="00A807C2"/>
    <w:rsid w:val="00A808E2"/>
    <w:rsid w:val="00A81616"/>
    <w:rsid w:val="00A818FF"/>
    <w:rsid w:val="00A81E2D"/>
    <w:rsid w:val="00A82819"/>
    <w:rsid w:val="00A8334B"/>
    <w:rsid w:val="00A8397B"/>
    <w:rsid w:val="00A8440D"/>
    <w:rsid w:val="00A84C32"/>
    <w:rsid w:val="00A85053"/>
    <w:rsid w:val="00A8521D"/>
    <w:rsid w:val="00A858B6"/>
    <w:rsid w:val="00A85BE2"/>
    <w:rsid w:val="00A876E2"/>
    <w:rsid w:val="00A90CBB"/>
    <w:rsid w:val="00A91064"/>
    <w:rsid w:val="00A922B6"/>
    <w:rsid w:val="00A92BDA"/>
    <w:rsid w:val="00A931B2"/>
    <w:rsid w:val="00A93D56"/>
    <w:rsid w:val="00A94E4F"/>
    <w:rsid w:val="00A96B4F"/>
    <w:rsid w:val="00AA0428"/>
    <w:rsid w:val="00AA0801"/>
    <w:rsid w:val="00AA0D56"/>
    <w:rsid w:val="00AA0DE8"/>
    <w:rsid w:val="00AA1D19"/>
    <w:rsid w:val="00AA2590"/>
    <w:rsid w:val="00AA273D"/>
    <w:rsid w:val="00AA2758"/>
    <w:rsid w:val="00AA3063"/>
    <w:rsid w:val="00AA3ADB"/>
    <w:rsid w:val="00AA4298"/>
    <w:rsid w:val="00AA47C8"/>
    <w:rsid w:val="00AA579E"/>
    <w:rsid w:val="00AA5A39"/>
    <w:rsid w:val="00AA6128"/>
    <w:rsid w:val="00AA7811"/>
    <w:rsid w:val="00AA7EAA"/>
    <w:rsid w:val="00AB004A"/>
    <w:rsid w:val="00AB04F4"/>
    <w:rsid w:val="00AB0536"/>
    <w:rsid w:val="00AB0757"/>
    <w:rsid w:val="00AB1AA8"/>
    <w:rsid w:val="00AB1E03"/>
    <w:rsid w:val="00AB1E5B"/>
    <w:rsid w:val="00AB200C"/>
    <w:rsid w:val="00AB227C"/>
    <w:rsid w:val="00AB244B"/>
    <w:rsid w:val="00AB3106"/>
    <w:rsid w:val="00AB3B84"/>
    <w:rsid w:val="00AB4A2B"/>
    <w:rsid w:val="00AB56CA"/>
    <w:rsid w:val="00AB5731"/>
    <w:rsid w:val="00AB5EA2"/>
    <w:rsid w:val="00AB6B57"/>
    <w:rsid w:val="00AB6F2C"/>
    <w:rsid w:val="00AC399B"/>
    <w:rsid w:val="00AC4381"/>
    <w:rsid w:val="00AC4AC9"/>
    <w:rsid w:val="00AC4BD5"/>
    <w:rsid w:val="00AC6506"/>
    <w:rsid w:val="00AC6F58"/>
    <w:rsid w:val="00AC7E02"/>
    <w:rsid w:val="00AD0CFD"/>
    <w:rsid w:val="00AD105A"/>
    <w:rsid w:val="00AD12F6"/>
    <w:rsid w:val="00AD15B0"/>
    <w:rsid w:val="00AD1D1A"/>
    <w:rsid w:val="00AD1E38"/>
    <w:rsid w:val="00AD221E"/>
    <w:rsid w:val="00AD2CA8"/>
    <w:rsid w:val="00AD307C"/>
    <w:rsid w:val="00AD30C8"/>
    <w:rsid w:val="00AD34D4"/>
    <w:rsid w:val="00AD3E2A"/>
    <w:rsid w:val="00AD41CC"/>
    <w:rsid w:val="00AD421D"/>
    <w:rsid w:val="00AD4DEC"/>
    <w:rsid w:val="00AD5CD6"/>
    <w:rsid w:val="00AD6CE1"/>
    <w:rsid w:val="00AE02EC"/>
    <w:rsid w:val="00AE1953"/>
    <w:rsid w:val="00AE1DFC"/>
    <w:rsid w:val="00AE2ADB"/>
    <w:rsid w:val="00AE2C01"/>
    <w:rsid w:val="00AE35E2"/>
    <w:rsid w:val="00AE4E58"/>
    <w:rsid w:val="00AE5259"/>
    <w:rsid w:val="00AE5C9B"/>
    <w:rsid w:val="00AE6772"/>
    <w:rsid w:val="00AE7646"/>
    <w:rsid w:val="00AE79E0"/>
    <w:rsid w:val="00AE7CEB"/>
    <w:rsid w:val="00AF0336"/>
    <w:rsid w:val="00AF0580"/>
    <w:rsid w:val="00AF080A"/>
    <w:rsid w:val="00AF208F"/>
    <w:rsid w:val="00AF2D16"/>
    <w:rsid w:val="00AF3186"/>
    <w:rsid w:val="00AF40BA"/>
    <w:rsid w:val="00AF4FD5"/>
    <w:rsid w:val="00AF58BD"/>
    <w:rsid w:val="00AF5CF3"/>
    <w:rsid w:val="00AF5E95"/>
    <w:rsid w:val="00AF5F90"/>
    <w:rsid w:val="00AF673A"/>
    <w:rsid w:val="00AF7284"/>
    <w:rsid w:val="00AF7926"/>
    <w:rsid w:val="00AF7F56"/>
    <w:rsid w:val="00B01A5E"/>
    <w:rsid w:val="00B01D40"/>
    <w:rsid w:val="00B021A2"/>
    <w:rsid w:val="00B02486"/>
    <w:rsid w:val="00B02C35"/>
    <w:rsid w:val="00B02FFE"/>
    <w:rsid w:val="00B04B6C"/>
    <w:rsid w:val="00B05154"/>
    <w:rsid w:val="00B05DCC"/>
    <w:rsid w:val="00B06CB4"/>
    <w:rsid w:val="00B072A3"/>
    <w:rsid w:val="00B07A86"/>
    <w:rsid w:val="00B1057A"/>
    <w:rsid w:val="00B12215"/>
    <w:rsid w:val="00B12B49"/>
    <w:rsid w:val="00B12BE1"/>
    <w:rsid w:val="00B12CC9"/>
    <w:rsid w:val="00B12E11"/>
    <w:rsid w:val="00B13263"/>
    <w:rsid w:val="00B13953"/>
    <w:rsid w:val="00B1663B"/>
    <w:rsid w:val="00B16A4F"/>
    <w:rsid w:val="00B16D49"/>
    <w:rsid w:val="00B17262"/>
    <w:rsid w:val="00B17DF6"/>
    <w:rsid w:val="00B2032E"/>
    <w:rsid w:val="00B208E7"/>
    <w:rsid w:val="00B20CAE"/>
    <w:rsid w:val="00B217E8"/>
    <w:rsid w:val="00B22EC9"/>
    <w:rsid w:val="00B232AF"/>
    <w:rsid w:val="00B25206"/>
    <w:rsid w:val="00B2573C"/>
    <w:rsid w:val="00B268BB"/>
    <w:rsid w:val="00B268F8"/>
    <w:rsid w:val="00B27682"/>
    <w:rsid w:val="00B277C1"/>
    <w:rsid w:val="00B27EE7"/>
    <w:rsid w:val="00B319D1"/>
    <w:rsid w:val="00B320BE"/>
    <w:rsid w:val="00B34323"/>
    <w:rsid w:val="00B358BA"/>
    <w:rsid w:val="00B366A1"/>
    <w:rsid w:val="00B36B52"/>
    <w:rsid w:val="00B3738C"/>
    <w:rsid w:val="00B37C19"/>
    <w:rsid w:val="00B400EF"/>
    <w:rsid w:val="00B40C1D"/>
    <w:rsid w:val="00B41572"/>
    <w:rsid w:val="00B42442"/>
    <w:rsid w:val="00B43EFE"/>
    <w:rsid w:val="00B44600"/>
    <w:rsid w:val="00B447D3"/>
    <w:rsid w:val="00B44F95"/>
    <w:rsid w:val="00B456EF"/>
    <w:rsid w:val="00B45C89"/>
    <w:rsid w:val="00B47884"/>
    <w:rsid w:val="00B5021E"/>
    <w:rsid w:val="00B508DA"/>
    <w:rsid w:val="00B5094E"/>
    <w:rsid w:val="00B50D86"/>
    <w:rsid w:val="00B50D8A"/>
    <w:rsid w:val="00B50FBC"/>
    <w:rsid w:val="00B50FF6"/>
    <w:rsid w:val="00B5125D"/>
    <w:rsid w:val="00B52414"/>
    <w:rsid w:val="00B5266A"/>
    <w:rsid w:val="00B535A1"/>
    <w:rsid w:val="00B535F4"/>
    <w:rsid w:val="00B53A6F"/>
    <w:rsid w:val="00B53CAD"/>
    <w:rsid w:val="00B54769"/>
    <w:rsid w:val="00B547A7"/>
    <w:rsid w:val="00B55363"/>
    <w:rsid w:val="00B55596"/>
    <w:rsid w:val="00B5599A"/>
    <w:rsid w:val="00B55AEE"/>
    <w:rsid w:val="00B55ECC"/>
    <w:rsid w:val="00B56EAE"/>
    <w:rsid w:val="00B57380"/>
    <w:rsid w:val="00B61080"/>
    <w:rsid w:val="00B61E45"/>
    <w:rsid w:val="00B62043"/>
    <w:rsid w:val="00B62A55"/>
    <w:rsid w:val="00B635D6"/>
    <w:rsid w:val="00B639F0"/>
    <w:rsid w:val="00B6438D"/>
    <w:rsid w:val="00B6469B"/>
    <w:rsid w:val="00B648D2"/>
    <w:rsid w:val="00B6518D"/>
    <w:rsid w:val="00B652EA"/>
    <w:rsid w:val="00B65A58"/>
    <w:rsid w:val="00B65DBB"/>
    <w:rsid w:val="00B67A3D"/>
    <w:rsid w:val="00B70670"/>
    <w:rsid w:val="00B7140F"/>
    <w:rsid w:val="00B71493"/>
    <w:rsid w:val="00B719E8"/>
    <w:rsid w:val="00B71EBF"/>
    <w:rsid w:val="00B72A0C"/>
    <w:rsid w:val="00B72DDC"/>
    <w:rsid w:val="00B7364C"/>
    <w:rsid w:val="00B73D5D"/>
    <w:rsid w:val="00B74007"/>
    <w:rsid w:val="00B74319"/>
    <w:rsid w:val="00B74320"/>
    <w:rsid w:val="00B743FE"/>
    <w:rsid w:val="00B753CD"/>
    <w:rsid w:val="00B7570C"/>
    <w:rsid w:val="00B75D60"/>
    <w:rsid w:val="00B7660D"/>
    <w:rsid w:val="00B7710E"/>
    <w:rsid w:val="00B775B8"/>
    <w:rsid w:val="00B77F0D"/>
    <w:rsid w:val="00B801AA"/>
    <w:rsid w:val="00B803B2"/>
    <w:rsid w:val="00B80855"/>
    <w:rsid w:val="00B82219"/>
    <w:rsid w:val="00B82761"/>
    <w:rsid w:val="00B827D7"/>
    <w:rsid w:val="00B82CDD"/>
    <w:rsid w:val="00B82EB1"/>
    <w:rsid w:val="00B83506"/>
    <w:rsid w:val="00B838CD"/>
    <w:rsid w:val="00B83C1A"/>
    <w:rsid w:val="00B86290"/>
    <w:rsid w:val="00B8656B"/>
    <w:rsid w:val="00B86A31"/>
    <w:rsid w:val="00B87913"/>
    <w:rsid w:val="00B87949"/>
    <w:rsid w:val="00B87B26"/>
    <w:rsid w:val="00B907DE"/>
    <w:rsid w:val="00B90B20"/>
    <w:rsid w:val="00B91F0D"/>
    <w:rsid w:val="00B92058"/>
    <w:rsid w:val="00B92BA4"/>
    <w:rsid w:val="00B9307D"/>
    <w:rsid w:val="00B93847"/>
    <w:rsid w:val="00B940D6"/>
    <w:rsid w:val="00B94110"/>
    <w:rsid w:val="00B95DB5"/>
    <w:rsid w:val="00B96D93"/>
    <w:rsid w:val="00B96E0A"/>
    <w:rsid w:val="00BA086D"/>
    <w:rsid w:val="00BA17C8"/>
    <w:rsid w:val="00BA1A83"/>
    <w:rsid w:val="00BA1AEE"/>
    <w:rsid w:val="00BA2F77"/>
    <w:rsid w:val="00BA38CF"/>
    <w:rsid w:val="00BA396A"/>
    <w:rsid w:val="00BA3B4D"/>
    <w:rsid w:val="00BA3BB9"/>
    <w:rsid w:val="00BA3E03"/>
    <w:rsid w:val="00BA440E"/>
    <w:rsid w:val="00BA5988"/>
    <w:rsid w:val="00BA5EA9"/>
    <w:rsid w:val="00BA6677"/>
    <w:rsid w:val="00BA6CF0"/>
    <w:rsid w:val="00BA7DB6"/>
    <w:rsid w:val="00BB07BE"/>
    <w:rsid w:val="00BB07CA"/>
    <w:rsid w:val="00BB107C"/>
    <w:rsid w:val="00BB2243"/>
    <w:rsid w:val="00BB26BD"/>
    <w:rsid w:val="00BB3259"/>
    <w:rsid w:val="00BB3BCA"/>
    <w:rsid w:val="00BB3FFB"/>
    <w:rsid w:val="00BB4A80"/>
    <w:rsid w:val="00BB5340"/>
    <w:rsid w:val="00BB5558"/>
    <w:rsid w:val="00BB6C1E"/>
    <w:rsid w:val="00BC0938"/>
    <w:rsid w:val="00BC0BD8"/>
    <w:rsid w:val="00BC2228"/>
    <w:rsid w:val="00BC2FB5"/>
    <w:rsid w:val="00BC5DFE"/>
    <w:rsid w:val="00BC6258"/>
    <w:rsid w:val="00BD14DA"/>
    <w:rsid w:val="00BD16A2"/>
    <w:rsid w:val="00BD16CA"/>
    <w:rsid w:val="00BD17B8"/>
    <w:rsid w:val="00BD17DC"/>
    <w:rsid w:val="00BD2385"/>
    <w:rsid w:val="00BD4AF8"/>
    <w:rsid w:val="00BD581A"/>
    <w:rsid w:val="00BD58F4"/>
    <w:rsid w:val="00BD6551"/>
    <w:rsid w:val="00BD6B29"/>
    <w:rsid w:val="00BD7267"/>
    <w:rsid w:val="00BD7941"/>
    <w:rsid w:val="00BD7959"/>
    <w:rsid w:val="00BD7AB8"/>
    <w:rsid w:val="00BE085B"/>
    <w:rsid w:val="00BE0887"/>
    <w:rsid w:val="00BE0D35"/>
    <w:rsid w:val="00BE266C"/>
    <w:rsid w:val="00BE2894"/>
    <w:rsid w:val="00BE2988"/>
    <w:rsid w:val="00BE43EF"/>
    <w:rsid w:val="00BE48A9"/>
    <w:rsid w:val="00BE4D39"/>
    <w:rsid w:val="00BE4DC8"/>
    <w:rsid w:val="00BE5175"/>
    <w:rsid w:val="00BE6E37"/>
    <w:rsid w:val="00BE6F4B"/>
    <w:rsid w:val="00BE7AE5"/>
    <w:rsid w:val="00BE7FDF"/>
    <w:rsid w:val="00BF05F5"/>
    <w:rsid w:val="00BF0B19"/>
    <w:rsid w:val="00BF0C21"/>
    <w:rsid w:val="00BF0C83"/>
    <w:rsid w:val="00BF0CD5"/>
    <w:rsid w:val="00BF10DC"/>
    <w:rsid w:val="00BF11EE"/>
    <w:rsid w:val="00BF1246"/>
    <w:rsid w:val="00BF30D4"/>
    <w:rsid w:val="00BF3216"/>
    <w:rsid w:val="00BF35F2"/>
    <w:rsid w:val="00BF454F"/>
    <w:rsid w:val="00BF480E"/>
    <w:rsid w:val="00BF4B19"/>
    <w:rsid w:val="00BF4BF4"/>
    <w:rsid w:val="00BF51F8"/>
    <w:rsid w:val="00BF60FB"/>
    <w:rsid w:val="00BF6BC2"/>
    <w:rsid w:val="00BF75DD"/>
    <w:rsid w:val="00BF7616"/>
    <w:rsid w:val="00BF7620"/>
    <w:rsid w:val="00C01054"/>
    <w:rsid w:val="00C012B3"/>
    <w:rsid w:val="00C012D5"/>
    <w:rsid w:val="00C0222E"/>
    <w:rsid w:val="00C02634"/>
    <w:rsid w:val="00C0398A"/>
    <w:rsid w:val="00C0420F"/>
    <w:rsid w:val="00C0470E"/>
    <w:rsid w:val="00C04D71"/>
    <w:rsid w:val="00C050DB"/>
    <w:rsid w:val="00C06666"/>
    <w:rsid w:val="00C06C13"/>
    <w:rsid w:val="00C074CA"/>
    <w:rsid w:val="00C07F30"/>
    <w:rsid w:val="00C10750"/>
    <w:rsid w:val="00C112F8"/>
    <w:rsid w:val="00C1189D"/>
    <w:rsid w:val="00C11ABA"/>
    <w:rsid w:val="00C12496"/>
    <w:rsid w:val="00C12C03"/>
    <w:rsid w:val="00C12EFC"/>
    <w:rsid w:val="00C130E8"/>
    <w:rsid w:val="00C1366B"/>
    <w:rsid w:val="00C1469A"/>
    <w:rsid w:val="00C14C24"/>
    <w:rsid w:val="00C155C9"/>
    <w:rsid w:val="00C16047"/>
    <w:rsid w:val="00C20872"/>
    <w:rsid w:val="00C20C2B"/>
    <w:rsid w:val="00C22F14"/>
    <w:rsid w:val="00C23BD9"/>
    <w:rsid w:val="00C23DE0"/>
    <w:rsid w:val="00C23E3F"/>
    <w:rsid w:val="00C248E4"/>
    <w:rsid w:val="00C24E48"/>
    <w:rsid w:val="00C30357"/>
    <w:rsid w:val="00C308AD"/>
    <w:rsid w:val="00C30E75"/>
    <w:rsid w:val="00C312C1"/>
    <w:rsid w:val="00C31EAC"/>
    <w:rsid w:val="00C31ED5"/>
    <w:rsid w:val="00C321BE"/>
    <w:rsid w:val="00C32A23"/>
    <w:rsid w:val="00C334CC"/>
    <w:rsid w:val="00C3468F"/>
    <w:rsid w:val="00C35560"/>
    <w:rsid w:val="00C35754"/>
    <w:rsid w:val="00C36452"/>
    <w:rsid w:val="00C37C37"/>
    <w:rsid w:val="00C40878"/>
    <w:rsid w:val="00C408BB"/>
    <w:rsid w:val="00C40A89"/>
    <w:rsid w:val="00C40B12"/>
    <w:rsid w:val="00C40BF0"/>
    <w:rsid w:val="00C40DA6"/>
    <w:rsid w:val="00C40EAB"/>
    <w:rsid w:val="00C411AB"/>
    <w:rsid w:val="00C425AA"/>
    <w:rsid w:val="00C433DF"/>
    <w:rsid w:val="00C44303"/>
    <w:rsid w:val="00C44393"/>
    <w:rsid w:val="00C448B7"/>
    <w:rsid w:val="00C45145"/>
    <w:rsid w:val="00C46202"/>
    <w:rsid w:val="00C46E5A"/>
    <w:rsid w:val="00C47624"/>
    <w:rsid w:val="00C47901"/>
    <w:rsid w:val="00C47F66"/>
    <w:rsid w:val="00C500FA"/>
    <w:rsid w:val="00C50869"/>
    <w:rsid w:val="00C51601"/>
    <w:rsid w:val="00C53602"/>
    <w:rsid w:val="00C54BBD"/>
    <w:rsid w:val="00C55023"/>
    <w:rsid w:val="00C55728"/>
    <w:rsid w:val="00C5585F"/>
    <w:rsid w:val="00C558D9"/>
    <w:rsid w:val="00C57223"/>
    <w:rsid w:val="00C6012A"/>
    <w:rsid w:val="00C612F0"/>
    <w:rsid w:val="00C61AEE"/>
    <w:rsid w:val="00C629F5"/>
    <w:rsid w:val="00C629FD"/>
    <w:rsid w:val="00C62B8A"/>
    <w:rsid w:val="00C63946"/>
    <w:rsid w:val="00C63D40"/>
    <w:rsid w:val="00C640D9"/>
    <w:rsid w:val="00C644A0"/>
    <w:rsid w:val="00C6488D"/>
    <w:rsid w:val="00C64CCF"/>
    <w:rsid w:val="00C66EE0"/>
    <w:rsid w:val="00C67A89"/>
    <w:rsid w:val="00C67E7E"/>
    <w:rsid w:val="00C700B2"/>
    <w:rsid w:val="00C700F9"/>
    <w:rsid w:val="00C704CE"/>
    <w:rsid w:val="00C70CCA"/>
    <w:rsid w:val="00C72794"/>
    <w:rsid w:val="00C72869"/>
    <w:rsid w:val="00C7318D"/>
    <w:rsid w:val="00C7389D"/>
    <w:rsid w:val="00C74011"/>
    <w:rsid w:val="00C74AD3"/>
    <w:rsid w:val="00C74FB7"/>
    <w:rsid w:val="00C7504C"/>
    <w:rsid w:val="00C75318"/>
    <w:rsid w:val="00C759C1"/>
    <w:rsid w:val="00C764DB"/>
    <w:rsid w:val="00C76BB7"/>
    <w:rsid w:val="00C77793"/>
    <w:rsid w:val="00C808CA"/>
    <w:rsid w:val="00C81E1A"/>
    <w:rsid w:val="00C83AA4"/>
    <w:rsid w:val="00C842C7"/>
    <w:rsid w:val="00C8532E"/>
    <w:rsid w:val="00C85DE4"/>
    <w:rsid w:val="00C866F6"/>
    <w:rsid w:val="00C86E3F"/>
    <w:rsid w:val="00C8793D"/>
    <w:rsid w:val="00C87B1E"/>
    <w:rsid w:val="00C90091"/>
    <w:rsid w:val="00C92600"/>
    <w:rsid w:val="00C93782"/>
    <w:rsid w:val="00C94032"/>
    <w:rsid w:val="00C9439C"/>
    <w:rsid w:val="00C94EA9"/>
    <w:rsid w:val="00C95011"/>
    <w:rsid w:val="00C95513"/>
    <w:rsid w:val="00C95C89"/>
    <w:rsid w:val="00C97834"/>
    <w:rsid w:val="00C97AEC"/>
    <w:rsid w:val="00C97CDD"/>
    <w:rsid w:val="00C97F5B"/>
    <w:rsid w:val="00CA03AB"/>
    <w:rsid w:val="00CA0B0A"/>
    <w:rsid w:val="00CA1540"/>
    <w:rsid w:val="00CA17EE"/>
    <w:rsid w:val="00CA2332"/>
    <w:rsid w:val="00CA3355"/>
    <w:rsid w:val="00CA4DA6"/>
    <w:rsid w:val="00CA7945"/>
    <w:rsid w:val="00CA7A4C"/>
    <w:rsid w:val="00CB109B"/>
    <w:rsid w:val="00CB1B6F"/>
    <w:rsid w:val="00CB1BC6"/>
    <w:rsid w:val="00CB2250"/>
    <w:rsid w:val="00CB289A"/>
    <w:rsid w:val="00CB328A"/>
    <w:rsid w:val="00CB3D0A"/>
    <w:rsid w:val="00CB4A4F"/>
    <w:rsid w:val="00CB5982"/>
    <w:rsid w:val="00CB59B4"/>
    <w:rsid w:val="00CB6058"/>
    <w:rsid w:val="00CB6081"/>
    <w:rsid w:val="00CB7142"/>
    <w:rsid w:val="00CB7ADB"/>
    <w:rsid w:val="00CC1AF7"/>
    <w:rsid w:val="00CC2A25"/>
    <w:rsid w:val="00CC2C3B"/>
    <w:rsid w:val="00CC608F"/>
    <w:rsid w:val="00CC60EA"/>
    <w:rsid w:val="00CC69CB"/>
    <w:rsid w:val="00CC78DD"/>
    <w:rsid w:val="00CC7A0B"/>
    <w:rsid w:val="00CC7AF9"/>
    <w:rsid w:val="00CD17D5"/>
    <w:rsid w:val="00CD185E"/>
    <w:rsid w:val="00CD1D2C"/>
    <w:rsid w:val="00CD216C"/>
    <w:rsid w:val="00CD34B3"/>
    <w:rsid w:val="00CD3933"/>
    <w:rsid w:val="00CD3E25"/>
    <w:rsid w:val="00CD44D3"/>
    <w:rsid w:val="00CD4F85"/>
    <w:rsid w:val="00CD5205"/>
    <w:rsid w:val="00CD54D9"/>
    <w:rsid w:val="00CD54DA"/>
    <w:rsid w:val="00CD6B8C"/>
    <w:rsid w:val="00CD73DC"/>
    <w:rsid w:val="00CE047F"/>
    <w:rsid w:val="00CE11FE"/>
    <w:rsid w:val="00CE279C"/>
    <w:rsid w:val="00CE2E5D"/>
    <w:rsid w:val="00CE3476"/>
    <w:rsid w:val="00CE3F73"/>
    <w:rsid w:val="00CE58BA"/>
    <w:rsid w:val="00CF0C11"/>
    <w:rsid w:val="00CF126E"/>
    <w:rsid w:val="00CF1B95"/>
    <w:rsid w:val="00CF2654"/>
    <w:rsid w:val="00CF2A17"/>
    <w:rsid w:val="00CF2C79"/>
    <w:rsid w:val="00CF2F34"/>
    <w:rsid w:val="00CF4433"/>
    <w:rsid w:val="00CF5640"/>
    <w:rsid w:val="00CF5872"/>
    <w:rsid w:val="00CF6C37"/>
    <w:rsid w:val="00CF7E51"/>
    <w:rsid w:val="00D001EF"/>
    <w:rsid w:val="00D00265"/>
    <w:rsid w:val="00D02657"/>
    <w:rsid w:val="00D0266E"/>
    <w:rsid w:val="00D041F1"/>
    <w:rsid w:val="00D04A21"/>
    <w:rsid w:val="00D04E0B"/>
    <w:rsid w:val="00D05A65"/>
    <w:rsid w:val="00D0635D"/>
    <w:rsid w:val="00D07D31"/>
    <w:rsid w:val="00D07F09"/>
    <w:rsid w:val="00D101D9"/>
    <w:rsid w:val="00D1126C"/>
    <w:rsid w:val="00D11A14"/>
    <w:rsid w:val="00D12228"/>
    <w:rsid w:val="00D12A1E"/>
    <w:rsid w:val="00D133F8"/>
    <w:rsid w:val="00D146FC"/>
    <w:rsid w:val="00D14B54"/>
    <w:rsid w:val="00D15336"/>
    <w:rsid w:val="00D16DF7"/>
    <w:rsid w:val="00D16F70"/>
    <w:rsid w:val="00D1768D"/>
    <w:rsid w:val="00D17B8B"/>
    <w:rsid w:val="00D17DCF"/>
    <w:rsid w:val="00D20F6E"/>
    <w:rsid w:val="00D21313"/>
    <w:rsid w:val="00D213C7"/>
    <w:rsid w:val="00D22168"/>
    <w:rsid w:val="00D22E0B"/>
    <w:rsid w:val="00D2318D"/>
    <w:rsid w:val="00D23463"/>
    <w:rsid w:val="00D23520"/>
    <w:rsid w:val="00D242C6"/>
    <w:rsid w:val="00D247B7"/>
    <w:rsid w:val="00D255C8"/>
    <w:rsid w:val="00D26BF4"/>
    <w:rsid w:val="00D2741E"/>
    <w:rsid w:val="00D27FC7"/>
    <w:rsid w:val="00D3001E"/>
    <w:rsid w:val="00D30AFC"/>
    <w:rsid w:val="00D30B3A"/>
    <w:rsid w:val="00D32873"/>
    <w:rsid w:val="00D32C4F"/>
    <w:rsid w:val="00D337A9"/>
    <w:rsid w:val="00D34183"/>
    <w:rsid w:val="00D349E6"/>
    <w:rsid w:val="00D353D9"/>
    <w:rsid w:val="00D36A63"/>
    <w:rsid w:val="00D36BE7"/>
    <w:rsid w:val="00D402A3"/>
    <w:rsid w:val="00D40AE2"/>
    <w:rsid w:val="00D41262"/>
    <w:rsid w:val="00D42E40"/>
    <w:rsid w:val="00D44487"/>
    <w:rsid w:val="00D44C3F"/>
    <w:rsid w:val="00D4559A"/>
    <w:rsid w:val="00D459B6"/>
    <w:rsid w:val="00D47242"/>
    <w:rsid w:val="00D479F2"/>
    <w:rsid w:val="00D50142"/>
    <w:rsid w:val="00D501B4"/>
    <w:rsid w:val="00D50C22"/>
    <w:rsid w:val="00D50CF9"/>
    <w:rsid w:val="00D523BE"/>
    <w:rsid w:val="00D52C26"/>
    <w:rsid w:val="00D52CB4"/>
    <w:rsid w:val="00D536BF"/>
    <w:rsid w:val="00D53932"/>
    <w:rsid w:val="00D54FBC"/>
    <w:rsid w:val="00D56ADB"/>
    <w:rsid w:val="00D60E9A"/>
    <w:rsid w:val="00D61141"/>
    <w:rsid w:val="00D61520"/>
    <w:rsid w:val="00D61CF0"/>
    <w:rsid w:val="00D6300D"/>
    <w:rsid w:val="00D63840"/>
    <w:rsid w:val="00D64361"/>
    <w:rsid w:val="00D64AAF"/>
    <w:rsid w:val="00D64ADE"/>
    <w:rsid w:val="00D659E4"/>
    <w:rsid w:val="00D65E99"/>
    <w:rsid w:val="00D661E3"/>
    <w:rsid w:val="00D6673E"/>
    <w:rsid w:val="00D67BCF"/>
    <w:rsid w:val="00D67EF9"/>
    <w:rsid w:val="00D709AD"/>
    <w:rsid w:val="00D7111B"/>
    <w:rsid w:val="00D71682"/>
    <w:rsid w:val="00D739A3"/>
    <w:rsid w:val="00D740A8"/>
    <w:rsid w:val="00D74585"/>
    <w:rsid w:val="00D745B3"/>
    <w:rsid w:val="00D74EA2"/>
    <w:rsid w:val="00D75129"/>
    <w:rsid w:val="00D75B60"/>
    <w:rsid w:val="00D77100"/>
    <w:rsid w:val="00D77997"/>
    <w:rsid w:val="00D801B6"/>
    <w:rsid w:val="00D80B9F"/>
    <w:rsid w:val="00D81BE3"/>
    <w:rsid w:val="00D829CD"/>
    <w:rsid w:val="00D82DE9"/>
    <w:rsid w:val="00D83412"/>
    <w:rsid w:val="00D835A7"/>
    <w:rsid w:val="00D83759"/>
    <w:rsid w:val="00D84ABE"/>
    <w:rsid w:val="00D85255"/>
    <w:rsid w:val="00D855E5"/>
    <w:rsid w:val="00D86D1E"/>
    <w:rsid w:val="00D87420"/>
    <w:rsid w:val="00D87B2E"/>
    <w:rsid w:val="00D91D13"/>
    <w:rsid w:val="00D91D38"/>
    <w:rsid w:val="00D927DD"/>
    <w:rsid w:val="00D92F8D"/>
    <w:rsid w:val="00D936AD"/>
    <w:rsid w:val="00D939EE"/>
    <w:rsid w:val="00D95501"/>
    <w:rsid w:val="00D95823"/>
    <w:rsid w:val="00D95E59"/>
    <w:rsid w:val="00D95EBC"/>
    <w:rsid w:val="00D96608"/>
    <w:rsid w:val="00D974CF"/>
    <w:rsid w:val="00D976F8"/>
    <w:rsid w:val="00D97F5F"/>
    <w:rsid w:val="00DA0F36"/>
    <w:rsid w:val="00DA181E"/>
    <w:rsid w:val="00DA1A1C"/>
    <w:rsid w:val="00DA21E6"/>
    <w:rsid w:val="00DA2F4B"/>
    <w:rsid w:val="00DA2F8B"/>
    <w:rsid w:val="00DA3253"/>
    <w:rsid w:val="00DA39B7"/>
    <w:rsid w:val="00DA3EA5"/>
    <w:rsid w:val="00DA496E"/>
    <w:rsid w:val="00DA5358"/>
    <w:rsid w:val="00DA5796"/>
    <w:rsid w:val="00DA5940"/>
    <w:rsid w:val="00DA5F8D"/>
    <w:rsid w:val="00DA618B"/>
    <w:rsid w:val="00DA6C8E"/>
    <w:rsid w:val="00DA7549"/>
    <w:rsid w:val="00DA7571"/>
    <w:rsid w:val="00DA7628"/>
    <w:rsid w:val="00DA78B6"/>
    <w:rsid w:val="00DA7CD3"/>
    <w:rsid w:val="00DB05E3"/>
    <w:rsid w:val="00DB1494"/>
    <w:rsid w:val="00DB1667"/>
    <w:rsid w:val="00DB22EC"/>
    <w:rsid w:val="00DB2842"/>
    <w:rsid w:val="00DB3A7F"/>
    <w:rsid w:val="00DB41CD"/>
    <w:rsid w:val="00DB6970"/>
    <w:rsid w:val="00DB6E92"/>
    <w:rsid w:val="00DC019B"/>
    <w:rsid w:val="00DC0695"/>
    <w:rsid w:val="00DC06CC"/>
    <w:rsid w:val="00DC0920"/>
    <w:rsid w:val="00DC2451"/>
    <w:rsid w:val="00DC2BB3"/>
    <w:rsid w:val="00DC4508"/>
    <w:rsid w:val="00DC4673"/>
    <w:rsid w:val="00DC4CE9"/>
    <w:rsid w:val="00DC4E38"/>
    <w:rsid w:val="00DC5325"/>
    <w:rsid w:val="00DC5349"/>
    <w:rsid w:val="00DC57B7"/>
    <w:rsid w:val="00DC5A5A"/>
    <w:rsid w:val="00DC5C08"/>
    <w:rsid w:val="00DC634F"/>
    <w:rsid w:val="00DC6DB7"/>
    <w:rsid w:val="00DC6F77"/>
    <w:rsid w:val="00DC759D"/>
    <w:rsid w:val="00DD05DB"/>
    <w:rsid w:val="00DD0974"/>
    <w:rsid w:val="00DD1447"/>
    <w:rsid w:val="00DD1BE8"/>
    <w:rsid w:val="00DD1EA0"/>
    <w:rsid w:val="00DD22C5"/>
    <w:rsid w:val="00DD32B7"/>
    <w:rsid w:val="00DD4059"/>
    <w:rsid w:val="00DD4C91"/>
    <w:rsid w:val="00DD50C5"/>
    <w:rsid w:val="00DD7F04"/>
    <w:rsid w:val="00DE041D"/>
    <w:rsid w:val="00DE0744"/>
    <w:rsid w:val="00DE0912"/>
    <w:rsid w:val="00DE10B9"/>
    <w:rsid w:val="00DE1962"/>
    <w:rsid w:val="00DE3EA2"/>
    <w:rsid w:val="00DE40EC"/>
    <w:rsid w:val="00DE42AF"/>
    <w:rsid w:val="00DE43B2"/>
    <w:rsid w:val="00DE4C68"/>
    <w:rsid w:val="00DE517F"/>
    <w:rsid w:val="00DE583F"/>
    <w:rsid w:val="00DE69D6"/>
    <w:rsid w:val="00DF0F6F"/>
    <w:rsid w:val="00DF2B2F"/>
    <w:rsid w:val="00DF383A"/>
    <w:rsid w:val="00DF419D"/>
    <w:rsid w:val="00DF5195"/>
    <w:rsid w:val="00DF601B"/>
    <w:rsid w:val="00E02DFF"/>
    <w:rsid w:val="00E03A48"/>
    <w:rsid w:val="00E03A69"/>
    <w:rsid w:val="00E0561C"/>
    <w:rsid w:val="00E0575B"/>
    <w:rsid w:val="00E10CA5"/>
    <w:rsid w:val="00E10F77"/>
    <w:rsid w:val="00E11102"/>
    <w:rsid w:val="00E111CE"/>
    <w:rsid w:val="00E12696"/>
    <w:rsid w:val="00E12CD0"/>
    <w:rsid w:val="00E12FC8"/>
    <w:rsid w:val="00E131BD"/>
    <w:rsid w:val="00E133DB"/>
    <w:rsid w:val="00E140FB"/>
    <w:rsid w:val="00E14D32"/>
    <w:rsid w:val="00E15D18"/>
    <w:rsid w:val="00E15DB7"/>
    <w:rsid w:val="00E163FB"/>
    <w:rsid w:val="00E16941"/>
    <w:rsid w:val="00E17235"/>
    <w:rsid w:val="00E17509"/>
    <w:rsid w:val="00E17DA9"/>
    <w:rsid w:val="00E20A78"/>
    <w:rsid w:val="00E21B81"/>
    <w:rsid w:val="00E22006"/>
    <w:rsid w:val="00E2240F"/>
    <w:rsid w:val="00E22A59"/>
    <w:rsid w:val="00E22E75"/>
    <w:rsid w:val="00E236A0"/>
    <w:rsid w:val="00E24853"/>
    <w:rsid w:val="00E24E2C"/>
    <w:rsid w:val="00E25E1A"/>
    <w:rsid w:val="00E25EBE"/>
    <w:rsid w:val="00E26367"/>
    <w:rsid w:val="00E27B5C"/>
    <w:rsid w:val="00E27B8C"/>
    <w:rsid w:val="00E3021E"/>
    <w:rsid w:val="00E30DB4"/>
    <w:rsid w:val="00E31715"/>
    <w:rsid w:val="00E31E1C"/>
    <w:rsid w:val="00E3247D"/>
    <w:rsid w:val="00E32DDC"/>
    <w:rsid w:val="00E33305"/>
    <w:rsid w:val="00E33611"/>
    <w:rsid w:val="00E33A5A"/>
    <w:rsid w:val="00E346CB"/>
    <w:rsid w:val="00E34BBE"/>
    <w:rsid w:val="00E37E76"/>
    <w:rsid w:val="00E410E7"/>
    <w:rsid w:val="00E41AAA"/>
    <w:rsid w:val="00E42C7B"/>
    <w:rsid w:val="00E43C15"/>
    <w:rsid w:val="00E453E2"/>
    <w:rsid w:val="00E4636B"/>
    <w:rsid w:val="00E46B21"/>
    <w:rsid w:val="00E47A9A"/>
    <w:rsid w:val="00E47D33"/>
    <w:rsid w:val="00E51D75"/>
    <w:rsid w:val="00E52B75"/>
    <w:rsid w:val="00E53911"/>
    <w:rsid w:val="00E53AD9"/>
    <w:rsid w:val="00E543FC"/>
    <w:rsid w:val="00E54C1A"/>
    <w:rsid w:val="00E556C8"/>
    <w:rsid w:val="00E5698B"/>
    <w:rsid w:val="00E57317"/>
    <w:rsid w:val="00E605CA"/>
    <w:rsid w:val="00E61DD8"/>
    <w:rsid w:val="00E623FA"/>
    <w:rsid w:val="00E62D0A"/>
    <w:rsid w:val="00E6333D"/>
    <w:rsid w:val="00E63409"/>
    <w:rsid w:val="00E63F28"/>
    <w:rsid w:val="00E64D67"/>
    <w:rsid w:val="00E65822"/>
    <w:rsid w:val="00E6628F"/>
    <w:rsid w:val="00E66B87"/>
    <w:rsid w:val="00E66CE3"/>
    <w:rsid w:val="00E67725"/>
    <w:rsid w:val="00E7007E"/>
    <w:rsid w:val="00E707CA"/>
    <w:rsid w:val="00E716F9"/>
    <w:rsid w:val="00E718E9"/>
    <w:rsid w:val="00E7190B"/>
    <w:rsid w:val="00E730C9"/>
    <w:rsid w:val="00E7398E"/>
    <w:rsid w:val="00E73B79"/>
    <w:rsid w:val="00E74078"/>
    <w:rsid w:val="00E74BEA"/>
    <w:rsid w:val="00E74E3A"/>
    <w:rsid w:val="00E75D2E"/>
    <w:rsid w:val="00E75D79"/>
    <w:rsid w:val="00E7605E"/>
    <w:rsid w:val="00E76186"/>
    <w:rsid w:val="00E77B2E"/>
    <w:rsid w:val="00E80386"/>
    <w:rsid w:val="00E80438"/>
    <w:rsid w:val="00E808C8"/>
    <w:rsid w:val="00E8111A"/>
    <w:rsid w:val="00E812F9"/>
    <w:rsid w:val="00E814C8"/>
    <w:rsid w:val="00E81554"/>
    <w:rsid w:val="00E81A0D"/>
    <w:rsid w:val="00E8220A"/>
    <w:rsid w:val="00E826AE"/>
    <w:rsid w:val="00E832F9"/>
    <w:rsid w:val="00E83309"/>
    <w:rsid w:val="00E84074"/>
    <w:rsid w:val="00E84BF8"/>
    <w:rsid w:val="00E84C7E"/>
    <w:rsid w:val="00E84D69"/>
    <w:rsid w:val="00E86E07"/>
    <w:rsid w:val="00E86E5E"/>
    <w:rsid w:val="00E87EE9"/>
    <w:rsid w:val="00E90F76"/>
    <w:rsid w:val="00E91D49"/>
    <w:rsid w:val="00E924F6"/>
    <w:rsid w:val="00E9292D"/>
    <w:rsid w:val="00E92ED0"/>
    <w:rsid w:val="00E93238"/>
    <w:rsid w:val="00E937E9"/>
    <w:rsid w:val="00E94268"/>
    <w:rsid w:val="00E9519D"/>
    <w:rsid w:val="00E9526A"/>
    <w:rsid w:val="00E95A9D"/>
    <w:rsid w:val="00E961FD"/>
    <w:rsid w:val="00E9705F"/>
    <w:rsid w:val="00E971B2"/>
    <w:rsid w:val="00E975CA"/>
    <w:rsid w:val="00E97FDF"/>
    <w:rsid w:val="00EA0274"/>
    <w:rsid w:val="00EA05C5"/>
    <w:rsid w:val="00EA1AE3"/>
    <w:rsid w:val="00EA1BB6"/>
    <w:rsid w:val="00EA1CC0"/>
    <w:rsid w:val="00EA20BE"/>
    <w:rsid w:val="00EA3D4C"/>
    <w:rsid w:val="00EA42C7"/>
    <w:rsid w:val="00EA42DA"/>
    <w:rsid w:val="00EA5675"/>
    <w:rsid w:val="00EA59E1"/>
    <w:rsid w:val="00EA5C70"/>
    <w:rsid w:val="00EA68BC"/>
    <w:rsid w:val="00EA6F04"/>
    <w:rsid w:val="00EB05F5"/>
    <w:rsid w:val="00EB1255"/>
    <w:rsid w:val="00EB2F2E"/>
    <w:rsid w:val="00EB4941"/>
    <w:rsid w:val="00EB4A95"/>
    <w:rsid w:val="00EB4B53"/>
    <w:rsid w:val="00EB4CC3"/>
    <w:rsid w:val="00EB533C"/>
    <w:rsid w:val="00EB5BB7"/>
    <w:rsid w:val="00EB641D"/>
    <w:rsid w:val="00EB6EC1"/>
    <w:rsid w:val="00EB7189"/>
    <w:rsid w:val="00EB7CAA"/>
    <w:rsid w:val="00EC0232"/>
    <w:rsid w:val="00EC0844"/>
    <w:rsid w:val="00EC0ABA"/>
    <w:rsid w:val="00EC2ED3"/>
    <w:rsid w:val="00EC333F"/>
    <w:rsid w:val="00EC354E"/>
    <w:rsid w:val="00EC375B"/>
    <w:rsid w:val="00EC4E1B"/>
    <w:rsid w:val="00EC5757"/>
    <w:rsid w:val="00EC59BE"/>
    <w:rsid w:val="00EC6190"/>
    <w:rsid w:val="00EC6F9C"/>
    <w:rsid w:val="00EC7131"/>
    <w:rsid w:val="00EC7566"/>
    <w:rsid w:val="00EC7676"/>
    <w:rsid w:val="00EC7F98"/>
    <w:rsid w:val="00ED199B"/>
    <w:rsid w:val="00ED1BE6"/>
    <w:rsid w:val="00ED1E66"/>
    <w:rsid w:val="00ED2248"/>
    <w:rsid w:val="00ED2E55"/>
    <w:rsid w:val="00ED4161"/>
    <w:rsid w:val="00ED5AB8"/>
    <w:rsid w:val="00ED6332"/>
    <w:rsid w:val="00ED7446"/>
    <w:rsid w:val="00ED7B42"/>
    <w:rsid w:val="00EE3592"/>
    <w:rsid w:val="00EE35C0"/>
    <w:rsid w:val="00EE371F"/>
    <w:rsid w:val="00EE3F6D"/>
    <w:rsid w:val="00EE4177"/>
    <w:rsid w:val="00EE45D0"/>
    <w:rsid w:val="00EE4733"/>
    <w:rsid w:val="00EE634B"/>
    <w:rsid w:val="00EE648B"/>
    <w:rsid w:val="00EE65A8"/>
    <w:rsid w:val="00EE7028"/>
    <w:rsid w:val="00EF03F1"/>
    <w:rsid w:val="00EF0BB8"/>
    <w:rsid w:val="00EF0E62"/>
    <w:rsid w:val="00EF1922"/>
    <w:rsid w:val="00EF235C"/>
    <w:rsid w:val="00EF23AE"/>
    <w:rsid w:val="00EF2713"/>
    <w:rsid w:val="00EF2817"/>
    <w:rsid w:val="00EF2956"/>
    <w:rsid w:val="00EF2C3A"/>
    <w:rsid w:val="00EF2E65"/>
    <w:rsid w:val="00EF35E0"/>
    <w:rsid w:val="00EF406E"/>
    <w:rsid w:val="00EF4457"/>
    <w:rsid w:val="00EF4F36"/>
    <w:rsid w:val="00EF5E0B"/>
    <w:rsid w:val="00EF5ED5"/>
    <w:rsid w:val="00EF63E9"/>
    <w:rsid w:val="00EF699F"/>
    <w:rsid w:val="00EF7015"/>
    <w:rsid w:val="00EF7271"/>
    <w:rsid w:val="00EF745B"/>
    <w:rsid w:val="00EF7A2C"/>
    <w:rsid w:val="00F001FE"/>
    <w:rsid w:val="00F00A68"/>
    <w:rsid w:val="00F00A84"/>
    <w:rsid w:val="00F00BA3"/>
    <w:rsid w:val="00F00D28"/>
    <w:rsid w:val="00F01554"/>
    <w:rsid w:val="00F02ACC"/>
    <w:rsid w:val="00F0317C"/>
    <w:rsid w:val="00F03E68"/>
    <w:rsid w:val="00F04A3D"/>
    <w:rsid w:val="00F0698C"/>
    <w:rsid w:val="00F069CD"/>
    <w:rsid w:val="00F070AC"/>
    <w:rsid w:val="00F07F19"/>
    <w:rsid w:val="00F1182D"/>
    <w:rsid w:val="00F11B1D"/>
    <w:rsid w:val="00F126FF"/>
    <w:rsid w:val="00F12CEB"/>
    <w:rsid w:val="00F12E45"/>
    <w:rsid w:val="00F14708"/>
    <w:rsid w:val="00F15255"/>
    <w:rsid w:val="00F152BC"/>
    <w:rsid w:val="00F15D2A"/>
    <w:rsid w:val="00F15E2F"/>
    <w:rsid w:val="00F1659B"/>
    <w:rsid w:val="00F17B6E"/>
    <w:rsid w:val="00F17CCB"/>
    <w:rsid w:val="00F202E8"/>
    <w:rsid w:val="00F2036F"/>
    <w:rsid w:val="00F21F66"/>
    <w:rsid w:val="00F229EA"/>
    <w:rsid w:val="00F233AA"/>
    <w:rsid w:val="00F23527"/>
    <w:rsid w:val="00F23E3B"/>
    <w:rsid w:val="00F23EE9"/>
    <w:rsid w:val="00F2636C"/>
    <w:rsid w:val="00F26AC3"/>
    <w:rsid w:val="00F26D51"/>
    <w:rsid w:val="00F270E6"/>
    <w:rsid w:val="00F274C3"/>
    <w:rsid w:val="00F30660"/>
    <w:rsid w:val="00F309AE"/>
    <w:rsid w:val="00F30E10"/>
    <w:rsid w:val="00F30E75"/>
    <w:rsid w:val="00F311DC"/>
    <w:rsid w:val="00F3180A"/>
    <w:rsid w:val="00F31C34"/>
    <w:rsid w:val="00F31F0A"/>
    <w:rsid w:val="00F31F33"/>
    <w:rsid w:val="00F31FC6"/>
    <w:rsid w:val="00F32175"/>
    <w:rsid w:val="00F3233D"/>
    <w:rsid w:val="00F323EA"/>
    <w:rsid w:val="00F325B2"/>
    <w:rsid w:val="00F3420D"/>
    <w:rsid w:val="00F346E5"/>
    <w:rsid w:val="00F34C32"/>
    <w:rsid w:val="00F361B0"/>
    <w:rsid w:val="00F36936"/>
    <w:rsid w:val="00F371C8"/>
    <w:rsid w:val="00F37B12"/>
    <w:rsid w:val="00F4004F"/>
    <w:rsid w:val="00F40A7D"/>
    <w:rsid w:val="00F40DF4"/>
    <w:rsid w:val="00F4130C"/>
    <w:rsid w:val="00F41788"/>
    <w:rsid w:val="00F41AA8"/>
    <w:rsid w:val="00F41C79"/>
    <w:rsid w:val="00F41F05"/>
    <w:rsid w:val="00F42085"/>
    <w:rsid w:val="00F420D8"/>
    <w:rsid w:val="00F43602"/>
    <w:rsid w:val="00F43736"/>
    <w:rsid w:val="00F44343"/>
    <w:rsid w:val="00F45082"/>
    <w:rsid w:val="00F45675"/>
    <w:rsid w:val="00F45A11"/>
    <w:rsid w:val="00F45B5A"/>
    <w:rsid w:val="00F46DA2"/>
    <w:rsid w:val="00F477B5"/>
    <w:rsid w:val="00F5006D"/>
    <w:rsid w:val="00F50AB0"/>
    <w:rsid w:val="00F51128"/>
    <w:rsid w:val="00F511D2"/>
    <w:rsid w:val="00F514C2"/>
    <w:rsid w:val="00F5173D"/>
    <w:rsid w:val="00F532D7"/>
    <w:rsid w:val="00F53C02"/>
    <w:rsid w:val="00F53DB7"/>
    <w:rsid w:val="00F554B1"/>
    <w:rsid w:val="00F558D1"/>
    <w:rsid w:val="00F55ADC"/>
    <w:rsid w:val="00F564DD"/>
    <w:rsid w:val="00F56628"/>
    <w:rsid w:val="00F5666C"/>
    <w:rsid w:val="00F566BA"/>
    <w:rsid w:val="00F56BE6"/>
    <w:rsid w:val="00F56CC8"/>
    <w:rsid w:val="00F578F1"/>
    <w:rsid w:val="00F57B80"/>
    <w:rsid w:val="00F57CA6"/>
    <w:rsid w:val="00F60472"/>
    <w:rsid w:val="00F604D1"/>
    <w:rsid w:val="00F609C7"/>
    <w:rsid w:val="00F60F9F"/>
    <w:rsid w:val="00F612F5"/>
    <w:rsid w:val="00F61384"/>
    <w:rsid w:val="00F61AF2"/>
    <w:rsid w:val="00F6209B"/>
    <w:rsid w:val="00F6252F"/>
    <w:rsid w:val="00F628AF"/>
    <w:rsid w:val="00F62F22"/>
    <w:rsid w:val="00F63A74"/>
    <w:rsid w:val="00F64354"/>
    <w:rsid w:val="00F64798"/>
    <w:rsid w:val="00F64A4B"/>
    <w:rsid w:val="00F64AC6"/>
    <w:rsid w:val="00F65288"/>
    <w:rsid w:val="00F6588E"/>
    <w:rsid w:val="00F66F40"/>
    <w:rsid w:val="00F676EB"/>
    <w:rsid w:val="00F67E0A"/>
    <w:rsid w:val="00F70005"/>
    <w:rsid w:val="00F71012"/>
    <w:rsid w:val="00F734A4"/>
    <w:rsid w:val="00F7394B"/>
    <w:rsid w:val="00F73C1B"/>
    <w:rsid w:val="00F73E84"/>
    <w:rsid w:val="00F74577"/>
    <w:rsid w:val="00F74A43"/>
    <w:rsid w:val="00F7676F"/>
    <w:rsid w:val="00F7717A"/>
    <w:rsid w:val="00F77233"/>
    <w:rsid w:val="00F778E0"/>
    <w:rsid w:val="00F80277"/>
    <w:rsid w:val="00F80AB8"/>
    <w:rsid w:val="00F811C9"/>
    <w:rsid w:val="00F81234"/>
    <w:rsid w:val="00F812D5"/>
    <w:rsid w:val="00F81AD1"/>
    <w:rsid w:val="00F82545"/>
    <w:rsid w:val="00F829A5"/>
    <w:rsid w:val="00F83C08"/>
    <w:rsid w:val="00F83CD2"/>
    <w:rsid w:val="00F8499E"/>
    <w:rsid w:val="00F86091"/>
    <w:rsid w:val="00F86B43"/>
    <w:rsid w:val="00F90560"/>
    <w:rsid w:val="00F90864"/>
    <w:rsid w:val="00F91AD4"/>
    <w:rsid w:val="00F9202C"/>
    <w:rsid w:val="00F92421"/>
    <w:rsid w:val="00F92531"/>
    <w:rsid w:val="00F92A28"/>
    <w:rsid w:val="00F93778"/>
    <w:rsid w:val="00F948A4"/>
    <w:rsid w:val="00F94C79"/>
    <w:rsid w:val="00F95067"/>
    <w:rsid w:val="00F95ED3"/>
    <w:rsid w:val="00F963DD"/>
    <w:rsid w:val="00F972CD"/>
    <w:rsid w:val="00F97950"/>
    <w:rsid w:val="00F97DF5"/>
    <w:rsid w:val="00FA0BB9"/>
    <w:rsid w:val="00FA0F12"/>
    <w:rsid w:val="00FA155D"/>
    <w:rsid w:val="00FA17B0"/>
    <w:rsid w:val="00FA3553"/>
    <w:rsid w:val="00FA365D"/>
    <w:rsid w:val="00FA3776"/>
    <w:rsid w:val="00FA37CC"/>
    <w:rsid w:val="00FA4416"/>
    <w:rsid w:val="00FA55AA"/>
    <w:rsid w:val="00FA6871"/>
    <w:rsid w:val="00FA7A2E"/>
    <w:rsid w:val="00FB18E9"/>
    <w:rsid w:val="00FB19FF"/>
    <w:rsid w:val="00FB1BBF"/>
    <w:rsid w:val="00FB1CC0"/>
    <w:rsid w:val="00FB234F"/>
    <w:rsid w:val="00FB2AB7"/>
    <w:rsid w:val="00FB4720"/>
    <w:rsid w:val="00FB472A"/>
    <w:rsid w:val="00FB491F"/>
    <w:rsid w:val="00FB4970"/>
    <w:rsid w:val="00FB49F4"/>
    <w:rsid w:val="00FB67B4"/>
    <w:rsid w:val="00FB68BB"/>
    <w:rsid w:val="00FB6ADF"/>
    <w:rsid w:val="00FB71F1"/>
    <w:rsid w:val="00FB731B"/>
    <w:rsid w:val="00FB7553"/>
    <w:rsid w:val="00FC052F"/>
    <w:rsid w:val="00FC13EA"/>
    <w:rsid w:val="00FC2C14"/>
    <w:rsid w:val="00FC2CF1"/>
    <w:rsid w:val="00FC30FA"/>
    <w:rsid w:val="00FC336B"/>
    <w:rsid w:val="00FC3E3B"/>
    <w:rsid w:val="00FC5154"/>
    <w:rsid w:val="00FC73AB"/>
    <w:rsid w:val="00FC7E36"/>
    <w:rsid w:val="00FC7E99"/>
    <w:rsid w:val="00FD0C5B"/>
    <w:rsid w:val="00FD10D1"/>
    <w:rsid w:val="00FD173C"/>
    <w:rsid w:val="00FD1FC1"/>
    <w:rsid w:val="00FD3324"/>
    <w:rsid w:val="00FD34D9"/>
    <w:rsid w:val="00FD4129"/>
    <w:rsid w:val="00FD487A"/>
    <w:rsid w:val="00FD4EBA"/>
    <w:rsid w:val="00FD6419"/>
    <w:rsid w:val="00FD6646"/>
    <w:rsid w:val="00FD7028"/>
    <w:rsid w:val="00FE11E1"/>
    <w:rsid w:val="00FE190E"/>
    <w:rsid w:val="00FE2424"/>
    <w:rsid w:val="00FE2703"/>
    <w:rsid w:val="00FE3D94"/>
    <w:rsid w:val="00FE41B8"/>
    <w:rsid w:val="00FE4B47"/>
    <w:rsid w:val="00FE5B80"/>
    <w:rsid w:val="00FE61D8"/>
    <w:rsid w:val="00FE6574"/>
    <w:rsid w:val="00FE67CB"/>
    <w:rsid w:val="00FE7E4B"/>
    <w:rsid w:val="00FE7FA3"/>
    <w:rsid w:val="00FF0273"/>
    <w:rsid w:val="00FF0C25"/>
    <w:rsid w:val="00FF151A"/>
    <w:rsid w:val="00FF158F"/>
    <w:rsid w:val="00FF2228"/>
    <w:rsid w:val="00FF2FEC"/>
    <w:rsid w:val="00FF3172"/>
    <w:rsid w:val="00FF39A0"/>
    <w:rsid w:val="00FF39B4"/>
    <w:rsid w:val="00FF3CCF"/>
    <w:rsid w:val="00FF3EBA"/>
    <w:rsid w:val="00FF4025"/>
    <w:rsid w:val="00FF41B1"/>
    <w:rsid w:val="00FF53A5"/>
    <w:rsid w:val="00FF5723"/>
    <w:rsid w:val="00FF72AB"/>
    <w:rsid w:val="01080A12"/>
    <w:rsid w:val="01111B7C"/>
    <w:rsid w:val="0156352C"/>
    <w:rsid w:val="0160078A"/>
    <w:rsid w:val="016025FC"/>
    <w:rsid w:val="01727AD4"/>
    <w:rsid w:val="018C519F"/>
    <w:rsid w:val="01910A08"/>
    <w:rsid w:val="01A56261"/>
    <w:rsid w:val="01CE57B8"/>
    <w:rsid w:val="01F30A1B"/>
    <w:rsid w:val="02136A35"/>
    <w:rsid w:val="02263E9A"/>
    <w:rsid w:val="02276CDB"/>
    <w:rsid w:val="02602E58"/>
    <w:rsid w:val="026A14A8"/>
    <w:rsid w:val="0284108D"/>
    <w:rsid w:val="02846ED2"/>
    <w:rsid w:val="02922C89"/>
    <w:rsid w:val="029F0F02"/>
    <w:rsid w:val="02AB3F80"/>
    <w:rsid w:val="02F92D08"/>
    <w:rsid w:val="02FF011F"/>
    <w:rsid w:val="0306625F"/>
    <w:rsid w:val="0314369E"/>
    <w:rsid w:val="032B6C3A"/>
    <w:rsid w:val="0332792D"/>
    <w:rsid w:val="03433F84"/>
    <w:rsid w:val="034D4E02"/>
    <w:rsid w:val="03636F78"/>
    <w:rsid w:val="038F7198"/>
    <w:rsid w:val="03905CE5"/>
    <w:rsid w:val="03925EFB"/>
    <w:rsid w:val="03960557"/>
    <w:rsid w:val="03AC7D7B"/>
    <w:rsid w:val="03B41164"/>
    <w:rsid w:val="03B659B7"/>
    <w:rsid w:val="03BE2FFA"/>
    <w:rsid w:val="03C055D4"/>
    <w:rsid w:val="03E33071"/>
    <w:rsid w:val="03E56DE9"/>
    <w:rsid w:val="04215F12"/>
    <w:rsid w:val="04221DEB"/>
    <w:rsid w:val="043072F8"/>
    <w:rsid w:val="043F0BEF"/>
    <w:rsid w:val="0441254B"/>
    <w:rsid w:val="044874C7"/>
    <w:rsid w:val="044B0EDF"/>
    <w:rsid w:val="04650E5C"/>
    <w:rsid w:val="04673CA2"/>
    <w:rsid w:val="04775A3C"/>
    <w:rsid w:val="047A7CF9"/>
    <w:rsid w:val="047F276C"/>
    <w:rsid w:val="04BD2AAB"/>
    <w:rsid w:val="04C00E1E"/>
    <w:rsid w:val="04C90D1F"/>
    <w:rsid w:val="050138D2"/>
    <w:rsid w:val="05037796"/>
    <w:rsid w:val="05072DB3"/>
    <w:rsid w:val="05696C71"/>
    <w:rsid w:val="05713E65"/>
    <w:rsid w:val="05777F14"/>
    <w:rsid w:val="057F7413"/>
    <w:rsid w:val="059302F0"/>
    <w:rsid w:val="05B55DC4"/>
    <w:rsid w:val="05C56ED2"/>
    <w:rsid w:val="05EB7E30"/>
    <w:rsid w:val="0600615C"/>
    <w:rsid w:val="0619721E"/>
    <w:rsid w:val="062459A5"/>
    <w:rsid w:val="06304C93"/>
    <w:rsid w:val="064510DB"/>
    <w:rsid w:val="06581AF4"/>
    <w:rsid w:val="06620B3A"/>
    <w:rsid w:val="066E7569"/>
    <w:rsid w:val="069717B9"/>
    <w:rsid w:val="06D0451E"/>
    <w:rsid w:val="06DA6FC6"/>
    <w:rsid w:val="06EB6E0C"/>
    <w:rsid w:val="06F34B4B"/>
    <w:rsid w:val="06FF299A"/>
    <w:rsid w:val="070A729C"/>
    <w:rsid w:val="07342561"/>
    <w:rsid w:val="073C599D"/>
    <w:rsid w:val="073E5575"/>
    <w:rsid w:val="074128B0"/>
    <w:rsid w:val="074A10F8"/>
    <w:rsid w:val="075E138C"/>
    <w:rsid w:val="0761194E"/>
    <w:rsid w:val="076432D3"/>
    <w:rsid w:val="07702E6D"/>
    <w:rsid w:val="0781151E"/>
    <w:rsid w:val="07B54D24"/>
    <w:rsid w:val="07B63215"/>
    <w:rsid w:val="07B77A9C"/>
    <w:rsid w:val="07BC624E"/>
    <w:rsid w:val="07DC7A53"/>
    <w:rsid w:val="08000695"/>
    <w:rsid w:val="08081FA5"/>
    <w:rsid w:val="080B7557"/>
    <w:rsid w:val="08181E21"/>
    <w:rsid w:val="08184EC7"/>
    <w:rsid w:val="081C0B89"/>
    <w:rsid w:val="082B48A9"/>
    <w:rsid w:val="082D6348"/>
    <w:rsid w:val="084F5179"/>
    <w:rsid w:val="085264A2"/>
    <w:rsid w:val="085D7896"/>
    <w:rsid w:val="08684A24"/>
    <w:rsid w:val="0878647D"/>
    <w:rsid w:val="08924472"/>
    <w:rsid w:val="08A62997"/>
    <w:rsid w:val="08A969C4"/>
    <w:rsid w:val="08AF6108"/>
    <w:rsid w:val="08B001C4"/>
    <w:rsid w:val="08D00FFA"/>
    <w:rsid w:val="08EF5F46"/>
    <w:rsid w:val="09086D86"/>
    <w:rsid w:val="090F12E9"/>
    <w:rsid w:val="09293C1C"/>
    <w:rsid w:val="09367BAA"/>
    <w:rsid w:val="09381D73"/>
    <w:rsid w:val="09473B2C"/>
    <w:rsid w:val="096A3477"/>
    <w:rsid w:val="097C361B"/>
    <w:rsid w:val="09AB5942"/>
    <w:rsid w:val="09B064D1"/>
    <w:rsid w:val="09BF2ED7"/>
    <w:rsid w:val="09BF7674"/>
    <w:rsid w:val="09F45FD8"/>
    <w:rsid w:val="09F806A3"/>
    <w:rsid w:val="0A0B50CF"/>
    <w:rsid w:val="0A0D1190"/>
    <w:rsid w:val="0A2456C5"/>
    <w:rsid w:val="0A2543E3"/>
    <w:rsid w:val="0A474057"/>
    <w:rsid w:val="0A641E3D"/>
    <w:rsid w:val="0AA34B1B"/>
    <w:rsid w:val="0AAD7CD9"/>
    <w:rsid w:val="0AB6328D"/>
    <w:rsid w:val="0ABD15CE"/>
    <w:rsid w:val="0ABF263A"/>
    <w:rsid w:val="0AD12B8F"/>
    <w:rsid w:val="0AF618DB"/>
    <w:rsid w:val="0B043FF8"/>
    <w:rsid w:val="0B0A6314"/>
    <w:rsid w:val="0B335CF7"/>
    <w:rsid w:val="0B5C5BE2"/>
    <w:rsid w:val="0B6B051B"/>
    <w:rsid w:val="0B6E6353"/>
    <w:rsid w:val="0B7B2E88"/>
    <w:rsid w:val="0B8415DD"/>
    <w:rsid w:val="0B842ECF"/>
    <w:rsid w:val="0BA53A0C"/>
    <w:rsid w:val="0BA8462C"/>
    <w:rsid w:val="0BD10EF4"/>
    <w:rsid w:val="0BEC0639"/>
    <w:rsid w:val="0BED19DF"/>
    <w:rsid w:val="0C130BB2"/>
    <w:rsid w:val="0C193B8E"/>
    <w:rsid w:val="0C1C4E30"/>
    <w:rsid w:val="0C2653A0"/>
    <w:rsid w:val="0C392862"/>
    <w:rsid w:val="0C403BDE"/>
    <w:rsid w:val="0C447B66"/>
    <w:rsid w:val="0C4B726D"/>
    <w:rsid w:val="0C563442"/>
    <w:rsid w:val="0C56723C"/>
    <w:rsid w:val="0C6172A8"/>
    <w:rsid w:val="0C782EF0"/>
    <w:rsid w:val="0C7B0EF4"/>
    <w:rsid w:val="0C8E44C1"/>
    <w:rsid w:val="0C9C7EE1"/>
    <w:rsid w:val="0CA20839"/>
    <w:rsid w:val="0CA21D1B"/>
    <w:rsid w:val="0CB14648"/>
    <w:rsid w:val="0CB21A52"/>
    <w:rsid w:val="0CD72DE2"/>
    <w:rsid w:val="0CED2FC7"/>
    <w:rsid w:val="0CF1374F"/>
    <w:rsid w:val="0D0429D6"/>
    <w:rsid w:val="0D0B3D64"/>
    <w:rsid w:val="0D126D3D"/>
    <w:rsid w:val="0D194DAA"/>
    <w:rsid w:val="0D3D634E"/>
    <w:rsid w:val="0D4472E3"/>
    <w:rsid w:val="0D5374B9"/>
    <w:rsid w:val="0D56790F"/>
    <w:rsid w:val="0D622EB4"/>
    <w:rsid w:val="0D63594E"/>
    <w:rsid w:val="0D83708C"/>
    <w:rsid w:val="0D854328"/>
    <w:rsid w:val="0DDB1F25"/>
    <w:rsid w:val="0DE34346"/>
    <w:rsid w:val="0DF06AB6"/>
    <w:rsid w:val="0DF465A6"/>
    <w:rsid w:val="0DFC545B"/>
    <w:rsid w:val="0E004116"/>
    <w:rsid w:val="0E077E36"/>
    <w:rsid w:val="0E0E22E1"/>
    <w:rsid w:val="0E256CE7"/>
    <w:rsid w:val="0E554C8F"/>
    <w:rsid w:val="0E5A2C39"/>
    <w:rsid w:val="0E736B11"/>
    <w:rsid w:val="0E7F3562"/>
    <w:rsid w:val="0E8E126E"/>
    <w:rsid w:val="0EBD2885"/>
    <w:rsid w:val="0EC34B2B"/>
    <w:rsid w:val="0ECA6B2D"/>
    <w:rsid w:val="0ECB5D10"/>
    <w:rsid w:val="0ECC1E18"/>
    <w:rsid w:val="0EE11257"/>
    <w:rsid w:val="0EE35EF2"/>
    <w:rsid w:val="0EEE7499"/>
    <w:rsid w:val="0EEF38D9"/>
    <w:rsid w:val="0EFA5849"/>
    <w:rsid w:val="0F16254C"/>
    <w:rsid w:val="0F1E6594"/>
    <w:rsid w:val="0F295746"/>
    <w:rsid w:val="0F2B6888"/>
    <w:rsid w:val="0F4F5F19"/>
    <w:rsid w:val="0F547B71"/>
    <w:rsid w:val="0F590199"/>
    <w:rsid w:val="0F7936CC"/>
    <w:rsid w:val="0F882744"/>
    <w:rsid w:val="0F8F3081"/>
    <w:rsid w:val="0FA5195F"/>
    <w:rsid w:val="0FAD4701"/>
    <w:rsid w:val="0FE825FD"/>
    <w:rsid w:val="0FF61E2B"/>
    <w:rsid w:val="0FF85EC1"/>
    <w:rsid w:val="10280789"/>
    <w:rsid w:val="104D6442"/>
    <w:rsid w:val="106F4618"/>
    <w:rsid w:val="10735462"/>
    <w:rsid w:val="10760938"/>
    <w:rsid w:val="10771710"/>
    <w:rsid w:val="10934AB9"/>
    <w:rsid w:val="109E4EEF"/>
    <w:rsid w:val="10B64B12"/>
    <w:rsid w:val="10B7072A"/>
    <w:rsid w:val="10B93AD7"/>
    <w:rsid w:val="10C04E65"/>
    <w:rsid w:val="10C304B2"/>
    <w:rsid w:val="10D57578"/>
    <w:rsid w:val="10E83584"/>
    <w:rsid w:val="10F245C8"/>
    <w:rsid w:val="10FD18AA"/>
    <w:rsid w:val="11136BE5"/>
    <w:rsid w:val="112244C7"/>
    <w:rsid w:val="113E38BD"/>
    <w:rsid w:val="11531836"/>
    <w:rsid w:val="11633A20"/>
    <w:rsid w:val="11700B96"/>
    <w:rsid w:val="117A7D9D"/>
    <w:rsid w:val="117B6FDE"/>
    <w:rsid w:val="117D1895"/>
    <w:rsid w:val="1189681F"/>
    <w:rsid w:val="118D065E"/>
    <w:rsid w:val="119111DD"/>
    <w:rsid w:val="119D0D92"/>
    <w:rsid w:val="11B01C7F"/>
    <w:rsid w:val="11C72224"/>
    <w:rsid w:val="11D16BFE"/>
    <w:rsid w:val="11D8720C"/>
    <w:rsid w:val="11E20E0C"/>
    <w:rsid w:val="11EB5F12"/>
    <w:rsid w:val="11F63B39"/>
    <w:rsid w:val="11F811A4"/>
    <w:rsid w:val="121534BC"/>
    <w:rsid w:val="1218482D"/>
    <w:rsid w:val="12321755"/>
    <w:rsid w:val="12392DC6"/>
    <w:rsid w:val="123A0C48"/>
    <w:rsid w:val="125735A8"/>
    <w:rsid w:val="125E4649"/>
    <w:rsid w:val="12653E6A"/>
    <w:rsid w:val="127658D7"/>
    <w:rsid w:val="12864FA7"/>
    <w:rsid w:val="12957C2C"/>
    <w:rsid w:val="12A04F4F"/>
    <w:rsid w:val="12CC7D65"/>
    <w:rsid w:val="12F466E5"/>
    <w:rsid w:val="130D010A"/>
    <w:rsid w:val="130E5DFE"/>
    <w:rsid w:val="1318492B"/>
    <w:rsid w:val="13195D86"/>
    <w:rsid w:val="133415D2"/>
    <w:rsid w:val="13390EFF"/>
    <w:rsid w:val="134659BB"/>
    <w:rsid w:val="1362355A"/>
    <w:rsid w:val="136B46BF"/>
    <w:rsid w:val="13860D94"/>
    <w:rsid w:val="138A779A"/>
    <w:rsid w:val="138D2BCA"/>
    <w:rsid w:val="139879D4"/>
    <w:rsid w:val="13A12FBB"/>
    <w:rsid w:val="13C44C6D"/>
    <w:rsid w:val="13F53078"/>
    <w:rsid w:val="13FD017F"/>
    <w:rsid w:val="1400703C"/>
    <w:rsid w:val="14024E31"/>
    <w:rsid w:val="142F0857"/>
    <w:rsid w:val="1444680B"/>
    <w:rsid w:val="14473B09"/>
    <w:rsid w:val="14526E7B"/>
    <w:rsid w:val="145853B5"/>
    <w:rsid w:val="147246C9"/>
    <w:rsid w:val="14834C84"/>
    <w:rsid w:val="14840D97"/>
    <w:rsid w:val="14861F22"/>
    <w:rsid w:val="148D4AEF"/>
    <w:rsid w:val="14A32AD4"/>
    <w:rsid w:val="14CA62B3"/>
    <w:rsid w:val="14CF3D47"/>
    <w:rsid w:val="14D94AE9"/>
    <w:rsid w:val="14EB2AE0"/>
    <w:rsid w:val="14F50E56"/>
    <w:rsid w:val="14F7288F"/>
    <w:rsid w:val="14FC59FF"/>
    <w:rsid w:val="150317C5"/>
    <w:rsid w:val="15063688"/>
    <w:rsid w:val="15336151"/>
    <w:rsid w:val="156275CE"/>
    <w:rsid w:val="157952EA"/>
    <w:rsid w:val="157B75AD"/>
    <w:rsid w:val="15876E40"/>
    <w:rsid w:val="158C2DC7"/>
    <w:rsid w:val="15A718D7"/>
    <w:rsid w:val="15BF64B6"/>
    <w:rsid w:val="15D40117"/>
    <w:rsid w:val="15D975F0"/>
    <w:rsid w:val="15EC6D9F"/>
    <w:rsid w:val="15F64207"/>
    <w:rsid w:val="15FB6C69"/>
    <w:rsid w:val="160B3752"/>
    <w:rsid w:val="161B13E4"/>
    <w:rsid w:val="1626576B"/>
    <w:rsid w:val="163F2811"/>
    <w:rsid w:val="16442095"/>
    <w:rsid w:val="164E7686"/>
    <w:rsid w:val="165322D8"/>
    <w:rsid w:val="16535142"/>
    <w:rsid w:val="165665A6"/>
    <w:rsid w:val="165C2B80"/>
    <w:rsid w:val="16630A92"/>
    <w:rsid w:val="16704820"/>
    <w:rsid w:val="16771CAC"/>
    <w:rsid w:val="16850E26"/>
    <w:rsid w:val="16893F4C"/>
    <w:rsid w:val="1699418F"/>
    <w:rsid w:val="16A22419"/>
    <w:rsid w:val="16BB08D6"/>
    <w:rsid w:val="16C33CD0"/>
    <w:rsid w:val="16C86EEE"/>
    <w:rsid w:val="16CF74AC"/>
    <w:rsid w:val="16D62899"/>
    <w:rsid w:val="16D86AD9"/>
    <w:rsid w:val="16E24DAF"/>
    <w:rsid w:val="16E478E9"/>
    <w:rsid w:val="16F21AF1"/>
    <w:rsid w:val="16F45869"/>
    <w:rsid w:val="17025136"/>
    <w:rsid w:val="17080CB3"/>
    <w:rsid w:val="17104E33"/>
    <w:rsid w:val="172779EC"/>
    <w:rsid w:val="172C5003"/>
    <w:rsid w:val="17435B9A"/>
    <w:rsid w:val="17530278"/>
    <w:rsid w:val="1770488D"/>
    <w:rsid w:val="177251DB"/>
    <w:rsid w:val="179F403B"/>
    <w:rsid w:val="17B46DA6"/>
    <w:rsid w:val="17E07B23"/>
    <w:rsid w:val="17F04282"/>
    <w:rsid w:val="181D21AB"/>
    <w:rsid w:val="18241EFA"/>
    <w:rsid w:val="182551D2"/>
    <w:rsid w:val="18302625"/>
    <w:rsid w:val="183C5221"/>
    <w:rsid w:val="184B770B"/>
    <w:rsid w:val="186B1B5B"/>
    <w:rsid w:val="188056B2"/>
    <w:rsid w:val="1887731B"/>
    <w:rsid w:val="18A312F5"/>
    <w:rsid w:val="18A71570"/>
    <w:rsid w:val="18AF5EEB"/>
    <w:rsid w:val="18B06992"/>
    <w:rsid w:val="18BF29A5"/>
    <w:rsid w:val="18C43019"/>
    <w:rsid w:val="18CE5C46"/>
    <w:rsid w:val="18D95C4B"/>
    <w:rsid w:val="18E33521"/>
    <w:rsid w:val="18EB67F8"/>
    <w:rsid w:val="18FA4C8D"/>
    <w:rsid w:val="18FF7748"/>
    <w:rsid w:val="19133920"/>
    <w:rsid w:val="191E097B"/>
    <w:rsid w:val="19296091"/>
    <w:rsid w:val="19526877"/>
    <w:rsid w:val="196C36C2"/>
    <w:rsid w:val="19733208"/>
    <w:rsid w:val="1978271D"/>
    <w:rsid w:val="197E7B00"/>
    <w:rsid w:val="19933B34"/>
    <w:rsid w:val="19C96DDB"/>
    <w:rsid w:val="19CF01B9"/>
    <w:rsid w:val="19DC46F7"/>
    <w:rsid w:val="19DE34A8"/>
    <w:rsid w:val="19E52623"/>
    <w:rsid w:val="19FA6457"/>
    <w:rsid w:val="1A0B2274"/>
    <w:rsid w:val="1A187AC0"/>
    <w:rsid w:val="1A393B90"/>
    <w:rsid w:val="1A535B25"/>
    <w:rsid w:val="1A7208D9"/>
    <w:rsid w:val="1A764FB0"/>
    <w:rsid w:val="1A767F97"/>
    <w:rsid w:val="1A8C60A2"/>
    <w:rsid w:val="1A932C82"/>
    <w:rsid w:val="1AA37850"/>
    <w:rsid w:val="1AA650CC"/>
    <w:rsid w:val="1AA864FA"/>
    <w:rsid w:val="1AB937F0"/>
    <w:rsid w:val="1AB97B24"/>
    <w:rsid w:val="1AC90DBB"/>
    <w:rsid w:val="1AD930B1"/>
    <w:rsid w:val="1AFA71C6"/>
    <w:rsid w:val="1B267FBB"/>
    <w:rsid w:val="1B3C77DE"/>
    <w:rsid w:val="1B3E1360"/>
    <w:rsid w:val="1B453F87"/>
    <w:rsid w:val="1B4A02FA"/>
    <w:rsid w:val="1B6D0A69"/>
    <w:rsid w:val="1B7D2468"/>
    <w:rsid w:val="1B886580"/>
    <w:rsid w:val="1BAB30F2"/>
    <w:rsid w:val="1BB64807"/>
    <w:rsid w:val="1BC45815"/>
    <w:rsid w:val="1BCA6B98"/>
    <w:rsid w:val="1BEC2FB3"/>
    <w:rsid w:val="1BEE345E"/>
    <w:rsid w:val="1BF209FD"/>
    <w:rsid w:val="1BF530EC"/>
    <w:rsid w:val="1C044843"/>
    <w:rsid w:val="1C165429"/>
    <w:rsid w:val="1C4C7B54"/>
    <w:rsid w:val="1C6D30D8"/>
    <w:rsid w:val="1C7911F1"/>
    <w:rsid w:val="1C7B60E4"/>
    <w:rsid w:val="1CA92C52"/>
    <w:rsid w:val="1CCB47C0"/>
    <w:rsid w:val="1CE27F12"/>
    <w:rsid w:val="1CF3330B"/>
    <w:rsid w:val="1D0C2883"/>
    <w:rsid w:val="1D3B1144"/>
    <w:rsid w:val="1D44297A"/>
    <w:rsid w:val="1D4E4561"/>
    <w:rsid w:val="1D703128"/>
    <w:rsid w:val="1D7C5FBA"/>
    <w:rsid w:val="1D81336E"/>
    <w:rsid w:val="1D9F19C4"/>
    <w:rsid w:val="1DA575B0"/>
    <w:rsid w:val="1DAF24EA"/>
    <w:rsid w:val="1DB375C5"/>
    <w:rsid w:val="1DB46449"/>
    <w:rsid w:val="1DBC69B5"/>
    <w:rsid w:val="1DC332DD"/>
    <w:rsid w:val="1DDB0E18"/>
    <w:rsid w:val="1DE80C95"/>
    <w:rsid w:val="1E061E25"/>
    <w:rsid w:val="1E226345"/>
    <w:rsid w:val="1E37428D"/>
    <w:rsid w:val="1E3A6C06"/>
    <w:rsid w:val="1E424E8A"/>
    <w:rsid w:val="1E736290"/>
    <w:rsid w:val="1E8C6387"/>
    <w:rsid w:val="1E9A6CF6"/>
    <w:rsid w:val="1EA57D72"/>
    <w:rsid w:val="1EB06519"/>
    <w:rsid w:val="1EB458DE"/>
    <w:rsid w:val="1EC00497"/>
    <w:rsid w:val="1EDA5344"/>
    <w:rsid w:val="1EE44C38"/>
    <w:rsid w:val="1EE613D0"/>
    <w:rsid w:val="1EF1268E"/>
    <w:rsid w:val="1EF21855"/>
    <w:rsid w:val="1EF501D6"/>
    <w:rsid w:val="1F1830CB"/>
    <w:rsid w:val="1F1D4CEA"/>
    <w:rsid w:val="1F3431EF"/>
    <w:rsid w:val="1F412ACD"/>
    <w:rsid w:val="1F896D6A"/>
    <w:rsid w:val="1FA51C58"/>
    <w:rsid w:val="1FA7649E"/>
    <w:rsid w:val="1FBE7B22"/>
    <w:rsid w:val="20061562"/>
    <w:rsid w:val="200A7EAB"/>
    <w:rsid w:val="2017317A"/>
    <w:rsid w:val="201D0468"/>
    <w:rsid w:val="202857A9"/>
    <w:rsid w:val="202D76F6"/>
    <w:rsid w:val="203D7B26"/>
    <w:rsid w:val="20B10327"/>
    <w:rsid w:val="20B15A28"/>
    <w:rsid w:val="20C655D1"/>
    <w:rsid w:val="20C77B4A"/>
    <w:rsid w:val="20C92795"/>
    <w:rsid w:val="20D65FDF"/>
    <w:rsid w:val="20DB0CE4"/>
    <w:rsid w:val="20E961FA"/>
    <w:rsid w:val="211A14D6"/>
    <w:rsid w:val="211F34E2"/>
    <w:rsid w:val="21564CC5"/>
    <w:rsid w:val="21725E20"/>
    <w:rsid w:val="217F21D3"/>
    <w:rsid w:val="21894835"/>
    <w:rsid w:val="219F6403"/>
    <w:rsid w:val="21A148C9"/>
    <w:rsid w:val="21A84B20"/>
    <w:rsid w:val="21D06ED2"/>
    <w:rsid w:val="21D547D9"/>
    <w:rsid w:val="21E36C06"/>
    <w:rsid w:val="21F841CB"/>
    <w:rsid w:val="22094970"/>
    <w:rsid w:val="2224426F"/>
    <w:rsid w:val="224C10D0"/>
    <w:rsid w:val="225222AD"/>
    <w:rsid w:val="22541289"/>
    <w:rsid w:val="22560474"/>
    <w:rsid w:val="225C24EF"/>
    <w:rsid w:val="226433E0"/>
    <w:rsid w:val="22685BE4"/>
    <w:rsid w:val="22786DC6"/>
    <w:rsid w:val="22951269"/>
    <w:rsid w:val="22952C4B"/>
    <w:rsid w:val="229D6DB5"/>
    <w:rsid w:val="22A07A2E"/>
    <w:rsid w:val="22AE1FD7"/>
    <w:rsid w:val="22B00DA9"/>
    <w:rsid w:val="22B1460E"/>
    <w:rsid w:val="22F10EAE"/>
    <w:rsid w:val="230D3F37"/>
    <w:rsid w:val="231128EB"/>
    <w:rsid w:val="23307C29"/>
    <w:rsid w:val="233415C5"/>
    <w:rsid w:val="234C07DB"/>
    <w:rsid w:val="23566F63"/>
    <w:rsid w:val="2362143C"/>
    <w:rsid w:val="23645B24"/>
    <w:rsid w:val="23887A65"/>
    <w:rsid w:val="238E2BA1"/>
    <w:rsid w:val="239A6033"/>
    <w:rsid w:val="23A418A2"/>
    <w:rsid w:val="23AE1EA3"/>
    <w:rsid w:val="23D11B74"/>
    <w:rsid w:val="23D5432C"/>
    <w:rsid w:val="23EE71CC"/>
    <w:rsid w:val="2404346B"/>
    <w:rsid w:val="24172B97"/>
    <w:rsid w:val="24292475"/>
    <w:rsid w:val="242977C5"/>
    <w:rsid w:val="24351601"/>
    <w:rsid w:val="24375486"/>
    <w:rsid w:val="24390A60"/>
    <w:rsid w:val="243E33BC"/>
    <w:rsid w:val="246F7026"/>
    <w:rsid w:val="2495534F"/>
    <w:rsid w:val="24A773D3"/>
    <w:rsid w:val="24B65FDB"/>
    <w:rsid w:val="24DB6D9D"/>
    <w:rsid w:val="24F904EE"/>
    <w:rsid w:val="25237319"/>
    <w:rsid w:val="25276E09"/>
    <w:rsid w:val="253311F6"/>
    <w:rsid w:val="253B3193"/>
    <w:rsid w:val="25552E9E"/>
    <w:rsid w:val="255866F6"/>
    <w:rsid w:val="25654FC9"/>
    <w:rsid w:val="25851E17"/>
    <w:rsid w:val="2586379D"/>
    <w:rsid w:val="25DF1492"/>
    <w:rsid w:val="25EB1207"/>
    <w:rsid w:val="25F723E2"/>
    <w:rsid w:val="26377520"/>
    <w:rsid w:val="263C274B"/>
    <w:rsid w:val="26487037"/>
    <w:rsid w:val="264B7744"/>
    <w:rsid w:val="2651082C"/>
    <w:rsid w:val="267E7EE2"/>
    <w:rsid w:val="26A804CA"/>
    <w:rsid w:val="26C66AA9"/>
    <w:rsid w:val="26DD1E76"/>
    <w:rsid w:val="26F64CE5"/>
    <w:rsid w:val="26F87EF2"/>
    <w:rsid w:val="271703C5"/>
    <w:rsid w:val="27351CB2"/>
    <w:rsid w:val="27361586"/>
    <w:rsid w:val="277D1B2D"/>
    <w:rsid w:val="27835FFC"/>
    <w:rsid w:val="2794279E"/>
    <w:rsid w:val="279E7050"/>
    <w:rsid w:val="27A466B8"/>
    <w:rsid w:val="27AF6D80"/>
    <w:rsid w:val="27B0198F"/>
    <w:rsid w:val="27B92AB7"/>
    <w:rsid w:val="27D43FB1"/>
    <w:rsid w:val="27DE552A"/>
    <w:rsid w:val="27E022D4"/>
    <w:rsid w:val="27E47234"/>
    <w:rsid w:val="27F84A8D"/>
    <w:rsid w:val="27FC3AE4"/>
    <w:rsid w:val="28065AFB"/>
    <w:rsid w:val="280C4E96"/>
    <w:rsid w:val="281B7D88"/>
    <w:rsid w:val="282E4FCE"/>
    <w:rsid w:val="28342B35"/>
    <w:rsid w:val="2834568E"/>
    <w:rsid w:val="283F0442"/>
    <w:rsid w:val="284E32AF"/>
    <w:rsid w:val="286D1F27"/>
    <w:rsid w:val="28924EE2"/>
    <w:rsid w:val="28975940"/>
    <w:rsid w:val="28A2738B"/>
    <w:rsid w:val="28A86838"/>
    <w:rsid w:val="28C4031B"/>
    <w:rsid w:val="28CB6760"/>
    <w:rsid w:val="28DA7C9C"/>
    <w:rsid w:val="28EC71CA"/>
    <w:rsid w:val="29033470"/>
    <w:rsid w:val="290B259E"/>
    <w:rsid w:val="291D0C4F"/>
    <w:rsid w:val="2924258A"/>
    <w:rsid w:val="29274E04"/>
    <w:rsid w:val="293F46A3"/>
    <w:rsid w:val="29516F20"/>
    <w:rsid w:val="296D1EE4"/>
    <w:rsid w:val="29944EB8"/>
    <w:rsid w:val="299C4433"/>
    <w:rsid w:val="29B35041"/>
    <w:rsid w:val="29CE346A"/>
    <w:rsid w:val="29DB4666"/>
    <w:rsid w:val="29E4351B"/>
    <w:rsid w:val="29E736D3"/>
    <w:rsid w:val="29EC0622"/>
    <w:rsid w:val="29FB1FE8"/>
    <w:rsid w:val="29FE68AE"/>
    <w:rsid w:val="2A031B89"/>
    <w:rsid w:val="2A070C32"/>
    <w:rsid w:val="2A0B0AA8"/>
    <w:rsid w:val="2A32072A"/>
    <w:rsid w:val="2A3C5105"/>
    <w:rsid w:val="2A491993"/>
    <w:rsid w:val="2A567D20"/>
    <w:rsid w:val="2A6F4131"/>
    <w:rsid w:val="2A821832"/>
    <w:rsid w:val="2AA77572"/>
    <w:rsid w:val="2ABC3312"/>
    <w:rsid w:val="2AC50660"/>
    <w:rsid w:val="2ACE42A1"/>
    <w:rsid w:val="2AD156A5"/>
    <w:rsid w:val="2AD73080"/>
    <w:rsid w:val="2AE44BDB"/>
    <w:rsid w:val="2AFA0B1C"/>
    <w:rsid w:val="2B1334DC"/>
    <w:rsid w:val="2B1505A0"/>
    <w:rsid w:val="2B165951"/>
    <w:rsid w:val="2B165956"/>
    <w:rsid w:val="2B214434"/>
    <w:rsid w:val="2B3559A3"/>
    <w:rsid w:val="2B3B716B"/>
    <w:rsid w:val="2B471B7C"/>
    <w:rsid w:val="2B4E474F"/>
    <w:rsid w:val="2B674404"/>
    <w:rsid w:val="2B6E1B3C"/>
    <w:rsid w:val="2B801021"/>
    <w:rsid w:val="2B9C153F"/>
    <w:rsid w:val="2BA56CDA"/>
    <w:rsid w:val="2BB255CF"/>
    <w:rsid w:val="2BBE3714"/>
    <w:rsid w:val="2BD00606"/>
    <w:rsid w:val="2BD24D2D"/>
    <w:rsid w:val="2BDE71AB"/>
    <w:rsid w:val="2BEE51CA"/>
    <w:rsid w:val="2BF8505C"/>
    <w:rsid w:val="2C3B319A"/>
    <w:rsid w:val="2C3C1A6A"/>
    <w:rsid w:val="2C540D91"/>
    <w:rsid w:val="2C6537E2"/>
    <w:rsid w:val="2C6C7279"/>
    <w:rsid w:val="2C8965FC"/>
    <w:rsid w:val="2C903C46"/>
    <w:rsid w:val="2CA14AE9"/>
    <w:rsid w:val="2CAB6572"/>
    <w:rsid w:val="2CAC2D20"/>
    <w:rsid w:val="2CC10625"/>
    <w:rsid w:val="2CC47634"/>
    <w:rsid w:val="2CD326FB"/>
    <w:rsid w:val="2CD33D72"/>
    <w:rsid w:val="2CDD2170"/>
    <w:rsid w:val="2CEA7FC6"/>
    <w:rsid w:val="2CF220D0"/>
    <w:rsid w:val="2D032370"/>
    <w:rsid w:val="2D056154"/>
    <w:rsid w:val="2D094BEA"/>
    <w:rsid w:val="2D2A52C6"/>
    <w:rsid w:val="2D4D7629"/>
    <w:rsid w:val="2D8F1DD6"/>
    <w:rsid w:val="2D915A33"/>
    <w:rsid w:val="2D954534"/>
    <w:rsid w:val="2D9800A5"/>
    <w:rsid w:val="2DC3712A"/>
    <w:rsid w:val="2DE171DF"/>
    <w:rsid w:val="2DEF1551"/>
    <w:rsid w:val="2E0200C9"/>
    <w:rsid w:val="2E3C6ABB"/>
    <w:rsid w:val="2E4345B4"/>
    <w:rsid w:val="2E5A3DAC"/>
    <w:rsid w:val="2E5D53FD"/>
    <w:rsid w:val="2E61599C"/>
    <w:rsid w:val="2E6332CF"/>
    <w:rsid w:val="2E6F0090"/>
    <w:rsid w:val="2EA63495"/>
    <w:rsid w:val="2EBA0298"/>
    <w:rsid w:val="2EBF09B3"/>
    <w:rsid w:val="2ED22F7C"/>
    <w:rsid w:val="2ED73784"/>
    <w:rsid w:val="2EDF3673"/>
    <w:rsid w:val="2EE213C2"/>
    <w:rsid w:val="2EED69CE"/>
    <w:rsid w:val="2EFC30B5"/>
    <w:rsid w:val="2F486989"/>
    <w:rsid w:val="2F653004"/>
    <w:rsid w:val="2F684953"/>
    <w:rsid w:val="2F8135BA"/>
    <w:rsid w:val="2F8D622E"/>
    <w:rsid w:val="2F9037FD"/>
    <w:rsid w:val="2F917CA1"/>
    <w:rsid w:val="2F982E42"/>
    <w:rsid w:val="2FCB7EDC"/>
    <w:rsid w:val="2FD951A4"/>
    <w:rsid w:val="2FE60F0B"/>
    <w:rsid w:val="2FFE3400"/>
    <w:rsid w:val="301B0290"/>
    <w:rsid w:val="303C4D07"/>
    <w:rsid w:val="30647164"/>
    <w:rsid w:val="306747DE"/>
    <w:rsid w:val="306C3ED5"/>
    <w:rsid w:val="306C6C6A"/>
    <w:rsid w:val="306D3F93"/>
    <w:rsid w:val="30711C4D"/>
    <w:rsid w:val="308A649E"/>
    <w:rsid w:val="308E5A68"/>
    <w:rsid w:val="30A2226B"/>
    <w:rsid w:val="30BB2AFC"/>
    <w:rsid w:val="30C22649"/>
    <w:rsid w:val="30DC08E6"/>
    <w:rsid w:val="30E97669"/>
    <w:rsid w:val="30F57DC5"/>
    <w:rsid w:val="312E022B"/>
    <w:rsid w:val="314221E6"/>
    <w:rsid w:val="314A45AB"/>
    <w:rsid w:val="314D7BF8"/>
    <w:rsid w:val="31534D0D"/>
    <w:rsid w:val="317118EE"/>
    <w:rsid w:val="318555E4"/>
    <w:rsid w:val="318A3760"/>
    <w:rsid w:val="31C84C92"/>
    <w:rsid w:val="31D163B5"/>
    <w:rsid w:val="31D976DD"/>
    <w:rsid w:val="31DE4220"/>
    <w:rsid w:val="3201528F"/>
    <w:rsid w:val="322F3FB8"/>
    <w:rsid w:val="32391589"/>
    <w:rsid w:val="324C06E6"/>
    <w:rsid w:val="324C4353"/>
    <w:rsid w:val="32537654"/>
    <w:rsid w:val="327775A4"/>
    <w:rsid w:val="32794A1C"/>
    <w:rsid w:val="327B7589"/>
    <w:rsid w:val="32931F82"/>
    <w:rsid w:val="32B36180"/>
    <w:rsid w:val="32BB5035"/>
    <w:rsid w:val="32C43EEA"/>
    <w:rsid w:val="32CD6692"/>
    <w:rsid w:val="32D71710"/>
    <w:rsid w:val="32D94B0D"/>
    <w:rsid w:val="32E70612"/>
    <w:rsid w:val="32ED5A24"/>
    <w:rsid w:val="32F966F8"/>
    <w:rsid w:val="33010C9A"/>
    <w:rsid w:val="33171483"/>
    <w:rsid w:val="332C4891"/>
    <w:rsid w:val="332E38A7"/>
    <w:rsid w:val="332F3D9F"/>
    <w:rsid w:val="33380434"/>
    <w:rsid w:val="334703EE"/>
    <w:rsid w:val="335E1849"/>
    <w:rsid w:val="335F4F26"/>
    <w:rsid w:val="33625BED"/>
    <w:rsid w:val="337F6063"/>
    <w:rsid w:val="3380392C"/>
    <w:rsid w:val="3381627F"/>
    <w:rsid w:val="33866BAC"/>
    <w:rsid w:val="33A37FA3"/>
    <w:rsid w:val="33B73A4E"/>
    <w:rsid w:val="33B946F2"/>
    <w:rsid w:val="33B95A18"/>
    <w:rsid w:val="33D4718D"/>
    <w:rsid w:val="33E54418"/>
    <w:rsid w:val="33F07509"/>
    <w:rsid w:val="33F627C9"/>
    <w:rsid w:val="341A5E10"/>
    <w:rsid w:val="34272982"/>
    <w:rsid w:val="342804A8"/>
    <w:rsid w:val="343C7EFD"/>
    <w:rsid w:val="34472085"/>
    <w:rsid w:val="34572B3B"/>
    <w:rsid w:val="346A286F"/>
    <w:rsid w:val="3474193F"/>
    <w:rsid w:val="347A4AA6"/>
    <w:rsid w:val="34BA5036"/>
    <w:rsid w:val="34BC5AFA"/>
    <w:rsid w:val="34D337DA"/>
    <w:rsid w:val="34D6600F"/>
    <w:rsid w:val="34EE34A0"/>
    <w:rsid w:val="34F07218"/>
    <w:rsid w:val="34FA7F15"/>
    <w:rsid w:val="34FB24F0"/>
    <w:rsid w:val="352930DB"/>
    <w:rsid w:val="353B59DD"/>
    <w:rsid w:val="35534E88"/>
    <w:rsid w:val="35633752"/>
    <w:rsid w:val="3569521C"/>
    <w:rsid w:val="35823489"/>
    <w:rsid w:val="35897E8C"/>
    <w:rsid w:val="35953A4C"/>
    <w:rsid w:val="35A66D4C"/>
    <w:rsid w:val="35B5404A"/>
    <w:rsid w:val="35CA6E6E"/>
    <w:rsid w:val="35CC2BA6"/>
    <w:rsid w:val="35F950CF"/>
    <w:rsid w:val="35FA1CB2"/>
    <w:rsid w:val="36050AA1"/>
    <w:rsid w:val="361E1B63"/>
    <w:rsid w:val="361E6D32"/>
    <w:rsid w:val="36301896"/>
    <w:rsid w:val="36320657"/>
    <w:rsid w:val="36321AB2"/>
    <w:rsid w:val="36673AC2"/>
    <w:rsid w:val="3683401A"/>
    <w:rsid w:val="369D7707"/>
    <w:rsid w:val="36AB2FBA"/>
    <w:rsid w:val="36C3270A"/>
    <w:rsid w:val="3700570C"/>
    <w:rsid w:val="371448CE"/>
    <w:rsid w:val="371D2877"/>
    <w:rsid w:val="372A0A3B"/>
    <w:rsid w:val="372A4537"/>
    <w:rsid w:val="373C4996"/>
    <w:rsid w:val="374A1E98"/>
    <w:rsid w:val="37533C0B"/>
    <w:rsid w:val="375F68D7"/>
    <w:rsid w:val="376712E7"/>
    <w:rsid w:val="37794D4F"/>
    <w:rsid w:val="37A02925"/>
    <w:rsid w:val="37B3277F"/>
    <w:rsid w:val="37B34CA4"/>
    <w:rsid w:val="37BD7469"/>
    <w:rsid w:val="37D9327F"/>
    <w:rsid w:val="37E93A81"/>
    <w:rsid w:val="37F75EE1"/>
    <w:rsid w:val="38172D0E"/>
    <w:rsid w:val="38317A04"/>
    <w:rsid w:val="38430BE0"/>
    <w:rsid w:val="384B5B0E"/>
    <w:rsid w:val="38591578"/>
    <w:rsid w:val="385B0E4C"/>
    <w:rsid w:val="385C66C2"/>
    <w:rsid w:val="38645F08"/>
    <w:rsid w:val="38697E97"/>
    <w:rsid w:val="387168C2"/>
    <w:rsid w:val="3888121E"/>
    <w:rsid w:val="389B1BDF"/>
    <w:rsid w:val="38A1659F"/>
    <w:rsid w:val="38AF2F46"/>
    <w:rsid w:val="38C95821"/>
    <w:rsid w:val="38F02478"/>
    <w:rsid w:val="390239BE"/>
    <w:rsid w:val="390D4E9C"/>
    <w:rsid w:val="39180C1C"/>
    <w:rsid w:val="392A1B36"/>
    <w:rsid w:val="392A34F7"/>
    <w:rsid w:val="392A4E38"/>
    <w:rsid w:val="393A6E69"/>
    <w:rsid w:val="39675500"/>
    <w:rsid w:val="396B1563"/>
    <w:rsid w:val="39754190"/>
    <w:rsid w:val="39BF57BB"/>
    <w:rsid w:val="39CD2DB0"/>
    <w:rsid w:val="39D92970"/>
    <w:rsid w:val="39FE7012"/>
    <w:rsid w:val="3A0D5454"/>
    <w:rsid w:val="3A1172F4"/>
    <w:rsid w:val="3A23599A"/>
    <w:rsid w:val="3A255086"/>
    <w:rsid w:val="3A2E4C8D"/>
    <w:rsid w:val="3A35147E"/>
    <w:rsid w:val="3A446EBF"/>
    <w:rsid w:val="3A4B4EF0"/>
    <w:rsid w:val="3A514258"/>
    <w:rsid w:val="3A6802CC"/>
    <w:rsid w:val="3A684F47"/>
    <w:rsid w:val="3A6A4A9F"/>
    <w:rsid w:val="3A7D77A0"/>
    <w:rsid w:val="3A810023"/>
    <w:rsid w:val="3A860F49"/>
    <w:rsid w:val="3AA1177A"/>
    <w:rsid w:val="3ABC194A"/>
    <w:rsid w:val="3AF37A62"/>
    <w:rsid w:val="3AF61300"/>
    <w:rsid w:val="3AFB6916"/>
    <w:rsid w:val="3AFD73E8"/>
    <w:rsid w:val="3B381919"/>
    <w:rsid w:val="3B506C62"/>
    <w:rsid w:val="3B615DAA"/>
    <w:rsid w:val="3B944458"/>
    <w:rsid w:val="3B954675"/>
    <w:rsid w:val="3B9823B7"/>
    <w:rsid w:val="3BAF7463"/>
    <w:rsid w:val="3BB271C7"/>
    <w:rsid w:val="3BB557AB"/>
    <w:rsid w:val="3BBF5B96"/>
    <w:rsid w:val="3BC744EA"/>
    <w:rsid w:val="3BD60968"/>
    <w:rsid w:val="3C4414D2"/>
    <w:rsid w:val="3C595B04"/>
    <w:rsid w:val="3C5C17D2"/>
    <w:rsid w:val="3C5F42F8"/>
    <w:rsid w:val="3C6C0F9B"/>
    <w:rsid w:val="3C7301F1"/>
    <w:rsid w:val="3C7356FA"/>
    <w:rsid w:val="3CA1704A"/>
    <w:rsid w:val="3CD4741F"/>
    <w:rsid w:val="3CEB3E2A"/>
    <w:rsid w:val="3CFB3A43"/>
    <w:rsid w:val="3CFB661F"/>
    <w:rsid w:val="3D0B626C"/>
    <w:rsid w:val="3D0F4D1C"/>
    <w:rsid w:val="3D487A50"/>
    <w:rsid w:val="3D5139EC"/>
    <w:rsid w:val="3D7A6218"/>
    <w:rsid w:val="3D8552FA"/>
    <w:rsid w:val="3D8C367A"/>
    <w:rsid w:val="3DB039E8"/>
    <w:rsid w:val="3DCF2188"/>
    <w:rsid w:val="3DD1570D"/>
    <w:rsid w:val="3DDE7492"/>
    <w:rsid w:val="3DF2026B"/>
    <w:rsid w:val="3DF80EEB"/>
    <w:rsid w:val="3DFA1107"/>
    <w:rsid w:val="3DFF04CC"/>
    <w:rsid w:val="3E24689A"/>
    <w:rsid w:val="3E557A55"/>
    <w:rsid w:val="3E5D2794"/>
    <w:rsid w:val="3E8134BC"/>
    <w:rsid w:val="3E864749"/>
    <w:rsid w:val="3E8D1F7B"/>
    <w:rsid w:val="3E9073D3"/>
    <w:rsid w:val="3EAC582F"/>
    <w:rsid w:val="3EC80F65"/>
    <w:rsid w:val="3ED35D96"/>
    <w:rsid w:val="3EE0310F"/>
    <w:rsid w:val="3F21764F"/>
    <w:rsid w:val="3F270382"/>
    <w:rsid w:val="3F4D34B9"/>
    <w:rsid w:val="3F5C61BC"/>
    <w:rsid w:val="3F821E5A"/>
    <w:rsid w:val="3F826617"/>
    <w:rsid w:val="3F882148"/>
    <w:rsid w:val="3FAD5B09"/>
    <w:rsid w:val="3FAF5707"/>
    <w:rsid w:val="3FD61700"/>
    <w:rsid w:val="3FD73E43"/>
    <w:rsid w:val="3FD85683"/>
    <w:rsid w:val="3FFF6096"/>
    <w:rsid w:val="40044B90"/>
    <w:rsid w:val="40153FD6"/>
    <w:rsid w:val="402042D4"/>
    <w:rsid w:val="40273D0A"/>
    <w:rsid w:val="40310071"/>
    <w:rsid w:val="4045485F"/>
    <w:rsid w:val="40A01D3A"/>
    <w:rsid w:val="40C652D1"/>
    <w:rsid w:val="40C92CD2"/>
    <w:rsid w:val="40EE1315"/>
    <w:rsid w:val="410B7187"/>
    <w:rsid w:val="411249BA"/>
    <w:rsid w:val="414172BF"/>
    <w:rsid w:val="415E7BFF"/>
    <w:rsid w:val="416A190F"/>
    <w:rsid w:val="416E7E42"/>
    <w:rsid w:val="418770B8"/>
    <w:rsid w:val="41B6712E"/>
    <w:rsid w:val="41BA6A45"/>
    <w:rsid w:val="41C85859"/>
    <w:rsid w:val="41CA339C"/>
    <w:rsid w:val="41D103D1"/>
    <w:rsid w:val="41D758D6"/>
    <w:rsid w:val="41DB3AF8"/>
    <w:rsid w:val="41DF2F7B"/>
    <w:rsid w:val="41F52311"/>
    <w:rsid w:val="41F63994"/>
    <w:rsid w:val="42277327"/>
    <w:rsid w:val="422F448D"/>
    <w:rsid w:val="42312C1E"/>
    <w:rsid w:val="42366258"/>
    <w:rsid w:val="424514EC"/>
    <w:rsid w:val="424C228D"/>
    <w:rsid w:val="424E40FE"/>
    <w:rsid w:val="42666D6B"/>
    <w:rsid w:val="427E4A81"/>
    <w:rsid w:val="428C524B"/>
    <w:rsid w:val="42927D62"/>
    <w:rsid w:val="429B3874"/>
    <w:rsid w:val="429F5DD9"/>
    <w:rsid w:val="42AD499A"/>
    <w:rsid w:val="42B61086"/>
    <w:rsid w:val="42C26869"/>
    <w:rsid w:val="42C57F36"/>
    <w:rsid w:val="42DD6902"/>
    <w:rsid w:val="42ED02B3"/>
    <w:rsid w:val="42FE6FA4"/>
    <w:rsid w:val="43040332"/>
    <w:rsid w:val="430F518E"/>
    <w:rsid w:val="43152860"/>
    <w:rsid w:val="431762B8"/>
    <w:rsid w:val="431A4176"/>
    <w:rsid w:val="431B17D2"/>
    <w:rsid w:val="434A043B"/>
    <w:rsid w:val="43560B8E"/>
    <w:rsid w:val="43607C5E"/>
    <w:rsid w:val="43772A58"/>
    <w:rsid w:val="438761B4"/>
    <w:rsid w:val="4389474A"/>
    <w:rsid w:val="43923B90"/>
    <w:rsid w:val="43A4707C"/>
    <w:rsid w:val="43D67B4D"/>
    <w:rsid w:val="43DF0926"/>
    <w:rsid w:val="43F15324"/>
    <w:rsid w:val="440B706C"/>
    <w:rsid w:val="44110F59"/>
    <w:rsid w:val="441A605F"/>
    <w:rsid w:val="441D70DF"/>
    <w:rsid w:val="441E176A"/>
    <w:rsid w:val="44292D63"/>
    <w:rsid w:val="443B0E5E"/>
    <w:rsid w:val="4445330B"/>
    <w:rsid w:val="44484B78"/>
    <w:rsid w:val="445826E4"/>
    <w:rsid w:val="445C06B9"/>
    <w:rsid w:val="445F3A72"/>
    <w:rsid w:val="446077EA"/>
    <w:rsid w:val="44665E49"/>
    <w:rsid w:val="446C618F"/>
    <w:rsid w:val="448F024A"/>
    <w:rsid w:val="44B26298"/>
    <w:rsid w:val="44BE2E8F"/>
    <w:rsid w:val="44C86593"/>
    <w:rsid w:val="44D02189"/>
    <w:rsid w:val="44D73F50"/>
    <w:rsid w:val="44FC1D24"/>
    <w:rsid w:val="44FE1514"/>
    <w:rsid w:val="451008C2"/>
    <w:rsid w:val="451277B0"/>
    <w:rsid w:val="45246F22"/>
    <w:rsid w:val="452470E5"/>
    <w:rsid w:val="45280308"/>
    <w:rsid w:val="45435142"/>
    <w:rsid w:val="45464C32"/>
    <w:rsid w:val="45492AC0"/>
    <w:rsid w:val="45513D03"/>
    <w:rsid w:val="455455A1"/>
    <w:rsid w:val="45675331"/>
    <w:rsid w:val="458021A9"/>
    <w:rsid w:val="45834749"/>
    <w:rsid w:val="458D7ACD"/>
    <w:rsid w:val="45AB63C3"/>
    <w:rsid w:val="45D73ADC"/>
    <w:rsid w:val="45D93CF8"/>
    <w:rsid w:val="45F20395"/>
    <w:rsid w:val="45FE72BB"/>
    <w:rsid w:val="45FE7CC8"/>
    <w:rsid w:val="46053A9B"/>
    <w:rsid w:val="46121C64"/>
    <w:rsid w:val="46162856"/>
    <w:rsid w:val="46226EB0"/>
    <w:rsid w:val="4658671E"/>
    <w:rsid w:val="465C2A22"/>
    <w:rsid w:val="466E205D"/>
    <w:rsid w:val="467911B3"/>
    <w:rsid w:val="46812B8D"/>
    <w:rsid w:val="46832413"/>
    <w:rsid w:val="46885E2A"/>
    <w:rsid w:val="469F2601"/>
    <w:rsid w:val="46A82FBF"/>
    <w:rsid w:val="46AB40C3"/>
    <w:rsid w:val="46BA58D8"/>
    <w:rsid w:val="46C439A8"/>
    <w:rsid w:val="46CE7995"/>
    <w:rsid w:val="46D7323F"/>
    <w:rsid w:val="46E0501A"/>
    <w:rsid w:val="46FC1214"/>
    <w:rsid w:val="47021DBA"/>
    <w:rsid w:val="471F2FD5"/>
    <w:rsid w:val="4739206F"/>
    <w:rsid w:val="475D3DAD"/>
    <w:rsid w:val="479C5383"/>
    <w:rsid w:val="479F646B"/>
    <w:rsid w:val="47A56FB4"/>
    <w:rsid w:val="47AD7CF1"/>
    <w:rsid w:val="47D67F88"/>
    <w:rsid w:val="4803505C"/>
    <w:rsid w:val="480831B5"/>
    <w:rsid w:val="480B4A09"/>
    <w:rsid w:val="480D66CD"/>
    <w:rsid w:val="480F105A"/>
    <w:rsid w:val="48194880"/>
    <w:rsid w:val="482849BA"/>
    <w:rsid w:val="483D056E"/>
    <w:rsid w:val="483F2BC9"/>
    <w:rsid w:val="485A1120"/>
    <w:rsid w:val="48A7549C"/>
    <w:rsid w:val="48B545A9"/>
    <w:rsid w:val="48BA15B1"/>
    <w:rsid w:val="48D273AC"/>
    <w:rsid w:val="48D76D49"/>
    <w:rsid w:val="48E97759"/>
    <w:rsid w:val="491F1E48"/>
    <w:rsid w:val="49337978"/>
    <w:rsid w:val="495D26EB"/>
    <w:rsid w:val="49600707"/>
    <w:rsid w:val="49656EDC"/>
    <w:rsid w:val="49793828"/>
    <w:rsid w:val="4987138C"/>
    <w:rsid w:val="49883A6B"/>
    <w:rsid w:val="49B91793"/>
    <w:rsid w:val="49C37596"/>
    <w:rsid w:val="49CF169A"/>
    <w:rsid w:val="49D348F2"/>
    <w:rsid w:val="49E204D8"/>
    <w:rsid w:val="49EC1AE4"/>
    <w:rsid w:val="49FA66B9"/>
    <w:rsid w:val="4A003601"/>
    <w:rsid w:val="4A0D3F70"/>
    <w:rsid w:val="4A103FF4"/>
    <w:rsid w:val="4A1277D9"/>
    <w:rsid w:val="4A5D0A54"/>
    <w:rsid w:val="4A666565"/>
    <w:rsid w:val="4A7B66E4"/>
    <w:rsid w:val="4A7D5113"/>
    <w:rsid w:val="4A7F4FCB"/>
    <w:rsid w:val="4A812A30"/>
    <w:rsid w:val="4A89523C"/>
    <w:rsid w:val="4AB019AF"/>
    <w:rsid w:val="4AC54E91"/>
    <w:rsid w:val="4AD5154D"/>
    <w:rsid w:val="4AEA3364"/>
    <w:rsid w:val="4AF73617"/>
    <w:rsid w:val="4B101F6A"/>
    <w:rsid w:val="4B593BC4"/>
    <w:rsid w:val="4B616322"/>
    <w:rsid w:val="4B6A463C"/>
    <w:rsid w:val="4B8967B2"/>
    <w:rsid w:val="4B902FB1"/>
    <w:rsid w:val="4B9E0E3F"/>
    <w:rsid w:val="4BB63B5B"/>
    <w:rsid w:val="4BB9615E"/>
    <w:rsid w:val="4BCC283D"/>
    <w:rsid w:val="4BD35E6D"/>
    <w:rsid w:val="4BDC1E4C"/>
    <w:rsid w:val="4BE1231B"/>
    <w:rsid w:val="4BF22EB3"/>
    <w:rsid w:val="4BFF5353"/>
    <w:rsid w:val="4C1F6EFC"/>
    <w:rsid w:val="4C231829"/>
    <w:rsid w:val="4C2F265F"/>
    <w:rsid w:val="4C5B5DF1"/>
    <w:rsid w:val="4C6D6DCE"/>
    <w:rsid w:val="4C752052"/>
    <w:rsid w:val="4C7D3694"/>
    <w:rsid w:val="4C9F27AB"/>
    <w:rsid w:val="4CBD4A44"/>
    <w:rsid w:val="4CD40D75"/>
    <w:rsid w:val="4CDE3815"/>
    <w:rsid w:val="4D012DED"/>
    <w:rsid w:val="4D0D2958"/>
    <w:rsid w:val="4D145493"/>
    <w:rsid w:val="4D2D4855"/>
    <w:rsid w:val="4D393332"/>
    <w:rsid w:val="4D3B01A7"/>
    <w:rsid w:val="4D4746C5"/>
    <w:rsid w:val="4D4D1254"/>
    <w:rsid w:val="4D5A74CD"/>
    <w:rsid w:val="4D6759FB"/>
    <w:rsid w:val="4D6E3517"/>
    <w:rsid w:val="4DB639B0"/>
    <w:rsid w:val="4DB7491F"/>
    <w:rsid w:val="4DE70682"/>
    <w:rsid w:val="4DF53699"/>
    <w:rsid w:val="4DFD50C1"/>
    <w:rsid w:val="4E2B70BB"/>
    <w:rsid w:val="4E4645AE"/>
    <w:rsid w:val="4E496865"/>
    <w:rsid w:val="4E58321E"/>
    <w:rsid w:val="4E6B2193"/>
    <w:rsid w:val="4E9B1B4B"/>
    <w:rsid w:val="4EB91CD7"/>
    <w:rsid w:val="4EDE7C89"/>
    <w:rsid w:val="4EE72FE2"/>
    <w:rsid w:val="4EFF135C"/>
    <w:rsid w:val="4F0E00E7"/>
    <w:rsid w:val="4F22412F"/>
    <w:rsid w:val="4F285863"/>
    <w:rsid w:val="4F2A1121"/>
    <w:rsid w:val="4F6264CF"/>
    <w:rsid w:val="4F6E6D3E"/>
    <w:rsid w:val="4F7C5320"/>
    <w:rsid w:val="4F7F68E8"/>
    <w:rsid w:val="4F864B42"/>
    <w:rsid w:val="4F926200"/>
    <w:rsid w:val="4F9A0295"/>
    <w:rsid w:val="4FA1745C"/>
    <w:rsid w:val="4FBA4253"/>
    <w:rsid w:val="4FC55461"/>
    <w:rsid w:val="4FCE7CFE"/>
    <w:rsid w:val="4FDC12AC"/>
    <w:rsid w:val="4FE20FB2"/>
    <w:rsid w:val="501C4F0D"/>
    <w:rsid w:val="502B7CA9"/>
    <w:rsid w:val="5038679F"/>
    <w:rsid w:val="50463D38"/>
    <w:rsid w:val="5047222E"/>
    <w:rsid w:val="50670571"/>
    <w:rsid w:val="50A0464D"/>
    <w:rsid w:val="50B95E75"/>
    <w:rsid w:val="50C54952"/>
    <w:rsid w:val="50CA6916"/>
    <w:rsid w:val="50CD6207"/>
    <w:rsid w:val="51015649"/>
    <w:rsid w:val="51034416"/>
    <w:rsid w:val="512151F2"/>
    <w:rsid w:val="512656C9"/>
    <w:rsid w:val="5139564B"/>
    <w:rsid w:val="5156444F"/>
    <w:rsid w:val="516B70CD"/>
    <w:rsid w:val="516C74EC"/>
    <w:rsid w:val="516E5337"/>
    <w:rsid w:val="51775721"/>
    <w:rsid w:val="517B5A9D"/>
    <w:rsid w:val="51801D58"/>
    <w:rsid w:val="51917235"/>
    <w:rsid w:val="519B4E54"/>
    <w:rsid w:val="51AC22C1"/>
    <w:rsid w:val="51B51175"/>
    <w:rsid w:val="51BF1FF4"/>
    <w:rsid w:val="51C740E1"/>
    <w:rsid w:val="51CD69E1"/>
    <w:rsid w:val="51E77F87"/>
    <w:rsid w:val="51EA372D"/>
    <w:rsid w:val="51EE696A"/>
    <w:rsid w:val="51F15F26"/>
    <w:rsid w:val="51F37EF0"/>
    <w:rsid w:val="51F87B88"/>
    <w:rsid w:val="520D0FB1"/>
    <w:rsid w:val="521142C4"/>
    <w:rsid w:val="5224097B"/>
    <w:rsid w:val="522508B8"/>
    <w:rsid w:val="523E1BC7"/>
    <w:rsid w:val="523F6E00"/>
    <w:rsid w:val="524B22B7"/>
    <w:rsid w:val="52692D61"/>
    <w:rsid w:val="527728CF"/>
    <w:rsid w:val="528172AA"/>
    <w:rsid w:val="52A6695C"/>
    <w:rsid w:val="52B8492E"/>
    <w:rsid w:val="52CD201A"/>
    <w:rsid w:val="52DB316A"/>
    <w:rsid w:val="52DF5523"/>
    <w:rsid w:val="52EE334D"/>
    <w:rsid w:val="530C01BA"/>
    <w:rsid w:val="530F02BC"/>
    <w:rsid w:val="53130F14"/>
    <w:rsid w:val="531C6A38"/>
    <w:rsid w:val="534972AB"/>
    <w:rsid w:val="5373169B"/>
    <w:rsid w:val="53747D16"/>
    <w:rsid w:val="5378497F"/>
    <w:rsid w:val="53C6061F"/>
    <w:rsid w:val="53E544DB"/>
    <w:rsid w:val="53F046E7"/>
    <w:rsid w:val="53F82EC8"/>
    <w:rsid w:val="540B1521"/>
    <w:rsid w:val="5415227F"/>
    <w:rsid w:val="542258CB"/>
    <w:rsid w:val="542D741B"/>
    <w:rsid w:val="543211F5"/>
    <w:rsid w:val="543640C4"/>
    <w:rsid w:val="544B4013"/>
    <w:rsid w:val="5456472A"/>
    <w:rsid w:val="54667951"/>
    <w:rsid w:val="547D3D81"/>
    <w:rsid w:val="548C1FAB"/>
    <w:rsid w:val="549E4143"/>
    <w:rsid w:val="54B5148C"/>
    <w:rsid w:val="54E63064"/>
    <w:rsid w:val="54F41028"/>
    <w:rsid w:val="54F75F49"/>
    <w:rsid w:val="54FE72D7"/>
    <w:rsid w:val="550F5D8E"/>
    <w:rsid w:val="552F326D"/>
    <w:rsid w:val="553D5D3A"/>
    <w:rsid w:val="554D7917"/>
    <w:rsid w:val="55663533"/>
    <w:rsid w:val="556F6CD4"/>
    <w:rsid w:val="558B0806"/>
    <w:rsid w:val="55944949"/>
    <w:rsid w:val="559C154A"/>
    <w:rsid w:val="55A21094"/>
    <w:rsid w:val="55AF412E"/>
    <w:rsid w:val="55B24181"/>
    <w:rsid w:val="55B96238"/>
    <w:rsid w:val="55DD63E8"/>
    <w:rsid w:val="560501F2"/>
    <w:rsid w:val="56443DEE"/>
    <w:rsid w:val="564447FE"/>
    <w:rsid w:val="56466840"/>
    <w:rsid w:val="565467A5"/>
    <w:rsid w:val="56644224"/>
    <w:rsid w:val="5666680E"/>
    <w:rsid w:val="5669634B"/>
    <w:rsid w:val="56735DD8"/>
    <w:rsid w:val="567A473C"/>
    <w:rsid w:val="5685797A"/>
    <w:rsid w:val="568C1A21"/>
    <w:rsid w:val="569F4D37"/>
    <w:rsid w:val="56AB2F3F"/>
    <w:rsid w:val="56C42FEC"/>
    <w:rsid w:val="56EA73AE"/>
    <w:rsid w:val="56F0657B"/>
    <w:rsid w:val="56F20621"/>
    <w:rsid w:val="56F20776"/>
    <w:rsid w:val="56F37AB8"/>
    <w:rsid w:val="56FC15F5"/>
    <w:rsid w:val="57122BC6"/>
    <w:rsid w:val="572D6623"/>
    <w:rsid w:val="57364C46"/>
    <w:rsid w:val="57541C75"/>
    <w:rsid w:val="575A47E7"/>
    <w:rsid w:val="575C02E5"/>
    <w:rsid w:val="577473DD"/>
    <w:rsid w:val="57840E7F"/>
    <w:rsid w:val="57911484"/>
    <w:rsid w:val="57BE00CF"/>
    <w:rsid w:val="57C33EC0"/>
    <w:rsid w:val="57CF104F"/>
    <w:rsid w:val="57CF47C9"/>
    <w:rsid w:val="57D939CD"/>
    <w:rsid w:val="57FF0946"/>
    <w:rsid w:val="58075B26"/>
    <w:rsid w:val="580A355F"/>
    <w:rsid w:val="58127ED2"/>
    <w:rsid w:val="58172F6B"/>
    <w:rsid w:val="58281E5B"/>
    <w:rsid w:val="582C247D"/>
    <w:rsid w:val="583D29A8"/>
    <w:rsid w:val="58406187"/>
    <w:rsid w:val="58537A63"/>
    <w:rsid w:val="58643CC2"/>
    <w:rsid w:val="588075E9"/>
    <w:rsid w:val="588C2AEC"/>
    <w:rsid w:val="58CA7BFC"/>
    <w:rsid w:val="58E83887"/>
    <w:rsid w:val="58F90DE0"/>
    <w:rsid w:val="59106321"/>
    <w:rsid w:val="59140C82"/>
    <w:rsid w:val="59202A8D"/>
    <w:rsid w:val="59372DB8"/>
    <w:rsid w:val="593B01E1"/>
    <w:rsid w:val="59493F76"/>
    <w:rsid w:val="59550FA6"/>
    <w:rsid w:val="595650B7"/>
    <w:rsid w:val="59576FB6"/>
    <w:rsid w:val="596005C1"/>
    <w:rsid w:val="59622FBF"/>
    <w:rsid w:val="59651728"/>
    <w:rsid w:val="5978642A"/>
    <w:rsid w:val="597F1341"/>
    <w:rsid w:val="599057E7"/>
    <w:rsid w:val="599F4CD5"/>
    <w:rsid w:val="59A27420"/>
    <w:rsid w:val="59AD1F85"/>
    <w:rsid w:val="59D654A8"/>
    <w:rsid w:val="59D80CBB"/>
    <w:rsid w:val="5A011459"/>
    <w:rsid w:val="5A013CE4"/>
    <w:rsid w:val="5A0141A4"/>
    <w:rsid w:val="5A053904"/>
    <w:rsid w:val="5A196B54"/>
    <w:rsid w:val="5A1E47AC"/>
    <w:rsid w:val="5A20384C"/>
    <w:rsid w:val="5A447687"/>
    <w:rsid w:val="5A4C2893"/>
    <w:rsid w:val="5A603305"/>
    <w:rsid w:val="5A701838"/>
    <w:rsid w:val="5A7732C0"/>
    <w:rsid w:val="5A8156DE"/>
    <w:rsid w:val="5ADF3707"/>
    <w:rsid w:val="5AE3249E"/>
    <w:rsid w:val="5AE56545"/>
    <w:rsid w:val="5AE92129"/>
    <w:rsid w:val="5AF102AB"/>
    <w:rsid w:val="5B0F5D9A"/>
    <w:rsid w:val="5B163201"/>
    <w:rsid w:val="5B1A473F"/>
    <w:rsid w:val="5B2E3D47"/>
    <w:rsid w:val="5B37709F"/>
    <w:rsid w:val="5B6149A2"/>
    <w:rsid w:val="5B636D7E"/>
    <w:rsid w:val="5B7A6DEA"/>
    <w:rsid w:val="5B7E6A7C"/>
    <w:rsid w:val="5BA20303"/>
    <w:rsid w:val="5BB26726"/>
    <w:rsid w:val="5BB926FC"/>
    <w:rsid w:val="5BBE50CA"/>
    <w:rsid w:val="5BCF1086"/>
    <w:rsid w:val="5BF54320"/>
    <w:rsid w:val="5C1633F6"/>
    <w:rsid w:val="5C246971"/>
    <w:rsid w:val="5C4867F4"/>
    <w:rsid w:val="5C6737F1"/>
    <w:rsid w:val="5C9C18B0"/>
    <w:rsid w:val="5C9E7970"/>
    <w:rsid w:val="5CBD1826"/>
    <w:rsid w:val="5CC37F37"/>
    <w:rsid w:val="5CE45005"/>
    <w:rsid w:val="5CE943C9"/>
    <w:rsid w:val="5CF96FBB"/>
    <w:rsid w:val="5CFD1C22"/>
    <w:rsid w:val="5D044DFB"/>
    <w:rsid w:val="5D2A3C5C"/>
    <w:rsid w:val="5D2E4206"/>
    <w:rsid w:val="5D8B5480"/>
    <w:rsid w:val="5DA21809"/>
    <w:rsid w:val="5DAB5B22"/>
    <w:rsid w:val="5DD0374A"/>
    <w:rsid w:val="5DD064FA"/>
    <w:rsid w:val="5DDA30BD"/>
    <w:rsid w:val="5DE33611"/>
    <w:rsid w:val="5DEA03F9"/>
    <w:rsid w:val="5DEB5F1F"/>
    <w:rsid w:val="5DEB608F"/>
    <w:rsid w:val="5E211941"/>
    <w:rsid w:val="5E2719AF"/>
    <w:rsid w:val="5E2C7B5F"/>
    <w:rsid w:val="5E37388C"/>
    <w:rsid w:val="5E49652D"/>
    <w:rsid w:val="5E55621E"/>
    <w:rsid w:val="5E556A51"/>
    <w:rsid w:val="5E6C7060"/>
    <w:rsid w:val="5EA7453C"/>
    <w:rsid w:val="5EAE0F71"/>
    <w:rsid w:val="5ED27BE1"/>
    <w:rsid w:val="5ED35BB4"/>
    <w:rsid w:val="5ED57CA3"/>
    <w:rsid w:val="5ED75612"/>
    <w:rsid w:val="5F1F1B33"/>
    <w:rsid w:val="5F2136D8"/>
    <w:rsid w:val="5F2D0AE0"/>
    <w:rsid w:val="5F432EF8"/>
    <w:rsid w:val="5F47659C"/>
    <w:rsid w:val="5F526256"/>
    <w:rsid w:val="5F555D46"/>
    <w:rsid w:val="5F7E529D"/>
    <w:rsid w:val="5FB40CBE"/>
    <w:rsid w:val="5FC2239B"/>
    <w:rsid w:val="5FCA04E2"/>
    <w:rsid w:val="5FDF1F8A"/>
    <w:rsid w:val="5FE356A8"/>
    <w:rsid w:val="5FF40024"/>
    <w:rsid w:val="602676E1"/>
    <w:rsid w:val="602E4F74"/>
    <w:rsid w:val="603418A5"/>
    <w:rsid w:val="60366D51"/>
    <w:rsid w:val="604D4C6F"/>
    <w:rsid w:val="60936B26"/>
    <w:rsid w:val="60A457EB"/>
    <w:rsid w:val="60A74497"/>
    <w:rsid w:val="60B61030"/>
    <w:rsid w:val="60BE1C9B"/>
    <w:rsid w:val="60C356C4"/>
    <w:rsid w:val="60E92BEA"/>
    <w:rsid w:val="60FF41BB"/>
    <w:rsid w:val="61020C7F"/>
    <w:rsid w:val="612B3202"/>
    <w:rsid w:val="612C0D28"/>
    <w:rsid w:val="61406582"/>
    <w:rsid w:val="61543299"/>
    <w:rsid w:val="61592960"/>
    <w:rsid w:val="615A5A4D"/>
    <w:rsid w:val="61706E67"/>
    <w:rsid w:val="61AC41D6"/>
    <w:rsid w:val="61D70DF9"/>
    <w:rsid w:val="61D77A00"/>
    <w:rsid w:val="61EE148D"/>
    <w:rsid w:val="621B3277"/>
    <w:rsid w:val="6228211F"/>
    <w:rsid w:val="6229771A"/>
    <w:rsid w:val="622C555D"/>
    <w:rsid w:val="623B7475"/>
    <w:rsid w:val="626478C2"/>
    <w:rsid w:val="626529F4"/>
    <w:rsid w:val="626C4988"/>
    <w:rsid w:val="62854B94"/>
    <w:rsid w:val="62E224E8"/>
    <w:rsid w:val="62FE497B"/>
    <w:rsid w:val="62FF03D9"/>
    <w:rsid w:val="62FF64C2"/>
    <w:rsid w:val="630E4B89"/>
    <w:rsid w:val="63352116"/>
    <w:rsid w:val="63377DE5"/>
    <w:rsid w:val="633C769A"/>
    <w:rsid w:val="63452A53"/>
    <w:rsid w:val="635B58F5"/>
    <w:rsid w:val="637531A0"/>
    <w:rsid w:val="63966FB4"/>
    <w:rsid w:val="63973036"/>
    <w:rsid w:val="639B6291"/>
    <w:rsid w:val="639C2D33"/>
    <w:rsid w:val="63A105E6"/>
    <w:rsid w:val="63AD6150"/>
    <w:rsid w:val="63C96D02"/>
    <w:rsid w:val="63D36046"/>
    <w:rsid w:val="63D6255C"/>
    <w:rsid w:val="63E61F5F"/>
    <w:rsid w:val="63F00811"/>
    <w:rsid w:val="63F657AA"/>
    <w:rsid w:val="64144421"/>
    <w:rsid w:val="643A7DF2"/>
    <w:rsid w:val="644D7933"/>
    <w:rsid w:val="645152C2"/>
    <w:rsid w:val="64607667"/>
    <w:rsid w:val="64800394"/>
    <w:rsid w:val="648814BB"/>
    <w:rsid w:val="64975171"/>
    <w:rsid w:val="64A15589"/>
    <w:rsid w:val="64AA0614"/>
    <w:rsid w:val="64AB4ABB"/>
    <w:rsid w:val="64BE5FF1"/>
    <w:rsid w:val="64C549E2"/>
    <w:rsid w:val="64D4770D"/>
    <w:rsid w:val="64E831B8"/>
    <w:rsid w:val="64EA2425"/>
    <w:rsid w:val="64F1206D"/>
    <w:rsid w:val="65031DA0"/>
    <w:rsid w:val="65220A06"/>
    <w:rsid w:val="65384140"/>
    <w:rsid w:val="653A1C66"/>
    <w:rsid w:val="65426D6C"/>
    <w:rsid w:val="65540C76"/>
    <w:rsid w:val="656E7B61"/>
    <w:rsid w:val="657753A5"/>
    <w:rsid w:val="657A5833"/>
    <w:rsid w:val="65812DF0"/>
    <w:rsid w:val="65842EE1"/>
    <w:rsid w:val="659B022A"/>
    <w:rsid w:val="65A767B0"/>
    <w:rsid w:val="65AE3104"/>
    <w:rsid w:val="65B838A4"/>
    <w:rsid w:val="65C94D98"/>
    <w:rsid w:val="65EB4F90"/>
    <w:rsid w:val="6602534E"/>
    <w:rsid w:val="66065FEC"/>
    <w:rsid w:val="660A5F17"/>
    <w:rsid w:val="660C7EB8"/>
    <w:rsid w:val="66332DC3"/>
    <w:rsid w:val="6639006E"/>
    <w:rsid w:val="663C7C5F"/>
    <w:rsid w:val="663F7785"/>
    <w:rsid w:val="664804B3"/>
    <w:rsid w:val="665E7BD6"/>
    <w:rsid w:val="66632EA0"/>
    <w:rsid w:val="66633E9A"/>
    <w:rsid w:val="66656C51"/>
    <w:rsid w:val="66664CDC"/>
    <w:rsid w:val="66853627"/>
    <w:rsid w:val="668D3AA7"/>
    <w:rsid w:val="668D6304"/>
    <w:rsid w:val="669C6028"/>
    <w:rsid w:val="669F0689"/>
    <w:rsid w:val="66A87A0F"/>
    <w:rsid w:val="66AD290B"/>
    <w:rsid w:val="66B20509"/>
    <w:rsid w:val="66C50541"/>
    <w:rsid w:val="66C509D5"/>
    <w:rsid w:val="66DA2CB3"/>
    <w:rsid w:val="66F40793"/>
    <w:rsid w:val="6717038D"/>
    <w:rsid w:val="671706D3"/>
    <w:rsid w:val="672F48CC"/>
    <w:rsid w:val="6730396A"/>
    <w:rsid w:val="67346B89"/>
    <w:rsid w:val="6751773B"/>
    <w:rsid w:val="677B1E11"/>
    <w:rsid w:val="67801EB9"/>
    <w:rsid w:val="67A71109"/>
    <w:rsid w:val="67C76B2D"/>
    <w:rsid w:val="67CE0D8B"/>
    <w:rsid w:val="67EE2A60"/>
    <w:rsid w:val="67F5203E"/>
    <w:rsid w:val="68036CFD"/>
    <w:rsid w:val="681A38D9"/>
    <w:rsid w:val="68324E76"/>
    <w:rsid w:val="6839795B"/>
    <w:rsid w:val="683E5252"/>
    <w:rsid w:val="68456C28"/>
    <w:rsid w:val="684C67E9"/>
    <w:rsid w:val="685118DE"/>
    <w:rsid w:val="685E101E"/>
    <w:rsid w:val="688233FF"/>
    <w:rsid w:val="68883E6D"/>
    <w:rsid w:val="68AD6BF3"/>
    <w:rsid w:val="68D56A00"/>
    <w:rsid w:val="68DA1F54"/>
    <w:rsid w:val="68EB078F"/>
    <w:rsid w:val="69280C5E"/>
    <w:rsid w:val="693A3226"/>
    <w:rsid w:val="693E4935"/>
    <w:rsid w:val="694D54E1"/>
    <w:rsid w:val="699944EC"/>
    <w:rsid w:val="69995724"/>
    <w:rsid w:val="69B47EE5"/>
    <w:rsid w:val="69C4686C"/>
    <w:rsid w:val="6A176F2F"/>
    <w:rsid w:val="6A23687A"/>
    <w:rsid w:val="6A240036"/>
    <w:rsid w:val="6A372756"/>
    <w:rsid w:val="6A3B19C7"/>
    <w:rsid w:val="6A486BD3"/>
    <w:rsid w:val="6A4B5F33"/>
    <w:rsid w:val="6A577BBA"/>
    <w:rsid w:val="6A590439"/>
    <w:rsid w:val="6A597D4C"/>
    <w:rsid w:val="6A680FC7"/>
    <w:rsid w:val="6A880A74"/>
    <w:rsid w:val="6A942216"/>
    <w:rsid w:val="6A9B0075"/>
    <w:rsid w:val="6AC51D73"/>
    <w:rsid w:val="6AC82C33"/>
    <w:rsid w:val="6AD67F71"/>
    <w:rsid w:val="6AE213F9"/>
    <w:rsid w:val="6AE85CC0"/>
    <w:rsid w:val="6AF7771D"/>
    <w:rsid w:val="6B016B32"/>
    <w:rsid w:val="6B036F9E"/>
    <w:rsid w:val="6B311795"/>
    <w:rsid w:val="6B3B7B7B"/>
    <w:rsid w:val="6B4D0219"/>
    <w:rsid w:val="6BA17867"/>
    <w:rsid w:val="6BA8544F"/>
    <w:rsid w:val="6BAD23FB"/>
    <w:rsid w:val="6BB141CE"/>
    <w:rsid w:val="6BBA58AE"/>
    <w:rsid w:val="6BBE4C73"/>
    <w:rsid w:val="6BD45513"/>
    <w:rsid w:val="6BEF0C80"/>
    <w:rsid w:val="6BF41DBA"/>
    <w:rsid w:val="6C102618"/>
    <w:rsid w:val="6C1F3963"/>
    <w:rsid w:val="6C1F5711"/>
    <w:rsid w:val="6C2A0D97"/>
    <w:rsid w:val="6C3664AD"/>
    <w:rsid w:val="6C3D203B"/>
    <w:rsid w:val="6C477211"/>
    <w:rsid w:val="6C62746F"/>
    <w:rsid w:val="6C7B0D4F"/>
    <w:rsid w:val="6C7C7008"/>
    <w:rsid w:val="6CA36342"/>
    <w:rsid w:val="6CAB3449"/>
    <w:rsid w:val="6CAE2F39"/>
    <w:rsid w:val="6CAF118B"/>
    <w:rsid w:val="6CB22A29"/>
    <w:rsid w:val="6CBA18DE"/>
    <w:rsid w:val="6CBD0545"/>
    <w:rsid w:val="6CC30793"/>
    <w:rsid w:val="6CC37BAF"/>
    <w:rsid w:val="6CC73DF6"/>
    <w:rsid w:val="6CE13277"/>
    <w:rsid w:val="6CEA6058"/>
    <w:rsid w:val="6CF92FDB"/>
    <w:rsid w:val="6D0F2115"/>
    <w:rsid w:val="6D237483"/>
    <w:rsid w:val="6D3173EA"/>
    <w:rsid w:val="6D385E21"/>
    <w:rsid w:val="6D737889"/>
    <w:rsid w:val="6D787B59"/>
    <w:rsid w:val="6D7F4662"/>
    <w:rsid w:val="6D832E39"/>
    <w:rsid w:val="6D8A7542"/>
    <w:rsid w:val="6D916E4E"/>
    <w:rsid w:val="6DB3108B"/>
    <w:rsid w:val="6DBD5004"/>
    <w:rsid w:val="6DC63E68"/>
    <w:rsid w:val="6DCF4F15"/>
    <w:rsid w:val="6DD447A6"/>
    <w:rsid w:val="6DE309C1"/>
    <w:rsid w:val="6DEF4626"/>
    <w:rsid w:val="6E066FBB"/>
    <w:rsid w:val="6E1152C9"/>
    <w:rsid w:val="6E531FEA"/>
    <w:rsid w:val="6E5C6B75"/>
    <w:rsid w:val="6E6D037E"/>
    <w:rsid w:val="6E95214E"/>
    <w:rsid w:val="6E9B7282"/>
    <w:rsid w:val="6EA3225C"/>
    <w:rsid w:val="6EA84CF4"/>
    <w:rsid w:val="6EAC10F7"/>
    <w:rsid w:val="6EB135A6"/>
    <w:rsid w:val="6F003A11"/>
    <w:rsid w:val="6F0A08FB"/>
    <w:rsid w:val="6F153111"/>
    <w:rsid w:val="6F3B3D99"/>
    <w:rsid w:val="6F415A91"/>
    <w:rsid w:val="6F5479EB"/>
    <w:rsid w:val="6F5558BD"/>
    <w:rsid w:val="6F5C177F"/>
    <w:rsid w:val="6F5E47A3"/>
    <w:rsid w:val="6F6373A3"/>
    <w:rsid w:val="6F6B6EC0"/>
    <w:rsid w:val="6F866FBD"/>
    <w:rsid w:val="6F870169"/>
    <w:rsid w:val="6F8B1310"/>
    <w:rsid w:val="6F927913"/>
    <w:rsid w:val="6F9D176F"/>
    <w:rsid w:val="6F9E1043"/>
    <w:rsid w:val="6FA13625"/>
    <w:rsid w:val="6FA77FDB"/>
    <w:rsid w:val="6FBB1BF5"/>
    <w:rsid w:val="6FBB5193"/>
    <w:rsid w:val="6FDE7692"/>
    <w:rsid w:val="6FE3114C"/>
    <w:rsid w:val="6FE77690"/>
    <w:rsid w:val="6FE949B4"/>
    <w:rsid w:val="6FF6159B"/>
    <w:rsid w:val="6FF8081F"/>
    <w:rsid w:val="70032313"/>
    <w:rsid w:val="70057314"/>
    <w:rsid w:val="700A492A"/>
    <w:rsid w:val="701049D0"/>
    <w:rsid w:val="701653C9"/>
    <w:rsid w:val="70195AED"/>
    <w:rsid w:val="702B08D3"/>
    <w:rsid w:val="702F13E2"/>
    <w:rsid w:val="70335C2F"/>
    <w:rsid w:val="704C1556"/>
    <w:rsid w:val="705D5373"/>
    <w:rsid w:val="707D50FC"/>
    <w:rsid w:val="707E0FD5"/>
    <w:rsid w:val="70867402"/>
    <w:rsid w:val="70A95654"/>
    <w:rsid w:val="70C312D3"/>
    <w:rsid w:val="70D43718"/>
    <w:rsid w:val="70D9384C"/>
    <w:rsid w:val="70F73101"/>
    <w:rsid w:val="7116172E"/>
    <w:rsid w:val="71241D10"/>
    <w:rsid w:val="712437CA"/>
    <w:rsid w:val="712D0854"/>
    <w:rsid w:val="713421BA"/>
    <w:rsid w:val="713B389B"/>
    <w:rsid w:val="713C4FB8"/>
    <w:rsid w:val="7142463B"/>
    <w:rsid w:val="71910D2E"/>
    <w:rsid w:val="71AC2056"/>
    <w:rsid w:val="71C1345D"/>
    <w:rsid w:val="71CB2462"/>
    <w:rsid w:val="71D445CE"/>
    <w:rsid w:val="71DA38CD"/>
    <w:rsid w:val="71E25B41"/>
    <w:rsid w:val="71F650B9"/>
    <w:rsid w:val="720F6001"/>
    <w:rsid w:val="72473CB6"/>
    <w:rsid w:val="72686E3D"/>
    <w:rsid w:val="727A26CE"/>
    <w:rsid w:val="72983176"/>
    <w:rsid w:val="72AB51FE"/>
    <w:rsid w:val="72BE2D27"/>
    <w:rsid w:val="72D92A8F"/>
    <w:rsid w:val="72DA2EC0"/>
    <w:rsid w:val="72F739A7"/>
    <w:rsid w:val="73016068"/>
    <w:rsid w:val="73504D4A"/>
    <w:rsid w:val="7363682B"/>
    <w:rsid w:val="73816CB2"/>
    <w:rsid w:val="73893830"/>
    <w:rsid w:val="73A125FD"/>
    <w:rsid w:val="73C03C7E"/>
    <w:rsid w:val="73C81640"/>
    <w:rsid w:val="73CD6A9A"/>
    <w:rsid w:val="73DD6D17"/>
    <w:rsid w:val="73E2776E"/>
    <w:rsid w:val="73F52103"/>
    <w:rsid w:val="73FE0302"/>
    <w:rsid w:val="74022067"/>
    <w:rsid w:val="74097116"/>
    <w:rsid w:val="740A4EF9"/>
    <w:rsid w:val="740A7DB8"/>
    <w:rsid w:val="740E54D1"/>
    <w:rsid w:val="741B5358"/>
    <w:rsid w:val="742170E9"/>
    <w:rsid w:val="743857C5"/>
    <w:rsid w:val="745B4F58"/>
    <w:rsid w:val="748527D2"/>
    <w:rsid w:val="74921493"/>
    <w:rsid w:val="74A509B1"/>
    <w:rsid w:val="74B01B4A"/>
    <w:rsid w:val="74CA3328"/>
    <w:rsid w:val="74DA2B1D"/>
    <w:rsid w:val="74DF4B7F"/>
    <w:rsid w:val="74DF4EF4"/>
    <w:rsid w:val="74F62CED"/>
    <w:rsid w:val="74F83595"/>
    <w:rsid w:val="750632E7"/>
    <w:rsid w:val="75120509"/>
    <w:rsid w:val="75133BF1"/>
    <w:rsid w:val="7518727D"/>
    <w:rsid w:val="752173ED"/>
    <w:rsid w:val="75355FA6"/>
    <w:rsid w:val="75370EA5"/>
    <w:rsid w:val="7538094B"/>
    <w:rsid w:val="754730F9"/>
    <w:rsid w:val="754937FF"/>
    <w:rsid w:val="75502B1F"/>
    <w:rsid w:val="75544BB9"/>
    <w:rsid w:val="75752A67"/>
    <w:rsid w:val="75D35377"/>
    <w:rsid w:val="75F93477"/>
    <w:rsid w:val="76063D02"/>
    <w:rsid w:val="7631116A"/>
    <w:rsid w:val="76312C11"/>
    <w:rsid w:val="76345B3A"/>
    <w:rsid w:val="764346F2"/>
    <w:rsid w:val="76454D95"/>
    <w:rsid w:val="767317AC"/>
    <w:rsid w:val="7686064F"/>
    <w:rsid w:val="769474D0"/>
    <w:rsid w:val="769E4F43"/>
    <w:rsid w:val="76B858B5"/>
    <w:rsid w:val="76BF021D"/>
    <w:rsid w:val="76DF0673"/>
    <w:rsid w:val="77065E4C"/>
    <w:rsid w:val="77176354"/>
    <w:rsid w:val="773310E1"/>
    <w:rsid w:val="773D3F97"/>
    <w:rsid w:val="774910E8"/>
    <w:rsid w:val="774950AA"/>
    <w:rsid w:val="774A0F8C"/>
    <w:rsid w:val="774A385E"/>
    <w:rsid w:val="77951A25"/>
    <w:rsid w:val="77960CE5"/>
    <w:rsid w:val="77CB650B"/>
    <w:rsid w:val="77CC2A1C"/>
    <w:rsid w:val="77CE4490"/>
    <w:rsid w:val="77E67A2B"/>
    <w:rsid w:val="78042DEB"/>
    <w:rsid w:val="78261305"/>
    <w:rsid w:val="784974F5"/>
    <w:rsid w:val="784B19A6"/>
    <w:rsid w:val="78540E39"/>
    <w:rsid w:val="78681083"/>
    <w:rsid w:val="7879264D"/>
    <w:rsid w:val="788B24B1"/>
    <w:rsid w:val="789079E5"/>
    <w:rsid w:val="7891016B"/>
    <w:rsid w:val="78A04C44"/>
    <w:rsid w:val="78C338C8"/>
    <w:rsid w:val="78E72828"/>
    <w:rsid w:val="78EA7B9F"/>
    <w:rsid w:val="79224F56"/>
    <w:rsid w:val="79336CA0"/>
    <w:rsid w:val="793A7966"/>
    <w:rsid w:val="793B1C09"/>
    <w:rsid w:val="7947274B"/>
    <w:rsid w:val="79BA79F3"/>
    <w:rsid w:val="79BB215E"/>
    <w:rsid w:val="79D87646"/>
    <w:rsid w:val="79E82BC7"/>
    <w:rsid w:val="7A1067EC"/>
    <w:rsid w:val="7A192CE7"/>
    <w:rsid w:val="7A2E2EA3"/>
    <w:rsid w:val="7A3007C8"/>
    <w:rsid w:val="7A3231AD"/>
    <w:rsid w:val="7A4A77F3"/>
    <w:rsid w:val="7A5A72EE"/>
    <w:rsid w:val="7A844288"/>
    <w:rsid w:val="7AA82540"/>
    <w:rsid w:val="7AB931D5"/>
    <w:rsid w:val="7ADC02AF"/>
    <w:rsid w:val="7AE56AF0"/>
    <w:rsid w:val="7B002DC3"/>
    <w:rsid w:val="7B080E99"/>
    <w:rsid w:val="7B0C23FF"/>
    <w:rsid w:val="7B0E1773"/>
    <w:rsid w:val="7B110428"/>
    <w:rsid w:val="7B113011"/>
    <w:rsid w:val="7B205002"/>
    <w:rsid w:val="7B220D7A"/>
    <w:rsid w:val="7B22521E"/>
    <w:rsid w:val="7B2F5349"/>
    <w:rsid w:val="7B5666FB"/>
    <w:rsid w:val="7B5C232E"/>
    <w:rsid w:val="7B5E12BB"/>
    <w:rsid w:val="7B637C47"/>
    <w:rsid w:val="7BA43E85"/>
    <w:rsid w:val="7BBF4208"/>
    <w:rsid w:val="7BC0312E"/>
    <w:rsid w:val="7BC62E25"/>
    <w:rsid w:val="7BD02203"/>
    <w:rsid w:val="7BD22006"/>
    <w:rsid w:val="7BE349AD"/>
    <w:rsid w:val="7BFC0690"/>
    <w:rsid w:val="7BFE17E7"/>
    <w:rsid w:val="7C013085"/>
    <w:rsid w:val="7C0E2B1C"/>
    <w:rsid w:val="7C0E57A2"/>
    <w:rsid w:val="7C151079"/>
    <w:rsid w:val="7C2253BC"/>
    <w:rsid w:val="7C2E374F"/>
    <w:rsid w:val="7C4756C9"/>
    <w:rsid w:val="7C582C3F"/>
    <w:rsid w:val="7C593EE8"/>
    <w:rsid w:val="7C753C13"/>
    <w:rsid w:val="7C7A6994"/>
    <w:rsid w:val="7C855A65"/>
    <w:rsid w:val="7C9932BE"/>
    <w:rsid w:val="7C9B286D"/>
    <w:rsid w:val="7C9B7FF0"/>
    <w:rsid w:val="7CA23236"/>
    <w:rsid w:val="7CB53251"/>
    <w:rsid w:val="7CB62D19"/>
    <w:rsid w:val="7CD93821"/>
    <w:rsid w:val="7CD95805"/>
    <w:rsid w:val="7D13314E"/>
    <w:rsid w:val="7D230DDA"/>
    <w:rsid w:val="7D365DD8"/>
    <w:rsid w:val="7D3A23FC"/>
    <w:rsid w:val="7D625FC7"/>
    <w:rsid w:val="7D650CA3"/>
    <w:rsid w:val="7D6A0419"/>
    <w:rsid w:val="7D6B7727"/>
    <w:rsid w:val="7D7A5D33"/>
    <w:rsid w:val="7DB12889"/>
    <w:rsid w:val="7DB52379"/>
    <w:rsid w:val="7DBC3708"/>
    <w:rsid w:val="7DD018F6"/>
    <w:rsid w:val="7DD4016C"/>
    <w:rsid w:val="7DEE5D3D"/>
    <w:rsid w:val="7E167D92"/>
    <w:rsid w:val="7E1A50EB"/>
    <w:rsid w:val="7E1D2CB4"/>
    <w:rsid w:val="7E222BD7"/>
    <w:rsid w:val="7E24305B"/>
    <w:rsid w:val="7E290672"/>
    <w:rsid w:val="7E4266E2"/>
    <w:rsid w:val="7E576F8D"/>
    <w:rsid w:val="7E6C2A49"/>
    <w:rsid w:val="7E6D4A02"/>
    <w:rsid w:val="7E722A66"/>
    <w:rsid w:val="7E794FBB"/>
    <w:rsid w:val="7E806AA4"/>
    <w:rsid w:val="7E8F4979"/>
    <w:rsid w:val="7E9C305C"/>
    <w:rsid w:val="7EA06B86"/>
    <w:rsid w:val="7EA26042"/>
    <w:rsid w:val="7EAF6879"/>
    <w:rsid w:val="7EB45D48"/>
    <w:rsid w:val="7EC17031"/>
    <w:rsid w:val="7EEA7E01"/>
    <w:rsid w:val="7F0417A2"/>
    <w:rsid w:val="7F360FA8"/>
    <w:rsid w:val="7F3D43D5"/>
    <w:rsid w:val="7F427C3D"/>
    <w:rsid w:val="7F517E80"/>
    <w:rsid w:val="7F7211CD"/>
    <w:rsid w:val="7F8B3961"/>
    <w:rsid w:val="7F8F3102"/>
    <w:rsid w:val="7F9C0E05"/>
    <w:rsid w:val="7F9F140C"/>
    <w:rsid w:val="7FA76140"/>
    <w:rsid w:val="7FC17096"/>
    <w:rsid w:val="7FE82E11"/>
    <w:rsid w:val="7FF970F9"/>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iPriority="0" w:name="heading 8"/>
    <w:lsdException w:qFormat="1" w:uiPriority="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0" w:semiHidden="0" w:name="toc 4"/>
    <w:lsdException w:unhideWhenUsed="0" w:uiPriority="0" w:semiHidden="0" w:name="toc 5"/>
    <w:lsdException w:unhideWhenUsed="0" w:uiPriority="0" w:semiHidden="0" w:name="toc 6"/>
    <w:lsdException w:qFormat="1" w:unhideWhenUsed="0" w:uiPriority="39"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qFormat="1" w:unhideWhenUsed="0" w:uiPriority="99"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qFormat="1"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iPriority="99"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nhideWhenUsed="0" w:uiPriority="0" w:semiHidden="0" w:name="Normal (Web)"/>
    <w:lsdException w:qFormat="1" w:unhideWhenUsed="0" w:uiPriority="0" w:semiHidden="0" w:name="HTML Acronym"/>
    <w:lsdException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6">
    <w:name w:val="heading 1"/>
    <w:basedOn w:val="1"/>
    <w:next w:val="1"/>
    <w:link w:val="54"/>
    <w:qFormat/>
    <w:uiPriority w:val="0"/>
    <w:pPr>
      <w:keepNext/>
      <w:keepLines/>
      <w:spacing w:before="340" w:after="330" w:line="578" w:lineRule="auto"/>
      <w:outlineLvl w:val="0"/>
    </w:pPr>
    <w:rPr>
      <w:b/>
      <w:bCs/>
      <w:kern w:val="44"/>
      <w:sz w:val="44"/>
      <w:szCs w:val="44"/>
    </w:rPr>
  </w:style>
  <w:style w:type="paragraph" w:styleId="7">
    <w:name w:val="heading 2"/>
    <w:basedOn w:val="1"/>
    <w:next w:val="1"/>
    <w:qFormat/>
    <w:uiPriority w:val="0"/>
    <w:pPr>
      <w:keepNext/>
      <w:keepLines/>
      <w:numPr>
        <w:ilvl w:val="1"/>
        <w:numId w:val="1"/>
      </w:numPr>
      <w:adjustRightInd w:val="0"/>
      <w:spacing w:line="360" w:lineRule="atLeast"/>
      <w:textAlignment w:val="baseline"/>
      <w:outlineLvl w:val="1"/>
    </w:pPr>
    <w:rPr>
      <w:kern w:val="0"/>
      <w:sz w:val="24"/>
      <w:szCs w:val="20"/>
    </w:rPr>
  </w:style>
  <w:style w:type="paragraph" w:styleId="8">
    <w:name w:val="heading 3"/>
    <w:basedOn w:val="1"/>
    <w:next w:val="1"/>
    <w:qFormat/>
    <w:uiPriority w:val="0"/>
    <w:pPr>
      <w:keepNext/>
      <w:keepLines/>
      <w:spacing w:before="260" w:after="260" w:line="416" w:lineRule="atLeast"/>
      <w:jc w:val="both"/>
      <w:textAlignment w:val="baseline"/>
      <w:outlineLvl w:val="2"/>
    </w:pPr>
    <w:rPr>
      <w:b/>
      <w:bCs/>
      <w:color w:val="000000"/>
      <w:sz w:val="32"/>
      <w:szCs w:val="32"/>
      <w:u w:val="none" w:color="000000"/>
      <w:lang w:val="en-US" w:eastAsia="zh-CN" w:bidi="ar-SA"/>
    </w:rPr>
  </w:style>
  <w:style w:type="paragraph" w:styleId="9">
    <w:name w:val="heading 4"/>
    <w:basedOn w:val="1"/>
    <w:next w:val="1"/>
    <w:link w:val="55"/>
    <w:qFormat/>
    <w:uiPriority w:val="0"/>
    <w:pPr>
      <w:keepNext/>
      <w:keepLines/>
      <w:widowControl/>
      <w:spacing w:before="280" w:after="290" w:line="376" w:lineRule="atLeast"/>
      <w:textAlignment w:val="baseline"/>
      <w:outlineLvl w:val="3"/>
    </w:pPr>
    <w:rPr>
      <w:rFonts w:ascii="Arial" w:hAnsi="Arial" w:eastAsia="黑体"/>
      <w:b/>
      <w:bCs/>
      <w:color w:val="000000"/>
      <w:kern w:val="0"/>
      <w:sz w:val="28"/>
      <w:szCs w:val="28"/>
      <w:u w:val="none" w:color="000000"/>
    </w:rPr>
  </w:style>
  <w:style w:type="paragraph" w:styleId="10">
    <w:name w:val="heading 5"/>
    <w:basedOn w:val="1"/>
    <w:next w:val="1"/>
    <w:link w:val="56"/>
    <w:qFormat/>
    <w:uiPriority w:val="0"/>
    <w:pPr>
      <w:keepNext/>
      <w:keepLines/>
      <w:spacing w:before="280" w:after="290" w:line="376" w:lineRule="auto"/>
      <w:outlineLvl w:val="4"/>
    </w:pPr>
    <w:rPr>
      <w:b/>
      <w:bCs/>
      <w:sz w:val="28"/>
      <w:szCs w:val="28"/>
    </w:rPr>
  </w:style>
  <w:style w:type="paragraph" w:styleId="11">
    <w:name w:val="heading 6"/>
    <w:basedOn w:val="1"/>
    <w:next w:val="1"/>
    <w:link w:val="57"/>
    <w:qFormat/>
    <w:uiPriority w:val="0"/>
    <w:pPr>
      <w:keepNext/>
      <w:keepLines/>
      <w:spacing w:before="240" w:after="64" w:line="320" w:lineRule="auto"/>
      <w:outlineLvl w:val="5"/>
    </w:pPr>
    <w:rPr>
      <w:rFonts w:ascii="Cambria" w:hAnsi="Cambria"/>
      <w:b/>
      <w:bCs/>
      <w:sz w:val="24"/>
    </w:rPr>
  </w:style>
  <w:style w:type="paragraph" w:styleId="12">
    <w:name w:val="heading 7"/>
    <w:basedOn w:val="1"/>
    <w:next w:val="1"/>
    <w:link w:val="58"/>
    <w:qFormat/>
    <w:uiPriority w:val="0"/>
    <w:pPr>
      <w:keepNext/>
      <w:keepLines/>
      <w:spacing w:before="240" w:after="64" w:line="320" w:lineRule="auto"/>
      <w:outlineLvl w:val="6"/>
    </w:pPr>
    <w:rPr>
      <w:b/>
      <w:bCs/>
      <w:sz w:val="24"/>
    </w:rPr>
  </w:style>
  <w:style w:type="character" w:default="1" w:styleId="37">
    <w:name w:val="Default Paragraph Font"/>
    <w:autoRedefine/>
    <w:semiHidden/>
    <w:qFormat/>
    <w:uiPriority w:val="0"/>
  </w:style>
  <w:style w:type="table" w:default="1" w:styleId="35">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next w:val="1"/>
    <w:link w:val="53"/>
    <w:autoRedefine/>
    <w:qFormat/>
    <w:uiPriority w:val="0"/>
    <w:pPr>
      <w:ind w:left="420" w:firstLine="420" w:firstLineChars="200"/>
    </w:pPr>
  </w:style>
  <w:style w:type="paragraph" w:styleId="3">
    <w:name w:val="Body Text Indent"/>
    <w:basedOn w:val="1"/>
    <w:next w:val="4"/>
    <w:link w:val="52"/>
    <w:autoRedefine/>
    <w:qFormat/>
    <w:uiPriority w:val="0"/>
    <w:pPr>
      <w:spacing w:after="120"/>
      <w:ind w:left="200" w:leftChars="200"/>
    </w:pPr>
  </w:style>
  <w:style w:type="paragraph" w:styleId="4">
    <w:name w:val="envelope return"/>
    <w:basedOn w:val="1"/>
    <w:next w:val="5"/>
    <w:qFormat/>
    <w:uiPriority w:val="0"/>
    <w:pPr>
      <w:snapToGrid w:val="0"/>
    </w:pPr>
    <w:rPr>
      <w:rFonts w:ascii="Arial" w:hAnsi="Arial"/>
    </w:rPr>
  </w:style>
  <w:style w:type="paragraph" w:styleId="5">
    <w:name w:val="toc 7"/>
    <w:basedOn w:val="1"/>
    <w:next w:val="1"/>
    <w:autoRedefine/>
    <w:qFormat/>
    <w:uiPriority w:val="39"/>
    <w:pPr>
      <w:ind w:left="1260"/>
      <w:jc w:val="left"/>
    </w:pPr>
    <w:rPr>
      <w:sz w:val="18"/>
      <w:szCs w:val="18"/>
    </w:rPr>
  </w:style>
  <w:style w:type="paragraph" w:styleId="13">
    <w:name w:val="List Number 2"/>
    <w:basedOn w:val="1"/>
    <w:qFormat/>
    <w:uiPriority w:val="0"/>
    <w:pPr>
      <w:numPr>
        <w:ilvl w:val="0"/>
        <w:numId w:val="2"/>
      </w:numPr>
      <w:tabs>
        <w:tab w:val="left" w:pos="567"/>
      </w:tabs>
      <w:adjustRightInd w:val="0"/>
      <w:spacing w:line="300" w:lineRule="auto"/>
      <w:textAlignment w:val="baseline"/>
    </w:pPr>
    <w:rPr>
      <w:kern w:val="0"/>
      <w:sz w:val="28"/>
      <w:szCs w:val="20"/>
    </w:rPr>
  </w:style>
  <w:style w:type="paragraph" w:styleId="14">
    <w:name w:val="Normal Indent"/>
    <w:basedOn w:val="1"/>
    <w:qFormat/>
    <w:uiPriority w:val="0"/>
    <w:pPr>
      <w:adjustRightInd w:val="0"/>
      <w:spacing w:line="360" w:lineRule="atLeast"/>
      <w:ind w:firstLine="482"/>
      <w:textAlignment w:val="baseline"/>
    </w:pPr>
    <w:rPr>
      <w:kern w:val="0"/>
      <w:sz w:val="24"/>
      <w:szCs w:val="20"/>
    </w:rPr>
  </w:style>
  <w:style w:type="paragraph" w:styleId="15">
    <w:name w:val="annotation text"/>
    <w:basedOn w:val="1"/>
    <w:link w:val="59"/>
    <w:autoRedefine/>
    <w:qFormat/>
    <w:uiPriority w:val="0"/>
    <w:pPr>
      <w:jc w:val="left"/>
    </w:pPr>
  </w:style>
  <w:style w:type="paragraph" w:styleId="16">
    <w:name w:val="Body Text"/>
    <w:basedOn w:val="1"/>
    <w:semiHidden/>
    <w:qFormat/>
    <w:uiPriority w:val="0"/>
    <w:pPr>
      <w:spacing w:after="120"/>
    </w:pPr>
  </w:style>
  <w:style w:type="paragraph" w:styleId="17">
    <w:name w:val="toc 3"/>
    <w:basedOn w:val="1"/>
    <w:next w:val="1"/>
    <w:qFormat/>
    <w:uiPriority w:val="39"/>
    <w:pPr>
      <w:tabs>
        <w:tab w:val="right" w:leader="dot" w:pos="9288"/>
      </w:tabs>
      <w:ind w:left="400" w:leftChars="400"/>
    </w:pPr>
    <w:rPr>
      <w:rFonts w:ascii="宋体"/>
    </w:rPr>
  </w:style>
  <w:style w:type="paragraph" w:styleId="18">
    <w:name w:val="Plain Text"/>
    <w:basedOn w:val="1"/>
    <w:next w:val="1"/>
    <w:link w:val="60"/>
    <w:qFormat/>
    <w:uiPriority w:val="99"/>
    <w:rPr>
      <w:rFonts w:ascii="宋体"/>
      <w:color w:val="000000"/>
      <w:szCs w:val="20"/>
      <w:u w:val="none" w:color="000000"/>
    </w:rPr>
  </w:style>
  <w:style w:type="paragraph" w:styleId="19">
    <w:name w:val="Date"/>
    <w:basedOn w:val="1"/>
    <w:next w:val="1"/>
    <w:link w:val="61"/>
    <w:autoRedefine/>
    <w:qFormat/>
    <w:uiPriority w:val="0"/>
    <w:rPr>
      <w:rFonts w:ascii="Arial" w:hAnsi="Arial" w:eastAsia="仿宋_GB2312"/>
      <w:color w:val="000000"/>
      <w:sz w:val="32"/>
      <w:szCs w:val="20"/>
      <w:u w:val="none" w:color="000000"/>
    </w:rPr>
  </w:style>
  <w:style w:type="paragraph" w:styleId="20">
    <w:name w:val="Body Text Indent 2"/>
    <w:basedOn w:val="1"/>
    <w:link w:val="62"/>
    <w:qFormat/>
    <w:uiPriority w:val="0"/>
    <w:pPr>
      <w:spacing w:after="120" w:line="480" w:lineRule="auto"/>
      <w:ind w:left="420" w:leftChars="200"/>
    </w:pPr>
  </w:style>
  <w:style w:type="paragraph" w:styleId="21">
    <w:name w:val="endnote text"/>
    <w:basedOn w:val="1"/>
    <w:autoRedefine/>
    <w:qFormat/>
    <w:uiPriority w:val="99"/>
    <w:pPr>
      <w:snapToGrid w:val="0"/>
    </w:pPr>
    <w:rPr>
      <w:rFonts w:ascii="仿宋" w:hAnsi="仿宋"/>
    </w:rPr>
  </w:style>
  <w:style w:type="paragraph" w:styleId="22">
    <w:name w:val="Balloon Text"/>
    <w:basedOn w:val="1"/>
    <w:link w:val="63"/>
    <w:autoRedefine/>
    <w:qFormat/>
    <w:uiPriority w:val="0"/>
    <w:rPr>
      <w:sz w:val="18"/>
      <w:szCs w:val="18"/>
    </w:rPr>
  </w:style>
  <w:style w:type="paragraph" w:styleId="23">
    <w:name w:val="footer"/>
    <w:basedOn w:val="1"/>
    <w:link w:val="64"/>
    <w:qFormat/>
    <w:uiPriority w:val="0"/>
    <w:pPr>
      <w:tabs>
        <w:tab w:val="center" w:pos="4153"/>
        <w:tab w:val="right" w:pos="8306"/>
      </w:tabs>
      <w:snapToGrid w:val="0"/>
      <w:jc w:val="left"/>
    </w:pPr>
    <w:rPr>
      <w:sz w:val="18"/>
      <w:szCs w:val="18"/>
    </w:rPr>
  </w:style>
  <w:style w:type="paragraph" w:styleId="24">
    <w:name w:val="header"/>
    <w:basedOn w:val="1"/>
    <w:link w:val="65"/>
    <w:autoRedefine/>
    <w:qFormat/>
    <w:uiPriority w:val="0"/>
    <w:pPr>
      <w:pBdr>
        <w:bottom w:val="single" w:color="auto" w:sz="6" w:space="1"/>
      </w:pBdr>
      <w:tabs>
        <w:tab w:val="center" w:pos="4153"/>
        <w:tab w:val="right" w:pos="8306"/>
      </w:tabs>
      <w:snapToGrid w:val="0"/>
      <w:jc w:val="center"/>
    </w:pPr>
    <w:rPr>
      <w:sz w:val="18"/>
      <w:szCs w:val="18"/>
    </w:rPr>
  </w:style>
  <w:style w:type="paragraph" w:styleId="25">
    <w:name w:val="toc 1"/>
    <w:basedOn w:val="1"/>
    <w:next w:val="1"/>
    <w:autoRedefine/>
    <w:qFormat/>
    <w:uiPriority w:val="39"/>
  </w:style>
  <w:style w:type="paragraph" w:styleId="26">
    <w:name w:val="Subtitle"/>
    <w:basedOn w:val="1"/>
    <w:next w:val="1"/>
    <w:autoRedefine/>
    <w:qFormat/>
    <w:uiPriority w:val="0"/>
    <w:pPr>
      <w:numPr>
        <w:ilvl w:val="0"/>
        <w:numId w:val="3"/>
      </w:numPr>
      <w:spacing w:line="360" w:lineRule="auto"/>
      <w:jc w:val="left"/>
      <w:outlineLvl w:val="1"/>
    </w:pPr>
    <w:rPr>
      <w:rFonts w:ascii="Calibri Light" w:hAnsi="Calibri Light" w:cs="Times New Roman"/>
      <w:bCs/>
      <w:kern w:val="28"/>
      <w:szCs w:val="32"/>
    </w:rPr>
  </w:style>
  <w:style w:type="paragraph" w:styleId="27">
    <w:name w:val="List"/>
    <w:basedOn w:val="1"/>
    <w:autoRedefine/>
    <w:qFormat/>
    <w:uiPriority w:val="0"/>
    <w:pPr>
      <w:widowControl w:val="0"/>
      <w:spacing w:line="240" w:lineRule="auto"/>
      <w:ind w:left="420" w:hanging="420"/>
      <w:textAlignment w:val="auto"/>
    </w:pPr>
    <w:rPr>
      <w:rFonts w:ascii="Arial" w:hAnsi="Arial" w:eastAsia="楷体_GB2312"/>
      <w:color w:val="auto"/>
      <w:kern w:val="2"/>
      <w:sz w:val="28"/>
      <w:u w:val="none" w:color="auto"/>
    </w:rPr>
  </w:style>
  <w:style w:type="paragraph" w:styleId="28">
    <w:name w:val="toc 2"/>
    <w:basedOn w:val="1"/>
    <w:next w:val="1"/>
    <w:qFormat/>
    <w:uiPriority w:val="39"/>
    <w:pPr>
      <w:ind w:left="200" w:leftChars="200"/>
    </w:pPr>
  </w:style>
  <w:style w:type="paragraph" w:styleId="29">
    <w:name w:val="Normal (Web)"/>
    <w:basedOn w:val="1"/>
    <w:next w:val="30"/>
    <w:autoRedefine/>
    <w:qFormat/>
    <w:uiPriority w:val="0"/>
    <w:pPr>
      <w:widowControl/>
      <w:spacing w:before="100" w:beforeAutospacing="1" w:after="100" w:afterAutospacing="1"/>
      <w:jc w:val="left"/>
    </w:pPr>
    <w:rPr>
      <w:rFonts w:ascii="宋体" w:hAnsi="宋体" w:cs="宋体"/>
      <w:kern w:val="0"/>
      <w:sz w:val="24"/>
    </w:rPr>
  </w:style>
  <w:style w:type="paragraph" w:customStyle="1" w:styleId="30">
    <w:name w:val="正文文字 8"/>
    <w:basedOn w:val="1"/>
    <w:next w:val="1"/>
    <w:autoRedefine/>
    <w:qFormat/>
    <w:uiPriority w:val="0"/>
    <w:pPr>
      <w:ind w:left="240"/>
    </w:pPr>
    <w:rPr>
      <w:sz w:val="16"/>
    </w:rPr>
  </w:style>
  <w:style w:type="paragraph" w:styleId="31">
    <w:name w:val="index 1"/>
    <w:basedOn w:val="1"/>
    <w:next w:val="1"/>
    <w:autoRedefine/>
    <w:qFormat/>
    <w:uiPriority w:val="0"/>
    <w:pPr>
      <w:jc w:val="center"/>
    </w:pPr>
    <w:rPr>
      <w:rFonts w:ascii="Arial" w:hAnsi="Arial" w:eastAsia="Arial" w:cs="Arial"/>
      <w:b/>
      <w:bCs/>
      <w:sz w:val="28"/>
    </w:rPr>
  </w:style>
  <w:style w:type="paragraph" w:styleId="32">
    <w:name w:val="Title"/>
    <w:basedOn w:val="1"/>
    <w:next w:val="1"/>
    <w:qFormat/>
    <w:uiPriority w:val="0"/>
    <w:pPr>
      <w:numPr>
        <w:ilvl w:val="0"/>
        <w:numId w:val="4"/>
      </w:numPr>
      <w:spacing w:line="360" w:lineRule="auto"/>
      <w:jc w:val="left"/>
      <w:outlineLvl w:val="0"/>
    </w:pPr>
    <w:rPr>
      <w:rFonts w:ascii="Cambria" w:hAnsi="Cambria" w:cs="Times New Roman"/>
      <w:b/>
      <w:bCs/>
      <w:sz w:val="28"/>
      <w:szCs w:val="32"/>
    </w:rPr>
  </w:style>
  <w:style w:type="paragraph" w:styleId="33">
    <w:name w:val="annotation subject"/>
    <w:basedOn w:val="15"/>
    <w:next w:val="15"/>
    <w:link w:val="66"/>
    <w:qFormat/>
    <w:uiPriority w:val="0"/>
    <w:rPr>
      <w:b/>
      <w:bCs/>
    </w:rPr>
  </w:style>
  <w:style w:type="paragraph" w:styleId="34">
    <w:name w:val="Body Text First Indent"/>
    <w:basedOn w:val="16"/>
    <w:unhideWhenUsed/>
    <w:qFormat/>
    <w:uiPriority w:val="99"/>
    <w:pPr>
      <w:ind w:firstLine="420" w:firstLineChars="100"/>
    </w:pPr>
  </w:style>
  <w:style w:type="table" w:styleId="36">
    <w:name w:val="Table Grid"/>
    <w:basedOn w:val="3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autoRedefine/>
    <w:qFormat/>
    <w:uiPriority w:val="0"/>
    <w:rPr>
      <w:b/>
    </w:rPr>
  </w:style>
  <w:style w:type="character" w:styleId="39">
    <w:name w:val="page number"/>
    <w:autoRedefine/>
    <w:qFormat/>
    <w:uiPriority w:val="0"/>
  </w:style>
  <w:style w:type="character" w:styleId="40">
    <w:name w:val="FollowedHyperlink"/>
    <w:autoRedefine/>
    <w:qFormat/>
    <w:uiPriority w:val="0"/>
    <w:rPr>
      <w:color w:val="333333"/>
      <w:u w:val="none"/>
    </w:rPr>
  </w:style>
  <w:style w:type="character" w:styleId="41">
    <w:name w:val="Emphasis"/>
    <w:qFormat/>
    <w:uiPriority w:val="20"/>
    <w:rPr>
      <w:i/>
      <w:iCs/>
    </w:rPr>
  </w:style>
  <w:style w:type="character" w:styleId="42">
    <w:name w:val="HTML Definition"/>
    <w:qFormat/>
    <w:uiPriority w:val="0"/>
  </w:style>
  <w:style w:type="character" w:styleId="43">
    <w:name w:val="HTML Typewriter"/>
    <w:autoRedefine/>
    <w:qFormat/>
    <w:uiPriority w:val="0"/>
    <w:rPr>
      <w:rFonts w:ascii="monospace" w:hAnsi="monospace" w:eastAsia="monospace" w:cs="monospace"/>
      <w:sz w:val="20"/>
    </w:rPr>
  </w:style>
  <w:style w:type="character" w:styleId="44">
    <w:name w:val="HTML Acronym"/>
    <w:autoRedefine/>
    <w:qFormat/>
    <w:uiPriority w:val="0"/>
  </w:style>
  <w:style w:type="character" w:styleId="45">
    <w:name w:val="HTML Variable"/>
    <w:qFormat/>
    <w:uiPriority w:val="0"/>
  </w:style>
  <w:style w:type="character" w:styleId="46">
    <w:name w:val="Hyperlink"/>
    <w:qFormat/>
    <w:uiPriority w:val="99"/>
    <w:rPr>
      <w:color w:val="333333"/>
      <w:u w:val="none"/>
    </w:rPr>
  </w:style>
  <w:style w:type="character" w:styleId="47">
    <w:name w:val="HTML Code"/>
    <w:autoRedefine/>
    <w:qFormat/>
    <w:uiPriority w:val="0"/>
    <w:rPr>
      <w:rFonts w:hint="default" w:ascii="monospace" w:hAnsi="monospace" w:eastAsia="monospace" w:cs="monospace"/>
      <w:sz w:val="20"/>
    </w:rPr>
  </w:style>
  <w:style w:type="character" w:styleId="48">
    <w:name w:val="annotation reference"/>
    <w:autoRedefine/>
    <w:qFormat/>
    <w:uiPriority w:val="0"/>
    <w:rPr>
      <w:sz w:val="21"/>
      <w:szCs w:val="21"/>
    </w:rPr>
  </w:style>
  <w:style w:type="character" w:styleId="49">
    <w:name w:val="HTML Cite"/>
    <w:autoRedefine/>
    <w:qFormat/>
    <w:uiPriority w:val="0"/>
  </w:style>
  <w:style w:type="character" w:styleId="50">
    <w:name w:val="HTML Keyboard"/>
    <w:qFormat/>
    <w:uiPriority w:val="0"/>
    <w:rPr>
      <w:rFonts w:hint="default" w:ascii="monospace" w:hAnsi="monospace" w:eastAsia="monospace" w:cs="monospace"/>
      <w:sz w:val="20"/>
    </w:rPr>
  </w:style>
  <w:style w:type="character" w:styleId="51">
    <w:name w:val="HTML Sample"/>
    <w:qFormat/>
    <w:uiPriority w:val="0"/>
    <w:rPr>
      <w:rFonts w:hint="default" w:ascii="monospace" w:hAnsi="monospace" w:eastAsia="monospace" w:cs="monospace"/>
    </w:rPr>
  </w:style>
  <w:style w:type="character" w:customStyle="1" w:styleId="52">
    <w:name w:val="正文文本缩进 字符"/>
    <w:link w:val="3"/>
    <w:autoRedefine/>
    <w:qFormat/>
    <w:uiPriority w:val="0"/>
    <w:rPr>
      <w:kern w:val="2"/>
      <w:sz w:val="21"/>
      <w:szCs w:val="24"/>
    </w:rPr>
  </w:style>
  <w:style w:type="character" w:customStyle="1" w:styleId="53">
    <w:name w:val="正文文本首行缩进 2 字符"/>
    <w:link w:val="2"/>
    <w:autoRedefine/>
    <w:qFormat/>
    <w:uiPriority w:val="0"/>
  </w:style>
  <w:style w:type="character" w:customStyle="1" w:styleId="54">
    <w:name w:val="标题 1 字符"/>
    <w:link w:val="6"/>
    <w:autoRedefine/>
    <w:qFormat/>
    <w:uiPriority w:val="0"/>
    <w:rPr>
      <w:b/>
      <w:bCs/>
      <w:kern w:val="44"/>
      <w:sz w:val="44"/>
      <w:szCs w:val="44"/>
    </w:rPr>
  </w:style>
  <w:style w:type="character" w:customStyle="1" w:styleId="55">
    <w:name w:val="标题 4 字符"/>
    <w:link w:val="9"/>
    <w:autoRedefine/>
    <w:qFormat/>
    <w:locked/>
    <w:uiPriority w:val="0"/>
    <w:rPr>
      <w:rFonts w:ascii="Arial" w:hAnsi="Arial" w:eastAsia="黑体"/>
      <w:b/>
      <w:bCs/>
      <w:color w:val="000000"/>
      <w:sz w:val="28"/>
      <w:szCs w:val="28"/>
      <w:u w:val="none" w:color="000000"/>
      <w:lang w:val="en-US" w:eastAsia="zh-CN" w:bidi="ar-SA"/>
    </w:rPr>
  </w:style>
  <w:style w:type="character" w:customStyle="1" w:styleId="56">
    <w:name w:val="标题 5 字符"/>
    <w:link w:val="10"/>
    <w:semiHidden/>
    <w:qFormat/>
    <w:uiPriority w:val="0"/>
    <w:rPr>
      <w:b/>
      <w:bCs/>
      <w:kern w:val="2"/>
      <w:sz w:val="28"/>
      <w:szCs w:val="28"/>
    </w:rPr>
  </w:style>
  <w:style w:type="character" w:customStyle="1" w:styleId="57">
    <w:name w:val="标题 6 字符"/>
    <w:link w:val="11"/>
    <w:semiHidden/>
    <w:qFormat/>
    <w:uiPriority w:val="0"/>
    <w:rPr>
      <w:rFonts w:ascii="Cambria" w:hAnsi="Cambria" w:eastAsia="宋体" w:cs="Times New Roman"/>
      <w:b/>
      <w:bCs/>
      <w:kern w:val="2"/>
      <w:sz w:val="24"/>
      <w:szCs w:val="24"/>
    </w:rPr>
  </w:style>
  <w:style w:type="character" w:customStyle="1" w:styleId="58">
    <w:name w:val="标题 7 字符"/>
    <w:link w:val="12"/>
    <w:semiHidden/>
    <w:qFormat/>
    <w:uiPriority w:val="0"/>
    <w:rPr>
      <w:b/>
      <w:bCs/>
      <w:kern w:val="2"/>
      <w:sz w:val="24"/>
      <w:szCs w:val="24"/>
    </w:rPr>
  </w:style>
  <w:style w:type="character" w:customStyle="1" w:styleId="59">
    <w:name w:val="批注文字 字符"/>
    <w:link w:val="15"/>
    <w:qFormat/>
    <w:uiPriority w:val="0"/>
    <w:rPr>
      <w:kern w:val="2"/>
      <w:sz w:val="21"/>
      <w:szCs w:val="24"/>
    </w:rPr>
  </w:style>
  <w:style w:type="character" w:customStyle="1" w:styleId="60">
    <w:name w:val="纯文本 字符"/>
    <w:link w:val="18"/>
    <w:qFormat/>
    <w:uiPriority w:val="99"/>
    <w:rPr>
      <w:rFonts w:ascii="宋体" w:eastAsia="宋体"/>
      <w:color w:val="000000"/>
      <w:kern w:val="2"/>
      <w:sz w:val="21"/>
      <w:u w:val="none" w:color="000000"/>
      <w:lang w:val="en-US" w:eastAsia="zh-CN" w:bidi="ar-SA"/>
    </w:rPr>
  </w:style>
  <w:style w:type="character" w:customStyle="1" w:styleId="61">
    <w:name w:val="日期 字符"/>
    <w:link w:val="19"/>
    <w:qFormat/>
    <w:uiPriority w:val="0"/>
    <w:rPr>
      <w:rFonts w:ascii="Arial" w:hAnsi="Arial" w:eastAsia="仿宋_GB2312"/>
      <w:color w:val="000000"/>
      <w:kern w:val="2"/>
      <w:sz w:val="32"/>
      <w:u w:val="none" w:color="000000"/>
    </w:rPr>
  </w:style>
  <w:style w:type="character" w:customStyle="1" w:styleId="62">
    <w:name w:val="正文文本缩进 2 字符"/>
    <w:link w:val="20"/>
    <w:autoRedefine/>
    <w:qFormat/>
    <w:uiPriority w:val="0"/>
    <w:rPr>
      <w:kern w:val="2"/>
      <w:sz w:val="21"/>
      <w:szCs w:val="24"/>
    </w:rPr>
  </w:style>
  <w:style w:type="character" w:customStyle="1" w:styleId="63">
    <w:name w:val="批注框文本 字符"/>
    <w:link w:val="22"/>
    <w:qFormat/>
    <w:uiPriority w:val="0"/>
    <w:rPr>
      <w:kern w:val="2"/>
      <w:sz w:val="18"/>
      <w:szCs w:val="18"/>
    </w:rPr>
  </w:style>
  <w:style w:type="character" w:customStyle="1" w:styleId="64">
    <w:name w:val="页脚 字符"/>
    <w:link w:val="23"/>
    <w:autoRedefine/>
    <w:qFormat/>
    <w:locked/>
    <w:uiPriority w:val="0"/>
    <w:rPr>
      <w:kern w:val="2"/>
      <w:sz w:val="18"/>
      <w:szCs w:val="18"/>
    </w:rPr>
  </w:style>
  <w:style w:type="character" w:customStyle="1" w:styleId="65">
    <w:name w:val="页眉 字符"/>
    <w:link w:val="24"/>
    <w:qFormat/>
    <w:locked/>
    <w:uiPriority w:val="0"/>
    <w:rPr>
      <w:kern w:val="2"/>
      <w:sz w:val="18"/>
      <w:szCs w:val="18"/>
    </w:rPr>
  </w:style>
  <w:style w:type="character" w:customStyle="1" w:styleId="66">
    <w:name w:val="批注主题 字符"/>
    <w:link w:val="33"/>
    <w:autoRedefine/>
    <w:qFormat/>
    <w:uiPriority w:val="0"/>
    <w:rPr>
      <w:b/>
      <w:bCs/>
      <w:kern w:val="2"/>
      <w:sz w:val="21"/>
      <w:szCs w:val="24"/>
    </w:rPr>
  </w:style>
  <w:style w:type="character" w:customStyle="1" w:styleId="67">
    <w:name w:val="font121"/>
    <w:autoRedefine/>
    <w:qFormat/>
    <w:uiPriority w:val="0"/>
    <w:rPr>
      <w:rFonts w:hint="eastAsia" w:ascii="宋体" w:hAnsi="宋体" w:eastAsia="宋体" w:cs="宋体"/>
      <w:color w:val="000000"/>
      <w:sz w:val="24"/>
      <w:szCs w:val="24"/>
      <w:u w:val="none"/>
    </w:rPr>
  </w:style>
  <w:style w:type="character" w:customStyle="1" w:styleId="68">
    <w:name w:val="font141"/>
    <w:qFormat/>
    <w:uiPriority w:val="0"/>
    <w:rPr>
      <w:rFonts w:ascii="Arial" w:hAnsi="Arial" w:cs="Arial"/>
      <w:color w:val="000000"/>
      <w:sz w:val="24"/>
      <w:szCs w:val="24"/>
      <w:u w:val="none"/>
    </w:rPr>
  </w:style>
  <w:style w:type="character" w:customStyle="1" w:styleId="69">
    <w:name w:val="_37aak"/>
    <w:autoRedefine/>
    <w:qFormat/>
    <w:uiPriority w:val="0"/>
  </w:style>
  <w:style w:type="character" w:customStyle="1" w:styleId="70">
    <w:name w:val="图表 Char"/>
    <w:link w:val="71"/>
    <w:qFormat/>
    <w:uiPriority w:val="0"/>
    <w:rPr>
      <w:kern w:val="2"/>
      <w:sz w:val="21"/>
      <w:szCs w:val="21"/>
    </w:rPr>
  </w:style>
  <w:style w:type="paragraph" w:customStyle="1" w:styleId="71">
    <w:name w:val="图表"/>
    <w:basedOn w:val="1"/>
    <w:next w:val="1"/>
    <w:link w:val="70"/>
    <w:autoRedefine/>
    <w:qFormat/>
    <w:uiPriority w:val="0"/>
    <w:pPr>
      <w:jc w:val="center"/>
    </w:pPr>
    <w:rPr>
      <w:szCs w:val="21"/>
    </w:rPr>
  </w:style>
  <w:style w:type="character" w:customStyle="1" w:styleId="72">
    <w:name w:val="font01"/>
    <w:qFormat/>
    <w:uiPriority w:val="0"/>
    <w:rPr>
      <w:rFonts w:hint="eastAsia" w:ascii="宋体" w:hAnsi="宋体" w:eastAsia="宋体" w:cs="宋体"/>
      <w:color w:val="000000"/>
      <w:sz w:val="22"/>
      <w:szCs w:val="22"/>
      <w:u w:val="none"/>
    </w:rPr>
  </w:style>
  <w:style w:type="character" w:customStyle="1" w:styleId="73">
    <w:name w:val="hover4"/>
    <w:autoRedefine/>
    <w:qFormat/>
    <w:uiPriority w:val="0"/>
    <w:rPr>
      <w:color w:val="2590EB"/>
      <w:shd w:val="clear" w:color="auto" w:fill="E9F4FD"/>
    </w:rPr>
  </w:style>
  <w:style w:type="character" w:customStyle="1" w:styleId="74">
    <w:name w:val="font101"/>
    <w:qFormat/>
    <w:uiPriority w:val="0"/>
    <w:rPr>
      <w:rFonts w:hint="eastAsia" w:ascii="宋体" w:hAnsi="宋体" w:eastAsia="宋体" w:cs="宋体"/>
      <w:color w:val="000000"/>
      <w:sz w:val="18"/>
      <w:szCs w:val="18"/>
      <w:u w:val="none"/>
    </w:rPr>
  </w:style>
  <w:style w:type="character" w:customStyle="1" w:styleId="75">
    <w:name w:val="font161"/>
    <w:qFormat/>
    <w:uiPriority w:val="0"/>
    <w:rPr>
      <w:rFonts w:hint="eastAsia" w:ascii="宋体" w:hAnsi="宋体" w:eastAsia="宋体" w:cs="宋体"/>
      <w:b/>
      <w:bCs/>
      <w:color w:val="333333"/>
      <w:sz w:val="27"/>
      <w:szCs w:val="27"/>
      <w:u w:val="none"/>
    </w:rPr>
  </w:style>
  <w:style w:type="character" w:customStyle="1" w:styleId="76">
    <w:name w:val="first-child"/>
    <w:qFormat/>
    <w:uiPriority w:val="0"/>
  </w:style>
  <w:style w:type="character" w:customStyle="1" w:styleId="77">
    <w:name w:val="【正文】 Char"/>
    <w:link w:val="78"/>
    <w:qFormat/>
    <w:uiPriority w:val="0"/>
    <w:rPr>
      <w:rFonts w:cs="DokChampa"/>
      <w:kern w:val="2"/>
      <w:sz w:val="24"/>
      <w:szCs w:val="22"/>
    </w:rPr>
  </w:style>
  <w:style w:type="paragraph" w:customStyle="1" w:styleId="78">
    <w:name w:val="【正文】"/>
    <w:basedOn w:val="1"/>
    <w:link w:val="77"/>
    <w:autoRedefine/>
    <w:qFormat/>
    <w:uiPriority w:val="0"/>
    <w:pPr>
      <w:spacing w:line="360" w:lineRule="auto"/>
      <w:ind w:firstLine="480" w:firstLineChars="200"/>
    </w:pPr>
    <w:rPr>
      <w:sz w:val="24"/>
      <w:szCs w:val="22"/>
    </w:rPr>
  </w:style>
  <w:style w:type="character" w:customStyle="1" w:styleId="79">
    <w:name w:val="font131"/>
    <w:qFormat/>
    <w:uiPriority w:val="0"/>
    <w:rPr>
      <w:rFonts w:ascii="仿宋" w:hAnsi="仿宋" w:eastAsia="仿宋" w:cs="仿宋"/>
      <w:color w:val="000000"/>
      <w:sz w:val="24"/>
      <w:szCs w:val="24"/>
      <w:u w:val="none"/>
    </w:rPr>
  </w:style>
  <w:style w:type="character" w:customStyle="1" w:styleId="80">
    <w:name w:val="font181"/>
    <w:qFormat/>
    <w:uiPriority w:val="0"/>
    <w:rPr>
      <w:rFonts w:hint="eastAsia" w:ascii="宋体" w:hAnsi="宋体" w:eastAsia="宋体" w:cs="宋体"/>
      <w:color w:val="1A66B3"/>
      <w:sz w:val="18"/>
      <w:szCs w:val="18"/>
      <w:u w:val="none"/>
    </w:rPr>
  </w:style>
  <w:style w:type="character" w:customStyle="1" w:styleId="81">
    <w:name w:val="hover3"/>
    <w:qFormat/>
    <w:uiPriority w:val="0"/>
  </w:style>
  <w:style w:type="character" w:customStyle="1" w:styleId="82">
    <w:name w:val="font112"/>
    <w:autoRedefine/>
    <w:qFormat/>
    <w:uiPriority w:val="0"/>
    <w:rPr>
      <w:rFonts w:ascii="Verdana" w:hAnsi="Verdana" w:cs="Verdana"/>
      <w:color w:val="000000"/>
      <w:sz w:val="18"/>
      <w:szCs w:val="18"/>
      <w:u w:val="none"/>
    </w:rPr>
  </w:style>
  <w:style w:type="character" w:customStyle="1" w:styleId="83">
    <w:name w:val="font81"/>
    <w:qFormat/>
    <w:uiPriority w:val="0"/>
    <w:rPr>
      <w:rFonts w:hint="default" w:ascii="Verdana" w:hAnsi="Verdana" w:cs="Verdana"/>
      <w:color w:val="000000"/>
      <w:sz w:val="18"/>
      <w:szCs w:val="18"/>
      <w:u w:val="none"/>
    </w:rPr>
  </w:style>
  <w:style w:type="character" w:customStyle="1" w:styleId="84">
    <w:name w:val="hover"/>
    <w:qFormat/>
    <w:uiPriority w:val="0"/>
    <w:rPr>
      <w:color w:val="2590EB"/>
      <w:shd w:val="clear" w:color="auto" w:fill="E9F4FD"/>
    </w:rPr>
  </w:style>
  <w:style w:type="character" w:customStyle="1" w:styleId="85">
    <w:name w:val="font41"/>
    <w:autoRedefine/>
    <w:qFormat/>
    <w:uiPriority w:val="0"/>
    <w:rPr>
      <w:rFonts w:hint="eastAsia" w:ascii="宋体" w:hAnsi="宋体" w:eastAsia="宋体" w:cs="宋体"/>
      <w:color w:val="000000"/>
      <w:sz w:val="22"/>
      <w:szCs w:val="22"/>
      <w:u w:val="none"/>
    </w:rPr>
  </w:style>
  <w:style w:type="character" w:customStyle="1" w:styleId="86">
    <w:name w:val="hover2"/>
    <w:qFormat/>
    <w:uiPriority w:val="0"/>
    <w:rPr>
      <w:color w:val="2590EB"/>
    </w:rPr>
  </w:style>
  <w:style w:type="character" w:customStyle="1" w:styleId="87">
    <w:name w:val="hover1"/>
    <w:qFormat/>
    <w:uiPriority w:val="0"/>
    <w:rPr>
      <w:color w:val="2590EB"/>
    </w:rPr>
  </w:style>
  <w:style w:type="character" w:customStyle="1" w:styleId="88">
    <w:name w:val="first-child1"/>
    <w:autoRedefine/>
    <w:qFormat/>
    <w:uiPriority w:val="0"/>
  </w:style>
  <w:style w:type="character" w:customStyle="1" w:styleId="89">
    <w:name w:val="selected"/>
    <w:qFormat/>
    <w:uiPriority w:val="0"/>
    <w:rPr>
      <w:shd w:val="clear" w:color="auto" w:fill="B00006"/>
    </w:rPr>
  </w:style>
  <w:style w:type="character" w:customStyle="1" w:styleId="90">
    <w:name w:val="gpa"/>
    <w:autoRedefine/>
    <w:qFormat/>
    <w:uiPriority w:val="0"/>
    <w:rPr>
      <w:rFonts w:ascii="Arial" w:hAnsi="Arial" w:cs="Arial"/>
      <w:sz w:val="15"/>
      <w:szCs w:val="15"/>
    </w:rPr>
  </w:style>
  <w:style w:type="character" w:customStyle="1" w:styleId="91">
    <w:name w:val="apple-converted-space"/>
    <w:qFormat/>
    <w:uiPriority w:val="0"/>
  </w:style>
  <w:style w:type="character" w:customStyle="1" w:styleId="92">
    <w:name w:val="列出段落 Char"/>
    <w:link w:val="93"/>
    <w:autoRedefine/>
    <w:qFormat/>
    <w:locked/>
    <w:uiPriority w:val="0"/>
    <w:rPr>
      <w:rFonts w:ascii="Calibri" w:hAnsi="Calibri" w:eastAsia="宋体"/>
      <w:kern w:val="2"/>
      <w:sz w:val="21"/>
      <w:szCs w:val="22"/>
      <w:lang w:val="en-US" w:eastAsia="zh-CN" w:bidi="ar-SA"/>
    </w:rPr>
  </w:style>
  <w:style w:type="paragraph" w:customStyle="1" w:styleId="93">
    <w:name w:val="List Paragraph1"/>
    <w:basedOn w:val="1"/>
    <w:link w:val="92"/>
    <w:qFormat/>
    <w:uiPriority w:val="0"/>
    <w:pPr>
      <w:spacing w:line="312" w:lineRule="auto"/>
      <w:ind w:firstLine="420" w:firstLineChars="200"/>
    </w:pPr>
    <w:rPr>
      <w:rFonts w:ascii="Calibri" w:hAnsi="Calibri"/>
      <w:szCs w:val="22"/>
    </w:rPr>
  </w:style>
  <w:style w:type="character" w:customStyle="1" w:styleId="94">
    <w:name w:val="displayarti"/>
    <w:qFormat/>
    <w:uiPriority w:val="0"/>
    <w:rPr>
      <w:color w:val="FFFFFF"/>
      <w:shd w:val="clear" w:color="auto" w:fill="A00000"/>
    </w:rPr>
  </w:style>
  <w:style w:type="character" w:customStyle="1" w:styleId="95">
    <w:name w:val="正文首行缩进 2 Char1"/>
    <w:autoRedefine/>
    <w:qFormat/>
    <w:uiPriority w:val="0"/>
  </w:style>
  <w:style w:type="character" w:customStyle="1" w:styleId="96">
    <w:name w:val="layui-this"/>
    <w:autoRedefine/>
    <w:qFormat/>
    <w:uiPriority w:val="0"/>
    <w:rPr>
      <w:bdr w:val="single" w:color="EEEEEE" w:sz="6" w:space="0"/>
      <w:shd w:val="clear" w:color="auto" w:fill="FFFFFF"/>
    </w:rPr>
  </w:style>
  <w:style w:type="character" w:customStyle="1" w:styleId="97">
    <w:name w:val="font151"/>
    <w:autoRedefine/>
    <w:qFormat/>
    <w:uiPriority w:val="0"/>
    <w:rPr>
      <w:rFonts w:hint="default" w:ascii="Verdana" w:hAnsi="Verdana" w:cs="Verdana"/>
      <w:b/>
      <w:bCs/>
      <w:color w:val="333333"/>
      <w:sz w:val="27"/>
      <w:szCs w:val="27"/>
      <w:u w:val="none"/>
    </w:rPr>
  </w:style>
  <w:style w:type="character" w:customStyle="1" w:styleId="98">
    <w:name w:val="font171"/>
    <w:autoRedefine/>
    <w:qFormat/>
    <w:uiPriority w:val="0"/>
    <w:rPr>
      <w:rFonts w:hint="eastAsia" w:ascii="宋体" w:hAnsi="宋体" w:eastAsia="宋体" w:cs="宋体"/>
      <w:color w:val="646464"/>
      <w:sz w:val="18"/>
      <w:szCs w:val="18"/>
      <w:u w:val="none"/>
    </w:rPr>
  </w:style>
  <w:style w:type="character" w:customStyle="1" w:styleId="99">
    <w:name w:val="hover7"/>
    <w:autoRedefine/>
    <w:qFormat/>
    <w:uiPriority w:val="0"/>
    <w:rPr>
      <w:color w:val="315EFB"/>
    </w:rPr>
  </w:style>
  <w:style w:type="paragraph" w:customStyle="1" w:styleId="100">
    <w:name w:val="列表2"/>
    <w:basedOn w:val="1"/>
    <w:next w:val="1"/>
    <w:qFormat/>
    <w:uiPriority w:val="0"/>
    <w:pPr>
      <w:numPr>
        <w:ilvl w:val="0"/>
        <w:numId w:val="5"/>
      </w:numPr>
      <w:spacing w:line="200" w:lineRule="atLeast"/>
    </w:pPr>
    <w:rPr>
      <w:rFonts w:eastAsia="仿宋"/>
      <w:sz w:val="28"/>
    </w:rPr>
  </w:style>
  <w:style w:type="paragraph" w:customStyle="1" w:styleId="101">
    <w:name w:val="text-tag1"/>
    <w:basedOn w:val="1"/>
    <w:qFormat/>
    <w:uiPriority w:val="0"/>
    <w:pPr>
      <w:widowControl/>
      <w:spacing w:before="100" w:beforeAutospacing="1" w:after="100" w:afterAutospacing="1"/>
      <w:jc w:val="left"/>
    </w:pPr>
    <w:rPr>
      <w:rFonts w:ascii="宋体" w:hAnsi="宋体" w:eastAsia="宋体" w:cs="宋体"/>
      <w:kern w:val="0"/>
      <w:sz w:val="24"/>
    </w:rPr>
  </w:style>
  <w:style w:type="paragraph" w:customStyle="1" w:styleId="102">
    <w:name w:val="标题4"/>
    <w:basedOn w:val="1"/>
    <w:qFormat/>
    <w:uiPriority w:val="0"/>
    <w:pPr>
      <w:numPr>
        <w:ilvl w:val="0"/>
        <w:numId w:val="6"/>
      </w:numPr>
      <w:spacing w:line="360" w:lineRule="auto"/>
      <w:ind w:left="720" w:leftChars="300"/>
      <w:jc w:val="left"/>
    </w:pPr>
    <w:rPr>
      <w:rFonts w:ascii="宋体" w:hAnsi="宋体" w:cs="Times New Roman"/>
      <w:sz w:val="18"/>
      <w:szCs w:val="18"/>
    </w:rPr>
  </w:style>
  <w:style w:type="paragraph" w:customStyle="1" w:styleId="103">
    <w:name w:val="Char"/>
    <w:basedOn w:val="1"/>
    <w:next w:val="1"/>
    <w:autoRedefine/>
    <w:qFormat/>
    <w:uiPriority w:val="0"/>
    <w:pPr>
      <w:widowControl/>
      <w:spacing w:line="360" w:lineRule="auto"/>
      <w:jc w:val="left"/>
    </w:pPr>
    <w:rPr>
      <w:kern w:val="0"/>
      <w:szCs w:val="20"/>
      <w:lang w:eastAsia="en-US"/>
    </w:rPr>
  </w:style>
  <w:style w:type="paragraph" w:customStyle="1" w:styleId="104">
    <w:name w:val="样式1"/>
    <w:basedOn w:val="1"/>
    <w:qFormat/>
    <w:uiPriority w:val="0"/>
    <w:pPr>
      <w:spacing w:line="360" w:lineRule="auto"/>
      <w:jc w:val="center"/>
    </w:pPr>
    <w:rPr>
      <w:rFonts w:ascii="Times New Roman" w:hAnsi="Times New Roman" w:cs="Times New Roman"/>
      <w:b/>
      <w:sz w:val="30"/>
      <w:szCs w:val="30"/>
    </w:rPr>
  </w:style>
  <w:style w:type="paragraph" w:customStyle="1" w:styleId="105">
    <w:name w:val=" Char Char Char Char"/>
    <w:basedOn w:val="1"/>
    <w:qFormat/>
    <w:uiPriority w:val="0"/>
    <w:rPr>
      <w:rFonts w:ascii="Tahoma" w:hAnsi="Tahoma"/>
      <w:sz w:val="24"/>
      <w:szCs w:val="20"/>
    </w:rPr>
  </w:style>
  <w:style w:type="paragraph" w:customStyle="1" w:styleId="106">
    <w:name w:val="_Style 4"/>
    <w:basedOn w:val="1"/>
    <w:qFormat/>
    <w:uiPriority w:val="34"/>
    <w:pPr>
      <w:adjustRightInd w:val="0"/>
      <w:ind w:firstLine="420" w:firstLineChars="200"/>
      <w:jc w:val="left"/>
      <w:textAlignment w:val="baseline"/>
    </w:pPr>
    <w:rPr>
      <w:kern w:val="0"/>
      <w:szCs w:val="20"/>
    </w:rPr>
  </w:style>
  <w:style w:type="paragraph" w:customStyle="1" w:styleId="107">
    <w:name w:val="列出段落2"/>
    <w:basedOn w:val="1"/>
    <w:autoRedefine/>
    <w:qFormat/>
    <w:uiPriority w:val="0"/>
    <w:pPr>
      <w:ind w:firstLine="420" w:firstLineChars="200"/>
    </w:pPr>
    <w:rPr>
      <w:rFonts w:ascii="Calibri" w:hAnsi="Calibri"/>
      <w:szCs w:val="22"/>
    </w:rPr>
  </w:style>
  <w:style w:type="paragraph" w:customStyle="1" w:styleId="108">
    <w:name w:val="列出段落11"/>
    <w:basedOn w:val="1"/>
    <w:qFormat/>
    <w:uiPriority w:val="0"/>
    <w:pPr>
      <w:spacing w:after="120" w:line="360" w:lineRule="auto"/>
      <w:ind w:firstLine="420" w:firstLineChars="200"/>
    </w:pPr>
    <w:rPr>
      <w:rFonts w:ascii="Calibri" w:hAnsi="Calibri"/>
      <w:szCs w:val="22"/>
    </w:rPr>
  </w:style>
  <w:style w:type="paragraph" w:customStyle="1" w:styleId="109">
    <w:name w:val="xl25"/>
    <w:basedOn w:val="1"/>
    <w:autoRedefine/>
    <w:qFormat/>
    <w:uiPriority w:val="0"/>
    <w:pPr>
      <w:widowControl/>
      <w:spacing w:before="100" w:beforeAutospacing="1" w:after="100" w:afterAutospacing="1"/>
      <w:jc w:val="right"/>
    </w:pPr>
    <w:rPr>
      <w:rFonts w:ascii="Arial Unicode MS" w:hAnsi="Arial Unicode MS" w:eastAsia="宋体" w:cs="Arial Unicode MS"/>
      <w:color w:val="000000"/>
      <w:kern w:val="0"/>
      <w:sz w:val="18"/>
      <w:szCs w:val="18"/>
    </w:rPr>
  </w:style>
  <w:style w:type="paragraph" w:customStyle="1" w:styleId="110">
    <w:name w:val="_Style 108"/>
    <w:unhideWhenUsed/>
    <w:qFormat/>
    <w:uiPriority w:val="99"/>
    <w:rPr>
      <w:rFonts w:ascii="Times New Roman" w:hAnsi="Times New Roman" w:eastAsia="宋体" w:cs="Times New Roman"/>
      <w:kern w:val="2"/>
      <w:sz w:val="21"/>
      <w:szCs w:val="24"/>
      <w:lang w:val="en-US" w:eastAsia="zh-CN" w:bidi="ar-SA"/>
    </w:rPr>
  </w:style>
  <w:style w:type="paragraph" w:customStyle="1" w:styleId="111">
    <w:name w:val="Table Paragraph"/>
    <w:basedOn w:val="1"/>
    <w:autoRedefine/>
    <w:qFormat/>
    <w:uiPriority w:val="1"/>
    <w:rPr>
      <w:rFonts w:ascii="宋体" w:hAnsi="宋体" w:eastAsia="宋体" w:cs="宋体"/>
      <w:lang w:val="zh-CN" w:eastAsia="zh-CN" w:bidi="zh-CN"/>
    </w:rPr>
  </w:style>
  <w:style w:type="paragraph" w:customStyle="1" w:styleId="112">
    <w:name w:val="D&amp;L"/>
    <w:basedOn w:val="24"/>
    <w:qFormat/>
    <w:uiPriority w:val="0"/>
    <w:pPr>
      <w:pBdr>
        <w:bottom w:val="thinThickSmallGap" w:color="auto" w:sz="18" w:space="1"/>
      </w:pBdr>
      <w:adjustRightInd w:val="0"/>
      <w:snapToGrid/>
      <w:spacing w:line="240" w:lineRule="atLeast"/>
      <w:textAlignment w:val="baseline"/>
    </w:pPr>
    <w:rPr>
      <w:kern w:val="0"/>
      <w:sz w:val="24"/>
      <w:szCs w:val="20"/>
    </w:rPr>
  </w:style>
  <w:style w:type="paragraph" w:customStyle="1" w:styleId="113">
    <w:name w:val="列出段落1"/>
    <w:basedOn w:val="1"/>
    <w:qFormat/>
    <w:uiPriority w:val="34"/>
    <w:pPr>
      <w:ind w:firstLine="420" w:firstLineChars="200"/>
    </w:pPr>
  </w:style>
  <w:style w:type="paragraph" w:customStyle="1" w:styleId="114">
    <w:name w:val="Char Char Char Char Char Char Char1 Char"/>
    <w:basedOn w:val="1"/>
    <w:qFormat/>
    <w:uiPriority w:val="0"/>
    <w:rPr>
      <w:rFonts w:ascii="Tahoma" w:hAnsi="Tahoma"/>
      <w:sz w:val="24"/>
      <w:szCs w:val="20"/>
    </w:rPr>
  </w:style>
  <w:style w:type="paragraph" w:styleId="115">
    <w:name w:val="List Paragraph"/>
    <w:basedOn w:val="1"/>
    <w:qFormat/>
    <w:uiPriority w:val="0"/>
    <w:pPr>
      <w:spacing w:line="360" w:lineRule="auto"/>
      <w:ind w:firstLine="420" w:firstLineChars="200"/>
    </w:pPr>
    <w:rPr>
      <w:rFonts w:ascii="宋体" w:hAnsi="宋体" w:cs="宋体"/>
      <w:sz w:val="24"/>
    </w:rPr>
  </w:style>
  <w:style w:type="paragraph" w:customStyle="1" w:styleId="116">
    <w:name w:val="List Paragraph2"/>
    <w:basedOn w:val="1"/>
    <w:autoRedefine/>
    <w:qFormat/>
    <w:uiPriority w:val="0"/>
    <w:pPr>
      <w:spacing w:line="360" w:lineRule="auto"/>
      <w:ind w:firstLine="420"/>
    </w:pPr>
    <w:rPr>
      <w:color w:val="000000"/>
      <w:sz w:val="24"/>
      <w:szCs w:val="21"/>
    </w:rPr>
  </w:style>
  <w:style w:type="paragraph" w:customStyle="1" w:styleId="117">
    <w:name w:val="（无样式）"/>
    <w:basedOn w:val="1"/>
    <w:qFormat/>
    <w:uiPriority w:val="0"/>
    <w:pPr>
      <w:widowControl/>
      <w:numPr>
        <w:ilvl w:val="0"/>
        <w:numId w:val="7"/>
      </w:numPr>
      <w:spacing w:line="360" w:lineRule="auto"/>
      <w:ind w:firstLine="0"/>
    </w:pPr>
    <w:rPr>
      <w:sz w:val="24"/>
      <w:szCs w:val="20"/>
    </w:rPr>
  </w:style>
  <w:style w:type="paragraph" w:customStyle="1" w:styleId="118">
    <w:name w:val="正文 New"/>
    <w:autoRedefine/>
    <w:qFormat/>
    <w:uiPriority w:val="0"/>
    <w:pPr>
      <w:widowControl w:val="0"/>
      <w:spacing w:line="440" w:lineRule="exact"/>
      <w:ind w:left="357" w:hanging="357"/>
      <w:jc w:val="both"/>
    </w:pPr>
    <w:rPr>
      <w:rFonts w:ascii="Calibri" w:hAnsi="Calibri" w:eastAsia="宋体" w:cs="Times New Roman"/>
      <w:kern w:val="2"/>
      <w:sz w:val="21"/>
      <w:szCs w:val="22"/>
      <w:lang w:val="en-US" w:eastAsia="zh-CN" w:bidi="ar-SA"/>
    </w:rPr>
  </w:style>
  <w:style w:type="paragraph" w:customStyle="1" w:styleId="119">
    <w:name w:val="标题3-副本"/>
    <w:basedOn w:val="26"/>
    <w:qFormat/>
    <w:uiPriority w:val="0"/>
    <w:pPr>
      <w:numPr>
        <w:ilvl w:val="0"/>
        <w:numId w:val="0"/>
      </w:numPr>
      <w:ind w:left="840"/>
    </w:pPr>
  </w:style>
  <w:style w:type="paragraph" w:customStyle="1" w:styleId="120">
    <w:name w:val="节标题"/>
    <w:basedOn w:val="1"/>
    <w:next w:val="1"/>
    <w:autoRedefine/>
    <w:qFormat/>
    <w:uiPriority w:val="0"/>
    <w:pPr>
      <w:widowControl/>
      <w:spacing w:line="289" w:lineRule="atLeast"/>
      <w:jc w:val="center"/>
      <w:textAlignment w:val="baseline"/>
    </w:pPr>
    <w:rPr>
      <w:color w:val="000000"/>
      <w:kern w:val="0"/>
      <w:sz w:val="28"/>
      <w:szCs w:val="20"/>
      <w:u w:val="none" w:color="000000"/>
    </w:rPr>
  </w:style>
  <w:style w:type="paragraph" w:customStyle="1" w:styleId="121">
    <w:name w:val="_Style 2"/>
    <w:basedOn w:val="1"/>
    <w:qFormat/>
    <w:uiPriority w:val="0"/>
  </w:style>
  <w:style w:type="paragraph" w:customStyle="1" w:styleId="122">
    <w:name w:val="p0"/>
    <w:basedOn w:val="1"/>
    <w:autoRedefine/>
    <w:qFormat/>
    <w:uiPriority w:val="0"/>
    <w:pPr>
      <w:widowControl/>
      <w:spacing w:line="365" w:lineRule="atLeast"/>
      <w:ind w:left="1"/>
      <w:textAlignment w:val="bottom"/>
    </w:pPr>
    <w:rPr>
      <w:rFonts w:ascii="Calibri" w:hAnsi="Calibri"/>
      <w:kern w:val="0"/>
      <w:sz w:val="20"/>
      <w:szCs w:val="22"/>
    </w:rPr>
  </w:style>
  <w:style w:type="paragraph" w:customStyle="1" w:styleId="123">
    <w:name w:val="xl31"/>
    <w:basedOn w:val="1"/>
    <w:qFormat/>
    <w:uiPriority w:val="0"/>
    <w:pPr>
      <w:widowControl/>
      <w:spacing w:before="100" w:beforeAutospacing="1" w:after="100" w:afterAutospacing="1"/>
      <w:jc w:val="center"/>
    </w:pPr>
    <w:rPr>
      <w:b/>
      <w:bCs/>
      <w:kern w:val="0"/>
      <w:sz w:val="28"/>
      <w:szCs w:val="28"/>
    </w:rPr>
  </w:style>
  <w:style w:type="paragraph" w:customStyle="1" w:styleId="124">
    <w:name w:val=" Char"/>
    <w:basedOn w:val="1"/>
    <w:autoRedefine/>
    <w:qFormat/>
    <w:uiPriority w:val="0"/>
  </w:style>
  <w:style w:type="paragraph" w:customStyle="1" w:styleId="125">
    <w:name w:val="l正文"/>
    <w:autoRedefine/>
    <w:qFormat/>
    <w:uiPriority w:val="0"/>
    <w:pPr>
      <w:widowControl w:val="0"/>
      <w:spacing w:line="300" w:lineRule="auto"/>
      <w:ind w:firstLine="200" w:firstLineChars="200"/>
      <w:jc w:val="both"/>
    </w:pPr>
    <w:rPr>
      <w:rFonts w:ascii="楷体_GB2312" w:hAnsi="Times" w:eastAsia="楷体_GB2312" w:cs="Times New Roman"/>
      <w:kern w:val="2"/>
      <w:sz w:val="24"/>
      <w:szCs w:val="24"/>
      <w:lang w:val="en-US" w:eastAsia="zh-CN" w:bidi="ar-SA"/>
    </w:rPr>
  </w:style>
  <w:style w:type="table" w:customStyle="1" w:styleId="126">
    <w:name w:val="Table Normal"/>
    <w:autoRedefine/>
    <w:unhideWhenUsed/>
    <w:qFormat/>
    <w:uiPriority w:val="0"/>
    <w:rPr>
      <w:lang w:val="en-US" w:eastAsia="zh-CN" w:bidi="ar-SA"/>
    </w:rPr>
    <w:tblPr>
      <w:tblCellMar>
        <w:top w:w="0" w:type="dxa"/>
        <w:left w:w="0" w:type="dxa"/>
        <w:bottom w:w="0" w:type="dxa"/>
        <w:right w:w="0" w:type="dxa"/>
      </w:tblCellMar>
    </w:tblPr>
  </w:style>
  <w:style w:type="paragraph" w:customStyle="1" w:styleId="127">
    <w:name w:val="_Style 117"/>
    <w:basedOn w:val="1"/>
    <w:next w:val="1"/>
    <w:autoRedefine/>
    <w:qFormat/>
    <w:uiPriority w:val="0"/>
    <w:pPr>
      <w:pBdr>
        <w:bottom w:val="single" w:color="auto" w:sz="6" w:space="1"/>
      </w:pBdr>
      <w:jc w:val="center"/>
    </w:pPr>
    <w:rPr>
      <w:rFonts w:ascii="Arial" w:eastAsia="宋体"/>
      <w:vanish/>
      <w:sz w:val="16"/>
    </w:rPr>
  </w:style>
  <w:style w:type="paragraph" w:customStyle="1" w:styleId="128">
    <w:name w:val="_Style 118"/>
    <w:basedOn w:val="1"/>
    <w:next w:val="1"/>
    <w:autoRedefine/>
    <w:qFormat/>
    <w:uiPriority w:val="0"/>
    <w:pPr>
      <w:pBdr>
        <w:top w:val="single" w:color="auto" w:sz="6" w:space="1"/>
      </w:pBdr>
      <w:jc w:val="center"/>
    </w:pPr>
    <w:rPr>
      <w:rFonts w:ascii="Arial" w:eastAsia="宋体"/>
      <w:vanish/>
      <w:sz w:val="16"/>
    </w:rPr>
  </w:style>
  <w:style w:type="character" w:customStyle="1" w:styleId="129">
    <w:name w:val="num"/>
    <w:basedOn w:val="37"/>
    <w:autoRedefine/>
    <w:qFormat/>
    <w:uiPriority w:val="0"/>
    <w:rPr>
      <w:b/>
      <w:bCs/>
      <w:color w:val="FF7800"/>
    </w:rPr>
  </w:style>
  <w:style w:type="character" w:customStyle="1" w:styleId="130">
    <w:name w:val="a-desc"/>
    <w:basedOn w:val="37"/>
    <w:autoRedefine/>
    <w:qFormat/>
    <w:uiPriority w:val="0"/>
    <w:rPr>
      <w:color w:val="315EFB"/>
    </w:rPr>
  </w:style>
  <w:style w:type="character" w:customStyle="1" w:styleId="131">
    <w:name w:val="bg"/>
    <w:basedOn w:val="37"/>
    <w:autoRedefine/>
    <w:qFormat/>
    <w:uiPriority w:val="0"/>
    <w:rPr>
      <w:shd w:val="clear" w:color="auto" w:fill="000000"/>
    </w:rPr>
  </w:style>
  <w:style w:type="character" w:customStyle="1" w:styleId="132">
    <w:name w:val="bg1"/>
    <w:basedOn w:val="37"/>
    <w:qFormat/>
    <w:uiPriority w:val="0"/>
    <w:rPr>
      <w:shd w:val="clear" w:color="auto" w:fill="000000"/>
    </w:rPr>
  </w:style>
  <w:style w:type="character" w:customStyle="1" w:styleId="133">
    <w:name w:val="bg2"/>
    <w:basedOn w:val="37"/>
    <w:qFormat/>
    <w:uiPriority w:val="0"/>
    <w:rPr>
      <w:shd w:val="clear" w:color="auto" w:fill="000000"/>
    </w:rPr>
  </w:style>
  <w:style w:type="character" w:customStyle="1" w:styleId="134">
    <w:name w:val="iknow-qb-ad-sou-icon"/>
    <w:basedOn w:val="37"/>
    <w:autoRedefine/>
    <w:qFormat/>
    <w:uiPriority w:val="0"/>
  </w:style>
  <w:style w:type="character" w:customStyle="1" w:styleId="135">
    <w:name w:val="del-btn"/>
    <w:basedOn w:val="37"/>
    <w:autoRedefine/>
    <w:qFormat/>
    <w:uiPriority w:val="0"/>
  </w:style>
  <w:style w:type="character" w:customStyle="1" w:styleId="136">
    <w:name w:val="del-btn1"/>
    <w:basedOn w:val="37"/>
    <w:qFormat/>
    <w:uiPriority w:val="0"/>
  </w:style>
  <w:style w:type="character" w:customStyle="1" w:styleId="137">
    <w:name w:val="del-btn2"/>
    <w:basedOn w:val="37"/>
    <w:qFormat/>
    <w:uiPriority w:val="0"/>
  </w:style>
  <w:style w:type="character" w:customStyle="1" w:styleId="138">
    <w:name w:val="answer-title"/>
    <w:basedOn w:val="37"/>
    <w:qFormat/>
    <w:uiPriority w:val="0"/>
  </w:style>
  <w:style w:type="character" w:customStyle="1" w:styleId="139">
    <w:name w:val="new-icon2"/>
    <w:basedOn w:val="37"/>
    <w:qFormat/>
    <w:uiPriority w:val="0"/>
  </w:style>
  <w:style w:type="character" w:customStyle="1" w:styleId="140">
    <w:name w:val="new-icon3"/>
    <w:basedOn w:val="37"/>
    <w:qFormat/>
    <w:uiPriority w:val="0"/>
  </w:style>
  <w:style w:type="character" w:customStyle="1" w:styleId="141">
    <w:name w:val="green"/>
    <w:basedOn w:val="37"/>
    <w:qFormat/>
    <w:uiPriority w:val="0"/>
    <w:rPr>
      <w:color w:val="3B6FFF"/>
    </w:rPr>
  </w:style>
  <w:style w:type="character" w:customStyle="1" w:styleId="142">
    <w:name w:val="green1"/>
    <w:basedOn w:val="37"/>
    <w:autoRedefine/>
    <w:qFormat/>
    <w:uiPriority w:val="0"/>
    <w:rPr>
      <w:color w:val="3B6FFF"/>
    </w:rPr>
  </w:style>
  <w:style w:type="character" w:customStyle="1" w:styleId="143">
    <w:name w:val="green2"/>
    <w:basedOn w:val="37"/>
    <w:qFormat/>
    <w:uiPriority w:val="0"/>
    <w:rPr>
      <w:color w:val="4DC86F"/>
    </w:rPr>
  </w:style>
  <w:style w:type="character" w:customStyle="1" w:styleId="144">
    <w:name w:val="green3"/>
    <w:basedOn w:val="37"/>
    <w:qFormat/>
    <w:uiPriority w:val="0"/>
    <w:rPr>
      <w:color w:val="4DC86F"/>
    </w:rPr>
  </w:style>
  <w:style w:type="character" w:customStyle="1" w:styleId="145">
    <w:name w:val="answer-title2"/>
    <w:basedOn w:val="37"/>
    <w:qFormat/>
    <w:uiPriority w:val="0"/>
  </w:style>
  <w:style w:type="character" w:customStyle="1" w:styleId="146">
    <w:name w:val="new-icon"/>
    <w:basedOn w:val="37"/>
    <w:qFormat/>
    <w:uiPriority w:val="0"/>
  </w:style>
  <w:style w:type="character" w:customStyle="1" w:styleId="147">
    <w:name w:val="new-icon1"/>
    <w:basedOn w:val="37"/>
    <w:qFormat/>
    <w:uiPriority w:val="0"/>
  </w:style>
  <w:style w:type="paragraph" w:customStyle="1" w:styleId="148">
    <w:name w:val="Default"/>
    <w:autoRedefine/>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5" Type="http://schemas.openxmlformats.org/officeDocument/2006/relationships/fontTable" Target="fontTable.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29</Pages>
  <Words>14605</Words>
  <Characters>15463</Characters>
  <Lines>358</Lines>
  <Paragraphs>100</Paragraphs>
  <TotalTime>4</TotalTime>
  <ScaleCrop>false</ScaleCrop>
  <LinksUpToDate>false</LinksUpToDate>
  <CharactersWithSpaces>18322</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2023-07-11T11:05:00Z</dcterms:created>
  <dc:creator>pzf</dc:creator>
  <cp:lastModifiedBy>好奇害死汪</cp:lastModifiedBy>
  <cp:lastPrinted>2025-07-16T06:40:00Z</cp:lastPrinted>
  <dcterms:modified xsi:type="dcterms:W3CDTF">2025-07-17T00:10:29Z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D6FC8C5C7D434AC48DC4DDAA9C717C6B_13</vt:lpwstr>
  </property>
  <property fmtid="{D5CDD505-2E9C-101B-9397-08002B2CF9AE}" pid="4" name="KSOTemplateDocerSaveRecord">
    <vt:lpwstr>eyJoZGlkIjoiZWIyYTkxYWMwZmMyYTc0NDcxNzE0MGFlOTUzMjFjNjQiLCJ1c2VySWQiOiI1MjYzMTQ5MTEifQ==</vt:lpwstr>
  </property>
</Properties>
</file>