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A29EC6">
      <w:pPr>
        <w:rPr>
          <w:rFonts w:hint="eastAsia"/>
          <w:color w:val="auto"/>
          <w:highlight w:val="none"/>
        </w:rPr>
      </w:pPr>
      <w:bookmarkStart w:id="0" w:name="OLE_LINK1"/>
    </w:p>
    <w:p w14:paraId="305BCFE3">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default" w:eastAsia="宋体"/>
          <w:color w:val="auto"/>
          <w:sz w:val="20"/>
          <w:szCs w:val="22"/>
          <w:highlight w:val="none"/>
          <w:lang w:val="en-US" w:eastAsia="zh-CN"/>
        </w:rPr>
      </w:pPr>
      <w:r>
        <w:rPr>
          <w:rFonts w:hint="eastAsia" w:ascii="宋体" w:hAnsi="宋体" w:eastAsia="宋体" w:cs="宋体"/>
          <w:b/>
          <w:bCs/>
          <w:color w:val="auto"/>
          <w:w w:val="85"/>
          <w:sz w:val="40"/>
          <w:szCs w:val="40"/>
          <w:highlight w:val="none"/>
        </w:rPr>
        <w:t>滁州市城泊车辆服务有限公司公共停车场保洁服务项目</w:t>
      </w:r>
    </w:p>
    <w:p w14:paraId="0192484F">
      <w:pPr>
        <w:spacing w:after="156" w:afterLines="50"/>
        <w:ind w:left="-850" w:leftChars="-405" w:right="-625"/>
        <w:jc w:val="center"/>
        <w:rPr>
          <w:rFonts w:hint="eastAsia"/>
          <w:color w:val="auto"/>
          <w:sz w:val="24"/>
          <w:highlight w:val="none"/>
        </w:rPr>
      </w:pPr>
    </w:p>
    <w:p w14:paraId="4554A74B">
      <w:pPr>
        <w:rPr>
          <w:rFonts w:hint="eastAsia" w:ascii="宋体"/>
          <w:bCs/>
          <w:color w:val="auto"/>
          <w:szCs w:val="21"/>
          <w:highlight w:val="none"/>
        </w:rPr>
      </w:pPr>
    </w:p>
    <w:p w14:paraId="6A0CAD79">
      <w:pPr>
        <w:rPr>
          <w:rFonts w:hint="eastAsia" w:ascii="宋体"/>
          <w:bCs/>
          <w:color w:val="auto"/>
          <w:szCs w:val="21"/>
          <w:highlight w:val="none"/>
        </w:rPr>
      </w:pPr>
    </w:p>
    <w:p w14:paraId="30FCC357">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603F26A5">
      <w:pPr>
        <w:rPr>
          <w:rFonts w:hint="eastAsia" w:ascii="宋体" w:hAnsi="宋体"/>
          <w:b/>
          <w:color w:val="auto"/>
          <w:sz w:val="84"/>
          <w:szCs w:val="84"/>
          <w:highlight w:val="none"/>
        </w:rPr>
      </w:pPr>
    </w:p>
    <w:p w14:paraId="5C9195E6">
      <w:pPr>
        <w:pStyle w:val="2"/>
        <w:rPr>
          <w:rFonts w:hint="eastAsia"/>
          <w:color w:val="auto"/>
          <w:highlight w:val="none"/>
        </w:rPr>
      </w:pPr>
    </w:p>
    <w:p w14:paraId="00099B46">
      <w:pPr>
        <w:rPr>
          <w:rFonts w:hint="eastAsia"/>
          <w:color w:val="auto"/>
          <w:highlight w:val="none"/>
        </w:rPr>
      </w:pPr>
    </w:p>
    <w:p w14:paraId="317A3667">
      <w:pPr>
        <w:rPr>
          <w:rFonts w:hint="eastAsia" w:ascii="宋体"/>
          <w:color w:val="auto"/>
          <w:sz w:val="28"/>
          <w:szCs w:val="28"/>
          <w:highlight w:val="none"/>
        </w:rPr>
      </w:pPr>
    </w:p>
    <w:p w14:paraId="0C30CEF3">
      <w:pPr>
        <w:pStyle w:val="24"/>
        <w:rPr>
          <w:rFonts w:hint="eastAsia"/>
          <w:color w:val="auto"/>
          <w:highlight w:val="none"/>
        </w:rPr>
      </w:pPr>
    </w:p>
    <w:p w14:paraId="048E7BEF">
      <w:pPr>
        <w:rPr>
          <w:rFonts w:hint="eastAsia" w:ascii="宋体"/>
          <w:b/>
          <w:color w:val="auto"/>
          <w:sz w:val="32"/>
          <w:szCs w:val="32"/>
          <w:highlight w:val="none"/>
        </w:rPr>
      </w:pPr>
    </w:p>
    <w:p w14:paraId="0C8055EC">
      <w:pPr>
        <w:pStyle w:val="2"/>
        <w:rPr>
          <w:rFonts w:hint="eastAsia"/>
          <w:color w:val="auto"/>
          <w:highlight w:val="none"/>
        </w:rPr>
      </w:pPr>
    </w:p>
    <w:p w14:paraId="04026ADE">
      <w:pPr>
        <w:pStyle w:val="30"/>
        <w:rPr>
          <w:rFonts w:hint="eastAsia"/>
          <w:color w:val="auto"/>
          <w:highlight w:val="none"/>
        </w:rPr>
      </w:pPr>
    </w:p>
    <w:p w14:paraId="480B8852">
      <w:pPr>
        <w:pStyle w:val="30"/>
        <w:rPr>
          <w:rFonts w:hint="eastAsia"/>
          <w:color w:val="auto"/>
          <w:highlight w:val="none"/>
        </w:rPr>
      </w:pPr>
    </w:p>
    <w:p w14:paraId="7356602B">
      <w:pPr>
        <w:pStyle w:val="30"/>
        <w:rPr>
          <w:rFonts w:hint="eastAsia"/>
          <w:color w:val="auto"/>
          <w:highlight w:val="none"/>
        </w:rPr>
      </w:pPr>
    </w:p>
    <w:p w14:paraId="0FBB5683">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none"/>
          <w:lang w:eastAsia="zh-CN"/>
        </w:rPr>
        <w:t>：</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u w:val="single"/>
          <w:lang w:eastAsia="zh-CN"/>
        </w:rPr>
        <w:t>滁州市城泊车辆服务有限公司</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rPr>
        <w:t>（盖单位章）</w:t>
      </w:r>
    </w:p>
    <w:p w14:paraId="2E94A236">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u w:val="single"/>
        </w:rPr>
      </w:pP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w:t>
      </w:r>
      <w:r>
        <w:rPr>
          <w:rFonts w:hint="eastAsia" w:ascii="宋体"/>
          <w:b/>
          <w:color w:val="auto"/>
          <w:sz w:val="32"/>
          <w:szCs w:val="32"/>
          <w:highlight w:val="none"/>
          <w:u w:val="single"/>
          <w:lang w:eastAsia="zh-CN"/>
        </w:rPr>
        <w:t>滁州市城投工程咨询管理有限公司</w:t>
      </w:r>
      <w:r>
        <w:rPr>
          <w:rFonts w:hint="eastAsia" w:ascii="宋体"/>
          <w:b/>
          <w:color w:val="auto"/>
          <w:sz w:val="32"/>
          <w:szCs w:val="32"/>
          <w:highlight w:val="none"/>
        </w:rPr>
        <w:t>（盖单位章）</w:t>
      </w:r>
    </w:p>
    <w:p w14:paraId="426CDE88">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rPr>
        <w:t>202</w:t>
      </w:r>
      <w:r>
        <w:rPr>
          <w:rFonts w:hint="eastAsia" w:ascii="宋体"/>
          <w:b/>
          <w:color w:val="auto"/>
          <w:sz w:val="32"/>
          <w:szCs w:val="32"/>
          <w:highlight w:val="none"/>
          <w:u w:val="single"/>
          <w:lang w:val="en-US" w:eastAsia="zh-CN"/>
        </w:rPr>
        <w:t>5</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 xml:space="preserve">6 </w:t>
      </w:r>
      <w:r>
        <w:rPr>
          <w:rFonts w:hint="eastAsia" w:ascii="宋体"/>
          <w:b/>
          <w:color w:val="auto"/>
          <w:sz w:val="32"/>
          <w:szCs w:val="32"/>
          <w:highlight w:val="none"/>
        </w:rPr>
        <w:t>月</w:t>
      </w:r>
    </w:p>
    <w:p w14:paraId="75C513CD">
      <w:pPr>
        <w:spacing w:line="360" w:lineRule="exact"/>
        <w:rPr>
          <w:rFonts w:hint="eastAsia"/>
          <w:b/>
          <w:color w:val="auto"/>
          <w:sz w:val="36"/>
          <w:highlight w:val="none"/>
        </w:rPr>
      </w:pPr>
    </w:p>
    <w:p w14:paraId="1534FFD1">
      <w:pPr>
        <w:spacing w:line="360" w:lineRule="exact"/>
        <w:jc w:val="center"/>
        <w:rPr>
          <w:rFonts w:hint="eastAsia"/>
          <w:b/>
          <w:color w:val="auto"/>
          <w:sz w:val="36"/>
          <w:highlight w:val="none"/>
        </w:rPr>
      </w:pPr>
      <w:r>
        <w:rPr>
          <w:rFonts w:hint="eastAsia"/>
          <w:b/>
          <w:color w:val="auto"/>
          <w:sz w:val="36"/>
          <w:highlight w:val="none"/>
        </w:rPr>
        <w:br w:type="page"/>
      </w:r>
    </w:p>
    <w:p w14:paraId="2EEB8F7F">
      <w:pPr>
        <w:spacing w:line="360" w:lineRule="exact"/>
        <w:jc w:val="center"/>
        <w:rPr>
          <w:rFonts w:hint="eastAsia"/>
          <w:b/>
          <w:color w:val="auto"/>
          <w:sz w:val="36"/>
          <w:highlight w:val="none"/>
        </w:rPr>
      </w:pPr>
      <w:r>
        <w:rPr>
          <w:rFonts w:hint="eastAsia"/>
          <w:b/>
          <w:color w:val="auto"/>
          <w:sz w:val="36"/>
          <w:highlight w:val="none"/>
        </w:rPr>
        <w:t>目  录</w:t>
      </w:r>
    </w:p>
    <w:p w14:paraId="1921E493">
      <w:pPr>
        <w:spacing w:line="360" w:lineRule="exact"/>
        <w:jc w:val="center"/>
        <w:rPr>
          <w:rFonts w:hint="eastAsia"/>
          <w:b/>
          <w:color w:val="auto"/>
          <w:sz w:val="36"/>
          <w:highlight w:val="none"/>
        </w:rPr>
      </w:pPr>
    </w:p>
    <w:p w14:paraId="2F294F8D">
      <w:pPr>
        <w:pStyle w:val="28"/>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8"/>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8"/>
          <w:rFonts w:ascii="宋体" w:hAnsi="宋体"/>
          <w:color w:val="auto"/>
          <w:sz w:val="24"/>
          <w:highlight w:val="none"/>
        </w:rPr>
        <w:instrText xml:space="preserve"> </w:instrText>
      </w:r>
      <w:r>
        <w:rPr>
          <w:rFonts w:ascii="宋体" w:hAnsi="宋体"/>
          <w:color w:val="auto"/>
          <w:sz w:val="24"/>
          <w:highlight w:val="none"/>
        </w:rPr>
        <w:fldChar w:fldCharType="separate"/>
      </w:r>
      <w:r>
        <w:rPr>
          <w:rStyle w:val="48"/>
          <w:rFonts w:hint="eastAsia" w:ascii="宋体" w:hAnsi="宋体"/>
          <w:b/>
          <w:color w:val="auto"/>
          <w:sz w:val="24"/>
          <w:highlight w:val="none"/>
        </w:rPr>
        <w:t>第一章</w:t>
      </w:r>
      <w:r>
        <w:rPr>
          <w:rStyle w:val="48"/>
          <w:rFonts w:ascii="宋体" w:hAnsi="宋体"/>
          <w:b/>
          <w:color w:val="auto"/>
          <w:sz w:val="24"/>
          <w:highlight w:val="none"/>
        </w:rPr>
        <w:t xml:space="preserve"> </w:t>
      </w:r>
      <w:r>
        <w:rPr>
          <w:rStyle w:val="48"/>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49BC9D7C">
      <w:pPr>
        <w:pStyle w:val="28"/>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8"/>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8"/>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8"/>
          <w:rFonts w:hint="eastAsia" w:ascii="宋体" w:hAnsi="宋体"/>
          <w:b/>
          <w:color w:val="auto"/>
          <w:sz w:val="24"/>
          <w:highlight w:val="none"/>
        </w:rPr>
        <w:t>第二章</w:t>
      </w:r>
      <w:r>
        <w:rPr>
          <w:rStyle w:val="48"/>
          <w:rFonts w:ascii="宋体" w:hAnsi="宋体"/>
          <w:b/>
          <w:color w:val="auto"/>
          <w:sz w:val="24"/>
          <w:highlight w:val="none"/>
        </w:rPr>
        <w:t xml:space="preserve"> </w:t>
      </w:r>
      <w:r>
        <w:rPr>
          <w:rStyle w:val="48"/>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4</w:t>
      </w:r>
    </w:p>
    <w:p w14:paraId="33D31509">
      <w:pPr>
        <w:pStyle w:val="28"/>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8"/>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8"/>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8"/>
          <w:rFonts w:hint="eastAsia" w:ascii="宋体" w:hAnsi="宋体"/>
          <w:b/>
          <w:color w:val="auto"/>
          <w:sz w:val="24"/>
          <w:highlight w:val="none"/>
        </w:rPr>
        <w:t>第三章</w:t>
      </w:r>
      <w:r>
        <w:rPr>
          <w:rStyle w:val="48"/>
          <w:rFonts w:ascii="宋体" w:hAnsi="宋体"/>
          <w:b/>
          <w:color w:val="auto"/>
          <w:sz w:val="24"/>
          <w:highlight w:val="none"/>
        </w:rPr>
        <w:t xml:space="preserve"> </w:t>
      </w:r>
      <w:r>
        <w:rPr>
          <w:rStyle w:val="48"/>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16</w:t>
      </w:r>
    </w:p>
    <w:p w14:paraId="6278671C">
      <w:pPr>
        <w:pStyle w:val="28"/>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8"/>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8"/>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8"/>
          <w:rFonts w:hint="eastAsia" w:ascii="宋体" w:hAnsi="宋体"/>
          <w:b/>
          <w:color w:val="auto"/>
          <w:sz w:val="24"/>
          <w:highlight w:val="none"/>
        </w:rPr>
        <w:t>第四章</w:t>
      </w:r>
      <w:r>
        <w:rPr>
          <w:rStyle w:val="48"/>
          <w:rFonts w:ascii="宋体" w:hAnsi="宋体"/>
          <w:b/>
          <w:color w:val="auto"/>
          <w:sz w:val="24"/>
          <w:highlight w:val="none"/>
        </w:rPr>
        <w:t xml:space="preserve"> </w:t>
      </w:r>
      <w:r>
        <w:rPr>
          <w:rStyle w:val="48"/>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21</w:t>
      </w:r>
    </w:p>
    <w:p w14:paraId="7EB8FEFB">
      <w:pPr>
        <w:pStyle w:val="28"/>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第五章 合同格式（参考）</w:t>
      </w:r>
      <w:r>
        <w:rPr>
          <w:rFonts w:ascii="宋体" w:hAnsi="宋体"/>
          <w:b/>
          <w:color w:val="auto"/>
          <w:sz w:val="24"/>
          <w:highlight w:val="none"/>
        </w:rPr>
        <w:tab/>
      </w:r>
      <w:r>
        <w:rPr>
          <w:rFonts w:hint="eastAsia" w:ascii="宋体" w:hAnsi="宋体"/>
          <w:b/>
          <w:color w:val="auto"/>
          <w:sz w:val="24"/>
          <w:highlight w:val="none"/>
          <w:lang w:val="en-US" w:eastAsia="zh-CN"/>
        </w:rPr>
        <w:t>32</w:t>
      </w:r>
    </w:p>
    <w:p w14:paraId="3EC12F3F">
      <w:pPr>
        <w:pStyle w:val="28"/>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8"/>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8"/>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8"/>
          <w:rFonts w:hint="eastAsia" w:ascii="宋体" w:hAnsi="宋体"/>
          <w:b/>
          <w:color w:val="auto"/>
          <w:sz w:val="24"/>
          <w:highlight w:val="none"/>
        </w:rPr>
        <w:t>第</w:t>
      </w:r>
      <w:r>
        <w:rPr>
          <w:rStyle w:val="48"/>
          <w:rFonts w:hint="eastAsia" w:ascii="宋体" w:hAnsi="宋体"/>
          <w:b/>
          <w:color w:val="auto"/>
          <w:sz w:val="24"/>
          <w:highlight w:val="none"/>
          <w:lang w:val="en-US" w:eastAsia="zh-CN"/>
        </w:rPr>
        <w:t>六</w:t>
      </w:r>
      <w:r>
        <w:rPr>
          <w:rStyle w:val="48"/>
          <w:rFonts w:hint="eastAsia" w:ascii="宋体" w:hAnsi="宋体"/>
          <w:b/>
          <w:color w:val="auto"/>
          <w:sz w:val="24"/>
          <w:highlight w:val="none"/>
        </w:rPr>
        <w:t>章</w:t>
      </w:r>
      <w:r>
        <w:rPr>
          <w:rStyle w:val="48"/>
          <w:rFonts w:ascii="宋体" w:hAnsi="宋体"/>
          <w:b/>
          <w:color w:val="auto"/>
          <w:sz w:val="24"/>
          <w:highlight w:val="none"/>
        </w:rPr>
        <w:t xml:space="preserve"> </w:t>
      </w:r>
      <w:r>
        <w:rPr>
          <w:rStyle w:val="48"/>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40</w:t>
      </w:r>
    </w:p>
    <w:p w14:paraId="118AF88F">
      <w:pPr>
        <w:pStyle w:val="28"/>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7DC13233">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272AFE35">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6C5FF9B8">
      <w:pPr>
        <w:keepNext/>
        <w:keepLines/>
        <w:pageBreakBefore w:val="0"/>
        <w:widowControl w:val="0"/>
        <w:kinsoku/>
        <w:wordWrap/>
        <w:overflowPunct/>
        <w:topLinePunct w:val="0"/>
        <w:autoSpaceDE/>
        <w:autoSpaceDN/>
        <w:bidi w:val="0"/>
        <w:adjustRightInd/>
        <w:snapToGrid/>
        <w:ind w:firstLine="560" w:firstLineChars="200"/>
        <w:jc w:val="left"/>
        <w:textAlignment w:val="auto"/>
        <w:rPr>
          <w:rFonts w:hint="eastAsia" w:ascii="黑体" w:hAnsi="黑体" w:cs="宋体"/>
          <w:color w:val="auto"/>
          <w:sz w:val="28"/>
          <w:szCs w:val="28"/>
          <w:highlight w:val="none"/>
        </w:rPr>
      </w:pPr>
      <w:r>
        <w:rPr>
          <w:rFonts w:hint="eastAsia" w:ascii="仿宋" w:hAnsi="仿宋" w:eastAsia="仿宋" w:cs="仿宋"/>
          <w:color w:val="auto"/>
          <w:sz w:val="28"/>
          <w:szCs w:val="28"/>
          <w:highlight w:val="none"/>
          <w:u w:val="single"/>
          <w:lang w:val="en-US" w:eastAsia="zh-CN"/>
        </w:rPr>
        <w:t>滁州市城泊车辆服务有限公司公共停车场保洁服务项目</w:t>
      </w:r>
      <w:r>
        <w:rPr>
          <w:rFonts w:hint="eastAsia" w:ascii="仿宋" w:hAnsi="仿宋" w:eastAsia="仿宋" w:cs="仿宋"/>
          <w:color w:val="auto"/>
          <w:sz w:val="28"/>
          <w:szCs w:val="28"/>
          <w:highlight w:val="none"/>
          <w:u w:val="none"/>
        </w:rPr>
        <w:t>招标项目</w:t>
      </w:r>
      <w:r>
        <w:rPr>
          <w:rFonts w:hint="eastAsia" w:ascii="仿宋" w:hAnsi="仿宋" w:eastAsia="仿宋" w:cs="仿宋"/>
          <w:color w:val="auto"/>
          <w:sz w:val="28"/>
          <w:szCs w:val="28"/>
          <w:highlight w:val="none"/>
        </w:rPr>
        <w:t>的潜在投标人应在</w:t>
      </w:r>
      <w:r>
        <w:rPr>
          <w:rFonts w:hint="eastAsia" w:ascii="仿宋" w:hAnsi="仿宋" w:eastAsia="仿宋" w:cs="仿宋"/>
          <w:color w:val="auto"/>
          <w:sz w:val="28"/>
          <w:szCs w:val="28"/>
          <w:highlight w:val="none"/>
          <w:u w:val="single"/>
          <w:lang w:val="en-US" w:eastAsia="zh-CN"/>
        </w:rPr>
        <w:t>滁州市扬子工业投资集团有限公司官网（https://czyzgtjt.com/）、滁州市城投工程咨询管理有限公司（https://www.czctgczx.com/）</w:t>
      </w:r>
      <w:r>
        <w:rPr>
          <w:rFonts w:hint="eastAsia" w:ascii="仿宋" w:hAnsi="仿宋" w:eastAsia="仿宋" w:cs="仿宋"/>
          <w:color w:val="auto"/>
          <w:sz w:val="28"/>
          <w:szCs w:val="28"/>
          <w:highlight w:val="none"/>
        </w:rPr>
        <w:t>获取招标文件，并于</w:t>
      </w:r>
      <w:r>
        <w:rPr>
          <w:rFonts w:hint="eastAsia" w:ascii="仿宋" w:hAnsi="仿宋" w:eastAsia="仿宋" w:cs="仿宋"/>
          <w:color w:val="auto"/>
          <w:sz w:val="28"/>
          <w:szCs w:val="28"/>
          <w:highlight w:val="none"/>
          <w:u w:val="single"/>
        </w:rPr>
        <w:t>202</w:t>
      </w:r>
      <w:r>
        <w:rPr>
          <w:rFonts w:hint="eastAsia" w:ascii="仿宋" w:hAnsi="仿宋" w:eastAsia="仿宋" w:cs="仿宋"/>
          <w:color w:val="auto"/>
          <w:sz w:val="28"/>
          <w:szCs w:val="28"/>
          <w:highlight w:val="none"/>
          <w:u w:val="single"/>
          <w:lang w:val="en-US" w:eastAsia="zh-CN"/>
        </w:rPr>
        <w:t>5</w:t>
      </w:r>
      <w:r>
        <w:rPr>
          <w:rFonts w:hint="eastAsia" w:ascii="仿宋" w:hAnsi="仿宋" w:eastAsia="仿宋" w:cs="仿宋"/>
          <w:color w:val="auto"/>
          <w:sz w:val="28"/>
          <w:szCs w:val="28"/>
          <w:highlight w:val="none"/>
          <w:u w:val="single"/>
        </w:rPr>
        <w:t>年</w:t>
      </w:r>
      <w:r>
        <w:rPr>
          <w:rFonts w:hint="eastAsia" w:ascii="仿宋" w:hAnsi="仿宋" w:eastAsia="仿宋" w:cs="仿宋"/>
          <w:color w:val="auto"/>
          <w:sz w:val="28"/>
          <w:szCs w:val="28"/>
          <w:highlight w:val="none"/>
          <w:u w:val="single"/>
          <w:lang w:val="en-US" w:eastAsia="zh-CN"/>
        </w:rPr>
        <w:t>6</w:t>
      </w:r>
      <w:r>
        <w:rPr>
          <w:rFonts w:hint="eastAsia" w:ascii="仿宋" w:hAnsi="仿宋" w:eastAsia="仿宋" w:cs="仿宋"/>
          <w:color w:val="auto"/>
          <w:sz w:val="28"/>
          <w:szCs w:val="28"/>
          <w:highlight w:val="none"/>
          <w:u w:val="single"/>
        </w:rPr>
        <w:t>月</w:t>
      </w:r>
      <w:r>
        <w:rPr>
          <w:rFonts w:hint="eastAsia" w:ascii="仿宋" w:hAnsi="仿宋" w:eastAsia="仿宋" w:cs="仿宋"/>
          <w:color w:val="auto"/>
          <w:sz w:val="28"/>
          <w:szCs w:val="28"/>
          <w:highlight w:val="none"/>
          <w:u w:val="single"/>
          <w:lang w:val="en-US" w:eastAsia="zh-CN"/>
        </w:rPr>
        <w:t>23</w:t>
      </w:r>
      <w:r>
        <w:rPr>
          <w:rFonts w:hint="eastAsia" w:ascii="仿宋" w:hAnsi="仿宋" w:eastAsia="仿宋" w:cs="仿宋"/>
          <w:color w:val="auto"/>
          <w:sz w:val="28"/>
          <w:szCs w:val="28"/>
          <w:highlight w:val="none"/>
          <w:u w:val="single"/>
        </w:rPr>
        <w:t>日</w:t>
      </w:r>
      <w:r>
        <w:rPr>
          <w:rFonts w:hint="eastAsia" w:ascii="仿宋" w:hAnsi="仿宋" w:eastAsia="仿宋" w:cs="仿宋"/>
          <w:color w:val="auto"/>
          <w:sz w:val="28"/>
          <w:szCs w:val="28"/>
          <w:highlight w:val="none"/>
          <w:u w:val="single"/>
          <w:lang w:val="en-US" w:eastAsia="zh-CN"/>
        </w:rPr>
        <w:t>9</w:t>
      </w:r>
      <w:r>
        <w:rPr>
          <w:rFonts w:hint="eastAsia" w:ascii="仿宋" w:hAnsi="仿宋" w:eastAsia="仿宋" w:cs="仿宋"/>
          <w:color w:val="auto"/>
          <w:sz w:val="28"/>
          <w:szCs w:val="28"/>
          <w:highlight w:val="none"/>
          <w:u w:val="single"/>
        </w:rPr>
        <w:t>点</w:t>
      </w:r>
      <w:r>
        <w:rPr>
          <w:rFonts w:hint="eastAsia" w:ascii="仿宋" w:hAnsi="仿宋" w:eastAsia="仿宋" w:cs="仿宋"/>
          <w:color w:val="auto"/>
          <w:sz w:val="28"/>
          <w:szCs w:val="28"/>
          <w:highlight w:val="none"/>
          <w:u w:val="single"/>
          <w:lang w:val="en-US" w:eastAsia="zh-CN"/>
        </w:rPr>
        <w:t>00</w:t>
      </w:r>
      <w:r>
        <w:rPr>
          <w:rFonts w:hint="eastAsia" w:ascii="仿宋" w:hAnsi="仿宋" w:eastAsia="仿宋" w:cs="仿宋"/>
          <w:color w:val="auto"/>
          <w:sz w:val="28"/>
          <w:szCs w:val="28"/>
          <w:highlight w:val="none"/>
          <w:u w:val="single"/>
        </w:rPr>
        <w:t>分</w:t>
      </w:r>
      <w:r>
        <w:rPr>
          <w:rFonts w:hint="eastAsia" w:ascii="仿宋" w:hAnsi="仿宋" w:eastAsia="仿宋" w:cs="仿宋"/>
          <w:color w:val="auto"/>
          <w:sz w:val="28"/>
          <w:szCs w:val="28"/>
          <w:highlight w:val="none"/>
        </w:rPr>
        <w:t>（北京时间）前递交投标文件。</w:t>
      </w:r>
    </w:p>
    <w:p w14:paraId="3E8C994A">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672F3637">
      <w:pPr>
        <w:ind w:right="-313" w:rightChars="-149"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项目名称：</w:t>
      </w:r>
      <w:r>
        <w:rPr>
          <w:rFonts w:hint="eastAsia" w:ascii="仿宋" w:hAnsi="仿宋" w:eastAsia="仿宋" w:cs="仿宋"/>
          <w:color w:val="auto"/>
          <w:sz w:val="28"/>
          <w:szCs w:val="28"/>
          <w:highlight w:val="none"/>
          <w:shd w:val="clear" w:color="auto" w:fill="auto"/>
          <w:lang w:val="en-US" w:eastAsia="zh-CN"/>
        </w:rPr>
        <w:t>滁州市城泊车辆服务有限公司公共停车场保洁服务项目</w:t>
      </w:r>
    </w:p>
    <w:p w14:paraId="3218168C">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最高限价：</w:t>
      </w:r>
      <w:r>
        <w:rPr>
          <w:rFonts w:hint="eastAsia" w:ascii="仿宋" w:hAnsi="仿宋" w:eastAsia="仿宋" w:cs="仿宋"/>
          <w:color w:val="auto"/>
          <w:sz w:val="28"/>
          <w:szCs w:val="28"/>
          <w:highlight w:val="none"/>
          <w:shd w:val="clear" w:color="auto" w:fill="auto"/>
          <w:lang w:val="en-US" w:eastAsia="zh-CN"/>
        </w:rPr>
        <w:t xml:space="preserve">38.82万元/年 </w:t>
      </w:r>
    </w:p>
    <w:p w14:paraId="5BC4F2B4">
      <w:pPr>
        <w:ind w:firstLine="560" w:firstLineChars="200"/>
        <w:rPr>
          <w:rFonts w:hint="eastAsia" w:ascii="仿宋" w:hAnsi="仿宋" w:eastAsia="仿宋" w:cs="仿宋"/>
          <w:color w:val="auto"/>
          <w:sz w:val="28"/>
          <w:szCs w:val="28"/>
          <w:highlight w:val="none"/>
          <w:shd w:val="clear" w:color="auto" w:fill="auto"/>
          <w:lang w:eastAsia="zh-CN"/>
        </w:rPr>
      </w:pPr>
      <w:r>
        <w:rPr>
          <w:rFonts w:hint="eastAsia" w:ascii="仿宋" w:hAnsi="仿宋" w:eastAsia="仿宋" w:cs="仿宋"/>
          <w:color w:val="auto"/>
          <w:sz w:val="28"/>
          <w:szCs w:val="28"/>
          <w:highlight w:val="none"/>
          <w:shd w:val="clear" w:color="auto" w:fill="auto"/>
        </w:rPr>
        <w:t>采购需求：市城泊公司管理的公共停车场、厕所和管理用房的卫生保洁服务，具体包括</w:t>
      </w:r>
      <w:r>
        <w:rPr>
          <w:rFonts w:hint="eastAsia" w:ascii="仿宋" w:hAnsi="仿宋" w:eastAsia="仿宋" w:cs="仿宋"/>
          <w:color w:val="auto"/>
          <w:sz w:val="28"/>
          <w:szCs w:val="28"/>
          <w:highlight w:val="none"/>
          <w:shd w:val="clear" w:color="auto" w:fill="auto"/>
          <w:lang w:val="en-US" w:eastAsia="zh-CN"/>
        </w:rPr>
        <w:t>30</w:t>
      </w:r>
      <w:r>
        <w:rPr>
          <w:rFonts w:hint="eastAsia" w:ascii="仿宋" w:hAnsi="仿宋" w:eastAsia="仿宋" w:cs="仿宋"/>
          <w:color w:val="auto"/>
          <w:sz w:val="28"/>
          <w:szCs w:val="28"/>
          <w:highlight w:val="none"/>
          <w:shd w:val="clear" w:color="auto" w:fill="auto"/>
        </w:rPr>
        <w:t>个停车场、</w:t>
      </w:r>
      <w:r>
        <w:rPr>
          <w:rFonts w:hint="eastAsia" w:ascii="仿宋" w:hAnsi="仿宋" w:eastAsia="仿宋" w:cs="仿宋"/>
          <w:color w:val="auto"/>
          <w:sz w:val="28"/>
          <w:szCs w:val="28"/>
          <w:highlight w:val="none"/>
          <w:shd w:val="clear" w:color="auto" w:fill="auto"/>
          <w:lang w:val="en-US" w:eastAsia="zh-CN"/>
        </w:rPr>
        <w:t>2</w:t>
      </w:r>
      <w:r>
        <w:rPr>
          <w:rFonts w:hint="eastAsia" w:ascii="仿宋" w:hAnsi="仿宋" w:eastAsia="仿宋" w:cs="仿宋"/>
          <w:color w:val="auto"/>
          <w:sz w:val="28"/>
          <w:szCs w:val="28"/>
          <w:highlight w:val="none"/>
          <w:shd w:val="clear" w:color="auto" w:fill="auto"/>
        </w:rPr>
        <w:t>间停车场厕所和</w:t>
      </w:r>
      <w:r>
        <w:rPr>
          <w:rFonts w:hint="eastAsia" w:ascii="仿宋" w:hAnsi="仿宋" w:eastAsia="仿宋" w:cs="仿宋"/>
          <w:color w:val="auto"/>
          <w:sz w:val="28"/>
          <w:szCs w:val="28"/>
          <w:highlight w:val="none"/>
          <w:shd w:val="clear" w:color="auto" w:fill="auto"/>
          <w:lang w:val="en-US" w:eastAsia="zh-CN"/>
        </w:rPr>
        <w:t>1</w:t>
      </w:r>
      <w:r>
        <w:rPr>
          <w:rFonts w:hint="eastAsia" w:ascii="仿宋" w:hAnsi="仿宋" w:eastAsia="仿宋" w:cs="仿宋"/>
          <w:color w:val="auto"/>
          <w:sz w:val="28"/>
          <w:szCs w:val="28"/>
          <w:highlight w:val="none"/>
          <w:shd w:val="clear" w:color="auto" w:fill="auto"/>
        </w:rPr>
        <w:t>套管理用房的卫生保洁服务。服务范围和内容包含停车场日常保洁服务、地面清扫、垃圾清运、房屋内设施卫生打扫和清洗</w:t>
      </w:r>
      <w:r>
        <w:rPr>
          <w:rFonts w:hint="eastAsia" w:ascii="仿宋" w:hAnsi="仿宋" w:eastAsia="仿宋" w:cs="仿宋"/>
          <w:color w:val="auto"/>
          <w:sz w:val="28"/>
          <w:szCs w:val="28"/>
          <w:highlight w:val="none"/>
          <w:shd w:val="clear" w:color="auto" w:fill="auto"/>
          <w:lang w:eastAsia="zh-CN"/>
        </w:rPr>
        <w:t>。</w:t>
      </w:r>
    </w:p>
    <w:p w14:paraId="05178F79">
      <w:pPr>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合同履行期限：</w:t>
      </w:r>
      <w:r>
        <w:rPr>
          <w:rFonts w:hint="eastAsia" w:ascii="仿宋" w:hAnsi="仿宋" w:eastAsia="仿宋" w:cs="仿宋"/>
          <w:color w:val="auto"/>
          <w:sz w:val="28"/>
          <w:szCs w:val="28"/>
          <w:highlight w:val="none"/>
          <w:shd w:val="clear" w:color="auto" w:fill="auto"/>
          <w:lang w:val="en-US" w:eastAsia="zh-CN"/>
        </w:rPr>
        <w:t>一年。服务期内招标人逐月对中标人进行考核，年底汇总，如考核合格，招标人将与其续签合同（一年）。</w:t>
      </w:r>
    </w:p>
    <w:p w14:paraId="18E91C32">
      <w:pPr>
        <w:ind w:firstLine="560" w:firstLineChars="200"/>
        <w:rPr>
          <w:rFonts w:hint="eastAsia" w:ascii="仿宋" w:hAnsi="仿宋" w:eastAsia="仿宋" w:cs="仿宋"/>
          <w:color w:val="auto"/>
          <w:sz w:val="28"/>
          <w:szCs w:val="28"/>
          <w:highlight w:val="none"/>
          <w:shd w:val="clear" w:color="auto" w:fill="auto"/>
        </w:rPr>
      </w:pPr>
      <w:r>
        <w:rPr>
          <w:rFonts w:hint="eastAsia" w:ascii="仿宋" w:hAnsi="仿宋" w:eastAsia="仿宋" w:cs="仿宋"/>
          <w:color w:val="auto"/>
          <w:sz w:val="28"/>
          <w:szCs w:val="28"/>
          <w:highlight w:val="none"/>
          <w:shd w:val="clear" w:color="auto" w:fill="auto"/>
        </w:rPr>
        <w:t>本项目</w:t>
      </w:r>
      <w:r>
        <w:rPr>
          <w:rFonts w:hint="eastAsia" w:ascii="仿宋" w:hAnsi="仿宋" w:eastAsia="仿宋" w:cs="仿宋"/>
          <w:color w:val="auto"/>
          <w:sz w:val="28"/>
          <w:szCs w:val="28"/>
          <w:highlight w:val="none"/>
          <w:shd w:val="clear" w:color="auto" w:fill="auto"/>
          <w:lang w:val="en-US" w:eastAsia="zh-CN"/>
        </w:rPr>
        <w:t>不</w:t>
      </w:r>
      <w:r>
        <w:rPr>
          <w:rFonts w:hint="eastAsia" w:ascii="仿宋" w:hAnsi="仿宋" w:eastAsia="仿宋" w:cs="仿宋"/>
          <w:color w:val="auto"/>
          <w:sz w:val="28"/>
          <w:szCs w:val="28"/>
          <w:highlight w:val="none"/>
          <w:shd w:val="clear" w:color="auto" w:fill="auto"/>
        </w:rPr>
        <w:t>接受联合体投标</w:t>
      </w:r>
      <w:r>
        <w:rPr>
          <w:rFonts w:hint="eastAsia" w:ascii="仿宋" w:hAnsi="仿宋" w:eastAsia="仿宋" w:cs="仿宋"/>
          <w:color w:val="auto"/>
          <w:sz w:val="28"/>
          <w:szCs w:val="28"/>
          <w:highlight w:val="none"/>
          <w:shd w:val="clear" w:color="auto" w:fill="auto"/>
          <w:lang w:eastAsia="zh-CN"/>
        </w:rPr>
        <w:t>。</w:t>
      </w:r>
    </w:p>
    <w:p w14:paraId="2CB8390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35393622"/>
      <w:bookmarkStart w:id="4" w:name="_Toc28359080"/>
      <w:bookmarkStart w:id="5" w:name="_Toc35393791"/>
      <w:bookmarkStart w:id="6" w:name="_Toc28359003"/>
      <w:r>
        <w:rPr>
          <w:rFonts w:hint="eastAsia" w:ascii="黑体" w:hAnsi="黑体" w:eastAsia="黑体" w:cs="黑体"/>
          <w:color w:val="auto"/>
          <w:sz w:val="28"/>
          <w:szCs w:val="28"/>
          <w:highlight w:val="none"/>
        </w:rPr>
        <w:t>二、申请人的资格要求</w:t>
      </w:r>
      <w:bookmarkEnd w:id="3"/>
      <w:bookmarkEnd w:id="4"/>
      <w:bookmarkEnd w:id="5"/>
      <w:bookmarkEnd w:id="6"/>
    </w:p>
    <w:p w14:paraId="207BAAC4">
      <w:pPr>
        <w:ind w:firstLine="560" w:firstLineChars="200"/>
        <w:rPr>
          <w:rFonts w:hint="eastAsia" w:ascii="仿宋" w:hAnsi="仿宋" w:eastAsia="仿宋"/>
          <w:color w:val="auto"/>
          <w:sz w:val="28"/>
          <w:szCs w:val="28"/>
          <w:highlight w:val="none"/>
          <w:lang w:val="en-US" w:eastAsia="zh-CN"/>
        </w:rPr>
      </w:pPr>
      <w:bookmarkStart w:id="7" w:name="_Toc28359004"/>
      <w:bookmarkStart w:id="8" w:name="_Toc35393623"/>
      <w:bookmarkStart w:id="9" w:name="_Toc28359081"/>
      <w:bookmarkStart w:id="10" w:name="_Toc35393792"/>
      <w:r>
        <w:rPr>
          <w:rFonts w:hint="eastAsia" w:ascii="仿宋" w:hAnsi="仿宋" w:eastAsia="仿宋"/>
          <w:color w:val="auto"/>
          <w:sz w:val="28"/>
          <w:szCs w:val="28"/>
          <w:highlight w:val="none"/>
          <w:lang w:val="en-US" w:eastAsia="zh-CN"/>
        </w:rPr>
        <w:t>企业要求：具有独立承担民事责任能力和相应服务能力的企业。</w:t>
      </w:r>
    </w:p>
    <w:p w14:paraId="7D0FA5EA">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24B442EA">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ascii="仿宋" w:hAnsi="仿宋" w:eastAsia="仿宋" w:cs="宋体"/>
          <w:color w:val="auto"/>
          <w:sz w:val="28"/>
          <w:szCs w:val="28"/>
          <w:highlight w:val="none"/>
          <w:u w:val="single"/>
        </w:rPr>
        <w:t xml:space="preserve"> </w:t>
      </w:r>
      <w:r>
        <w:rPr>
          <w:rFonts w:hint="eastAsia" w:ascii="仿宋" w:hAnsi="仿宋" w:eastAsia="仿宋" w:cs="宋体"/>
          <w:color w:val="auto"/>
          <w:sz w:val="28"/>
          <w:szCs w:val="28"/>
          <w:highlight w:val="none"/>
          <w:u w:val="single"/>
        </w:rPr>
        <w:t>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6</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13</w:t>
      </w:r>
      <w:r>
        <w:rPr>
          <w:rFonts w:hint="eastAsia" w:ascii="仿宋" w:hAnsi="仿宋" w:eastAsia="仿宋" w:cs="宋体"/>
          <w:color w:val="auto"/>
          <w:sz w:val="28"/>
          <w:szCs w:val="28"/>
          <w:highlight w:val="none"/>
          <w:u w:val="single"/>
        </w:rPr>
        <w:t>日</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rPr>
        <w:t xml:space="preserve"> 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6</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23</w:t>
      </w:r>
      <w:r>
        <w:rPr>
          <w:rFonts w:hint="eastAsia" w:ascii="仿宋" w:hAnsi="仿宋" w:eastAsia="仿宋" w:cs="宋体"/>
          <w:color w:val="auto"/>
          <w:sz w:val="28"/>
          <w:szCs w:val="28"/>
          <w:highlight w:val="none"/>
          <w:u w:val="single"/>
        </w:rPr>
        <w:t>日</w:t>
      </w:r>
    </w:p>
    <w:p w14:paraId="3C7208FC">
      <w:pPr>
        <w:ind w:firstLine="540"/>
        <w:rPr>
          <w:rFonts w:ascii="仿宋" w:hAnsi="仿宋" w:eastAsia="仿宋" w:cs="宋体"/>
          <w:color w:val="auto"/>
          <w:sz w:val="28"/>
          <w:szCs w:val="28"/>
          <w:highlight w:val="none"/>
          <w:u w:val="single"/>
        </w:rPr>
      </w:pPr>
      <w:r>
        <w:rPr>
          <w:rFonts w:hint="eastAsia" w:ascii="仿宋" w:hAnsi="仿宋" w:eastAsia="仿宋" w:cs="宋体"/>
          <w:color w:val="auto"/>
          <w:sz w:val="28"/>
          <w:szCs w:val="28"/>
          <w:highlight w:val="none"/>
        </w:rPr>
        <w:t>方式：网上下载</w:t>
      </w:r>
    </w:p>
    <w:p w14:paraId="77FCC371">
      <w:pPr>
        <w:ind w:firstLine="540"/>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51A5731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82"/>
      <w:bookmarkStart w:id="12" w:name="_Toc28359005"/>
      <w:bookmarkStart w:id="13" w:name="_Toc35393624"/>
      <w:bookmarkStart w:id="14" w:name="_Toc35393793"/>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4A91F9A6">
      <w:pPr>
        <w:ind w:firstLine="560" w:firstLineChars="200"/>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202</w:t>
      </w:r>
      <w:r>
        <w:rPr>
          <w:rFonts w:hint="eastAsia" w:ascii="仿宋" w:hAnsi="仿宋" w:eastAsia="仿宋"/>
          <w:bCs/>
          <w:color w:val="auto"/>
          <w:sz w:val="28"/>
          <w:szCs w:val="28"/>
          <w:highlight w:val="none"/>
          <w:u w:val="single"/>
          <w:lang w:val="en-US" w:eastAsia="zh-CN"/>
        </w:rPr>
        <w:t>5</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6</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23</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9</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00</w:t>
      </w:r>
      <w:r>
        <w:rPr>
          <w:rFonts w:hint="eastAsia" w:ascii="仿宋" w:hAnsi="仿宋" w:eastAsia="仿宋"/>
          <w:bCs/>
          <w:color w:val="auto"/>
          <w:sz w:val="28"/>
          <w:szCs w:val="28"/>
          <w:highlight w:val="none"/>
          <w:u w:val="single"/>
        </w:rPr>
        <w:t>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14:paraId="783A7F03">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olor w:val="auto"/>
          <w:sz w:val="28"/>
          <w:szCs w:val="28"/>
          <w:highlight w:val="none"/>
          <w:lang w:val="en-US" w:eastAsia="zh-CN"/>
        </w:rPr>
        <w:t>本项目仅接受加密电子投标文件，投标人在投标截止时间前通过新点电子交易平台后在【滁州专区】（https://www.etrading.cn/BREpointSSO/login/oauth2login?regioncode=DQ_ChuZhou）交易系统递交电子投标文件</w:t>
      </w:r>
    </w:p>
    <w:p w14:paraId="75E9176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五</w:t>
      </w:r>
      <w:r>
        <w:rPr>
          <w:rFonts w:hint="eastAsia" w:ascii="黑体" w:hAnsi="黑体" w:eastAsia="黑体" w:cs="黑体"/>
          <w:color w:val="auto"/>
          <w:sz w:val="28"/>
          <w:szCs w:val="28"/>
          <w:highlight w:val="none"/>
        </w:rPr>
        <w:t>、投标保证金金额及缴纳账户</w:t>
      </w:r>
    </w:p>
    <w:p w14:paraId="339DE4A7">
      <w:pPr>
        <w:pStyle w:val="129"/>
        <w:rPr>
          <w:color w:val="auto"/>
          <w:highlight w:val="none"/>
        </w:rPr>
      </w:pPr>
      <w:bookmarkStart w:id="15" w:name="_Toc35393795"/>
      <w:bookmarkStart w:id="16" w:name="_Toc35393626"/>
      <w:r>
        <w:rPr>
          <w:color w:val="auto"/>
          <w:highlight w:val="none"/>
        </w:rPr>
        <w:t>窗体顶端</w:t>
      </w:r>
    </w:p>
    <w:p w14:paraId="5BCBF309">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不要求投标人提交投标保证金。</w:t>
      </w:r>
    </w:p>
    <w:p w14:paraId="577F7702">
      <w:pPr>
        <w:pStyle w:val="130"/>
        <w:rPr>
          <w:color w:val="auto"/>
          <w:highlight w:val="none"/>
        </w:rPr>
      </w:pPr>
      <w:r>
        <w:rPr>
          <w:color w:val="auto"/>
          <w:highlight w:val="none"/>
        </w:rPr>
        <w:t>窗体底端</w:t>
      </w:r>
    </w:p>
    <w:bookmarkEnd w:id="15"/>
    <w:bookmarkEnd w:id="16"/>
    <w:p w14:paraId="739C1960">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六、其他补充事宜</w:t>
      </w:r>
    </w:p>
    <w:p w14:paraId="7A38E843">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1.供应商从滁州市城投工程咨询管理有限公司（https://www.czctgczx.com）/）下载。</w:t>
      </w:r>
    </w:p>
    <w:p w14:paraId="38D4E624">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供应商自行承担因未按要求获取询价文件导致无法上传电子投标文件的风险。</w:t>
      </w:r>
    </w:p>
    <w:p w14:paraId="60963877">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方式：（1）供应商须登录新点电子交易平台【滁州专区】查询、获取采购文件。首次登录办理入库手续，办理入库不收取任何费用。新点电子招投标统一认证平台使用相关问题（如系统登录、信息登记、录入及提交、数字证书关联等）请拨打服务电话：4009280095-5（工作日）。  </w:t>
      </w:r>
    </w:p>
    <w:p w14:paraId="47365D7A">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（2）供应商登录新点电子交易平台【滁州专区】获取询价文件及其它资料（含澄清和补充说明等）。如在询价文件获取过程中遇到系统问题，请拨打技术支持服务热线 4009280095或者网站首页在线客服。</w:t>
      </w:r>
    </w:p>
    <w:p w14:paraId="1D4FCD7C">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2.招标文件及相关资料售价：人民币0元/套。</w:t>
      </w:r>
    </w:p>
    <w:p w14:paraId="367F37D6">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3.本项目开评标实行全流程电子化，开标活动在线完成。开标时供应商无需到达开标现场，不接受现场解密，实行远程解密和在线询标。各供应商认真学习《新点电子交易平台供应商操作手册》，务必掌握远程解密方法和在线回复询标方法。</w:t>
      </w:r>
    </w:p>
    <w:p w14:paraId="68B9BD11">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4.本项目采用不见面开标，供应商登录滁州市城投工程咨询有限公司不见面开标系统参与网上开标（网址：http://js.etrading.cn/EpointBidOpening/bidopeninghallaction/hall/login）。</w:t>
      </w:r>
    </w:p>
    <w:p w14:paraId="38A41C30">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供应商应在投标截止时间之前，登录新点电子交易平台【滁州专区】上传投标文件</w:t>
      </w:r>
    </w:p>
    <w:p w14:paraId="6D8D69A1">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5.本项目仅接受加密电子投标文件供应商在投标截止时间前通过新点电子交易平台后在【滁州专区】</w:t>
      </w:r>
    </w:p>
    <w:p w14:paraId="65D1391A">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（https://www.etrading.cn/BREpointSSO/login/oauth2login?regioncode=DQ_ChuZhou）交易系统递交电子投标文件。</w:t>
      </w:r>
    </w:p>
    <w:p w14:paraId="5CC2153E">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6.公告发布媒介：滁州市扬子工业投资集团有限公司、安徽省招标投标信息网、滁州市城投工程咨询管理有限公司。</w:t>
      </w:r>
    </w:p>
    <w:p w14:paraId="526855C1">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7.投标文件制作软件下载：</w:t>
      </w:r>
    </w:p>
    <w:p w14:paraId="5B127033">
      <w:pPr>
        <w:ind w:firstLine="560" w:firstLineChars="200"/>
        <w:rPr>
          <w:rFonts w:hint="eastAsia" w:ascii="黑体" w:hAnsi="黑体" w:eastAsia="黑体" w:cs="黑体"/>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https://download.bqpoint.com/download/downloaddetail.html?SourceFrom=Ztb&amp;ZtbSoftXiaQuCode=0128&amp;ZtbSoftType=tballinclusive</w:t>
      </w:r>
    </w:p>
    <w:p w14:paraId="1BD1ACFD">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403F8B2C">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6463A691">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滁州市城泊车辆服务有限公司</w:t>
      </w:r>
    </w:p>
    <w:p w14:paraId="591A699E">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滁州市清流西路扬子宾馆停车场院内</w:t>
      </w:r>
    </w:p>
    <w:p w14:paraId="433A3E82">
      <w:pPr>
        <w:ind w:firstLine="560" w:firstLineChars="200"/>
        <w:jc w:val="left"/>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kern w:val="2"/>
          <w:sz w:val="28"/>
          <w:szCs w:val="28"/>
          <w:highlight w:val="none"/>
          <w:u w:val="single"/>
          <w:lang w:val="en-US" w:eastAsia="zh-CN" w:bidi="ar-SA"/>
        </w:rPr>
        <w:t>0550-3567705</w:t>
      </w:r>
      <w:r>
        <w:rPr>
          <w:rFonts w:hint="eastAsia" w:ascii="仿宋" w:hAnsi="仿宋" w:eastAsia="仿宋" w:cs="仿宋"/>
          <w:color w:val="auto"/>
          <w:sz w:val="28"/>
          <w:szCs w:val="28"/>
          <w:highlight w:val="none"/>
          <w:u w:val="single"/>
          <w:lang w:val="en-US" w:eastAsia="zh-CN"/>
        </w:rPr>
        <w:t xml:space="preserve">       </w:t>
      </w:r>
    </w:p>
    <w:p w14:paraId="33FD5536">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3C6F4030">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2.代理机构信息</w:t>
      </w:r>
    </w:p>
    <w:p w14:paraId="1AB7B263">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rPr>
        <w:t>滁州市城投工程咨询管理有限公司</w:t>
      </w:r>
    </w:p>
    <w:p w14:paraId="187CE374">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滁州市龙蟠大道109号房产大厦6楼</w:t>
      </w:r>
    </w:p>
    <w:p w14:paraId="77A8F4F4">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0550-3519590、18005501210</w:t>
      </w:r>
    </w:p>
    <w:p w14:paraId="67995CAC">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3.项目联系方式</w:t>
      </w:r>
    </w:p>
    <w:p w14:paraId="4D71696C">
      <w:pPr>
        <w:pStyle w:val="21"/>
        <w:ind w:left="-199" w:leftChars="-95" w:firstLine="840" w:firstLineChars="300"/>
        <w:jc w:val="left"/>
        <w:rPr>
          <w:rFonts w:hint="eastAsia" w:ascii="仿宋" w:hAnsi="仿宋" w:eastAsia="仿宋" w:cs="仿宋"/>
          <w:color w:val="auto"/>
          <w:sz w:val="28"/>
          <w:szCs w:val="28"/>
          <w:highlight w:val="none"/>
          <w:u w:val="single" w:color="auto"/>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李文韬、</w:t>
      </w:r>
      <w:r>
        <w:rPr>
          <w:rFonts w:hint="eastAsia" w:ascii="仿宋" w:hAnsi="仿宋" w:eastAsia="仿宋" w:cs="仿宋"/>
          <w:color w:val="auto"/>
          <w:sz w:val="28"/>
          <w:szCs w:val="28"/>
          <w:highlight w:val="none"/>
          <w:u w:val="single" w:color="auto"/>
        </w:rPr>
        <w:t>杨韦</w:t>
      </w:r>
    </w:p>
    <w:p w14:paraId="75345749">
      <w:pPr>
        <w:ind w:left="-199" w:leftChars="-95" w:firstLine="840" w:firstLineChars="300"/>
        <w:jc w:val="left"/>
        <w:rPr>
          <w:rFonts w:ascii="仿宋" w:hAnsi="仿宋" w:eastAsia="仿宋"/>
          <w:color w:val="auto"/>
          <w:sz w:val="28"/>
          <w:szCs w:val="28"/>
          <w:highlight w:val="none"/>
          <w:u w:val="single"/>
        </w:rPr>
      </w:pPr>
      <w:r>
        <w:rPr>
          <w:rFonts w:hint="eastAsia" w:ascii="仿宋" w:hAnsi="仿宋" w:eastAsia="仿宋" w:cs="仿宋"/>
          <w:color w:val="auto"/>
          <w:sz w:val="28"/>
          <w:szCs w:val="28"/>
          <w:highlight w:val="none"/>
        </w:rPr>
        <w:t>电　　 话：</w:t>
      </w:r>
      <w:r>
        <w:rPr>
          <w:rFonts w:hint="eastAsia" w:ascii="仿宋" w:hAnsi="仿宋" w:eastAsia="仿宋" w:cs="仿宋"/>
          <w:color w:val="auto"/>
          <w:kern w:val="2"/>
          <w:sz w:val="28"/>
          <w:szCs w:val="28"/>
          <w:highlight w:val="none"/>
          <w:u w:val="single"/>
          <w:lang w:val="en-US" w:eastAsia="zh-CN" w:bidi="ar-SA"/>
        </w:rPr>
        <w:t>0550-3567705</w:t>
      </w:r>
      <w:r>
        <w:rPr>
          <w:rFonts w:hint="eastAsia" w:ascii="仿宋" w:hAnsi="仿宋" w:eastAsia="仿宋" w:cs="仿宋"/>
          <w:color w:val="auto"/>
          <w:sz w:val="28"/>
          <w:szCs w:val="28"/>
          <w:highlight w:val="none"/>
          <w:u w:val="single" w:color="auto"/>
          <w:lang w:val="en-US" w:eastAsia="zh-CN"/>
        </w:rPr>
        <w:t>、</w:t>
      </w:r>
      <w:r>
        <w:rPr>
          <w:rFonts w:hint="eastAsia" w:ascii="仿宋" w:hAnsi="仿宋" w:eastAsia="仿宋" w:cs="仿宋"/>
          <w:color w:val="auto"/>
          <w:sz w:val="28"/>
          <w:szCs w:val="28"/>
          <w:highlight w:val="none"/>
          <w:u w:val="single" w:color="auto"/>
        </w:rPr>
        <w:t>0</w:t>
      </w:r>
      <w:r>
        <w:rPr>
          <w:rFonts w:hint="eastAsia" w:ascii="仿宋" w:hAnsi="仿宋" w:eastAsia="仿宋" w:cs="仿宋"/>
          <w:color w:val="auto"/>
          <w:sz w:val="28"/>
          <w:szCs w:val="28"/>
          <w:highlight w:val="none"/>
          <w:u w:val="single"/>
        </w:rPr>
        <w:t xml:space="preserve">550-3519590 </w:t>
      </w:r>
    </w:p>
    <w:p w14:paraId="24BCC458">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14:paraId="2037FF56">
      <w:pPr>
        <w:snapToGrid w:val="0"/>
        <w:spacing w:line="500" w:lineRule="exact"/>
        <w:jc w:val="center"/>
        <w:outlineLvl w:val="1"/>
        <w:rPr>
          <w:rFonts w:hint="eastAsia" w:ascii="宋体"/>
          <w:b/>
          <w:color w:val="auto"/>
          <w:sz w:val="28"/>
          <w:szCs w:val="28"/>
          <w:highlight w:val="none"/>
        </w:rPr>
      </w:pPr>
      <w:bookmarkStart w:id="17" w:name="_Toc58430314"/>
      <w:bookmarkStart w:id="18" w:name="_Toc449028865"/>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17"/>
      <w:bookmarkEnd w:id="18"/>
    </w:p>
    <w:tbl>
      <w:tblPr>
        <w:tblStyle w:val="37"/>
        <w:tblW w:w="989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19"/>
        <w:gridCol w:w="2190"/>
        <w:gridCol w:w="6684"/>
      </w:tblGrid>
      <w:tr w14:paraId="261503A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19" w:type="dxa"/>
            <w:noWrap w:val="0"/>
            <w:vAlign w:val="center"/>
          </w:tcPr>
          <w:p w14:paraId="2C6FCB25">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190" w:type="dxa"/>
            <w:noWrap w:val="0"/>
            <w:vAlign w:val="center"/>
          </w:tcPr>
          <w:p w14:paraId="72C1B09A">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84" w:type="dxa"/>
            <w:noWrap w:val="0"/>
            <w:vAlign w:val="center"/>
          </w:tcPr>
          <w:p w14:paraId="24145E84">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2A4A958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19" w:type="dxa"/>
            <w:noWrap w:val="0"/>
            <w:vAlign w:val="center"/>
          </w:tcPr>
          <w:p w14:paraId="0551F84D">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190" w:type="dxa"/>
            <w:noWrap w:val="0"/>
            <w:vAlign w:val="center"/>
          </w:tcPr>
          <w:p w14:paraId="447C9872">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84" w:type="dxa"/>
            <w:noWrap w:val="0"/>
            <w:vAlign w:val="center"/>
          </w:tcPr>
          <w:p w14:paraId="1965C481">
            <w:pPr>
              <w:pStyle w:val="21"/>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滁州市城泊车辆服务有限公司公共停车场保洁服务项目</w:t>
            </w:r>
          </w:p>
        </w:tc>
      </w:tr>
      <w:tr w14:paraId="7AFBFA4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19" w:type="dxa"/>
            <w:noWrap w:val="0"/>
            <w:vAlign w:val="center"/>
          </w:tcPr>
          <w:p w14:paraId="3AE009DE">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190" w:type="dxa"/>
            <w:noWrap w:val="0"/>
            <w:vAlign w:val="center"/>
          </w:tcPr>
          <w:p w14:paraId="4B9E6A10">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84" w:type="dxa"/>
            <w:noWrap w:val="0"/>
            <w:vAlign w:val="center"/>
          </w:tcPr>
          <w:p w14:paraId="4ABD6877">
            <w:pPr>
              <w:pStyle w:val="24"/>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u w:val="none" w:color="000000"/>
                <w:lang w:val="en-US" w:eastAsia="zh-CN" w:bidi="ar-SA"/>
              </w:rPr>
              <w:t>一年。服务期内招标人逐月对中标人进行考核，年底汇总，如考核合格，招标人将与其续签合同（一年）。</w:t>
            </w:r>
          </w:p>
        </w:tc>
      </w:tr>
      <w:tr w14:paraId="0E3F7A8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25" w:hRule="atLeast"/>
          <w:jc w:val="center"/>
        </w:trPr>
        <w:tc>
          <w:tcPr>
            <w:tcW w:w="1019" w:type="dxa"/>
            <w:noWrap w:val="0"/>
            <w:vAlign w:val="center"/>
          </w:tcPr>
          <w:p w14:paraId="34DC39FE">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190" w:type="dxa"/>
            <w:noWrap w:val="0"/>
            <w:vAlign w:val="center"/>
          </w:tcPr>
          <w:p w14:paraId="59059762">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84" w:type="dxa"/>
            <w:noWrap w:val="0"/>
            <w:vAlign w:val="center"/>
          </w:tcPr>
          <w:p w14:paraId="15E6CE74">
            <w:pPr>
              <w:pStyle w:val="21"/>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hAnsi="宋体" w:cs="宋体"/>
                <w:color w:val="auto"/>
                <w:sz w:val="21"/>
                <w:szCs w:val="21"/>
                <w:highlight w:val="none"/>
                <w:lang w:val="en-US" w:eastAsia="zh-CN"/>
              </w:rPr>
              <w:t>具体详见采购需求</w:t>
            </w:r>
          </w:p>
        </w:tc>
      </w:tr>
      <w:tr w14:paraId="460FFCD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19" w:type="dxa"/>
            <w:noWrap w:val="0"/>
            <w:vAlign w:val="center"/>
          </w:tcPr>
          <w:p w14:paraId="420740FA">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190" w:type="dxa"/>
            <w:noWrap w:val="0"/>
            <w:vAlign w:val="center"/>
          </w:tcPr>
          <w:p w14:paraId="0725DFFF">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84" w:type="dxa"/>
            <w:noWrap w:val="0"/>
            <w:vAlign w:val="center"/>
          </w:tcPr>
          <w:p w14:paraId="4844E234">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李文韬</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0550-3567705</w:t>
            </w:r>
          </w:p>
        </w:tc>
      </w:tr>
      <w:tr w14:paraId="58EF68D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19" w:type="dxa"/>
            <w:noWrap w:val="0"/>
            <w:vAlign w:val="center"/>
          </w:tcPr>
          <w:p w14:paraId="2B9786FD">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190" w:type="dxa"/>
            <w:noWrap w:val="0"/>
            <w:vAlign w:val="center"/>
          </w:tcPr>
          <w:p w14:paraId="7745034D">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84" w:type="dxa"/>
            <w:noWrap w:val="0"/>
            <w:vAlign w:val="center"/>
          </w:tcPr>
          <w:p w14:paraId="2A7BABAF">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联系人：杨韦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电话0550-30519590、18005501210</w:t>
            </w:r>
          </w:p>
        </w:tc>
      </w:tr>
      <w:tr w14:paraId="3D05F2B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1019" w:type="dxa"/>
            <w:noWrap w:val="0"/>
            <w:vAlign w:val="center"/>
          </w:tcPr>
          <w:p w14:paraId="2D04004A">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190" w:type="dxa"/>
            <w:noWrap w:val="0"/>
            <w:vAlign w:val="center"/>
          </w:tcPr>
          <w:p w14:paraId="78D3D050">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84" w:type="dxa"/>
            <w:noWrap w:val="0"/>
            <w:vAlign w:val="center"/>
          </w:tcPr>
          <w:p w14:paraId="2FC63EF5">
            <w:pPr>
              <w:pStyle w:val="21"/>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09D537B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19" w:type="dxa"/>
            <w:noWrap w:val="0"/>
            <w:vAlign w:val="center"/>
          </w:tcPr>
          <w:p w14:paraId="5D56945D">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w:t>
            </w:r>
            <w:r>
              <w:rPr>
                <w:rFonts w:hint="eastAsia" w:hAnsi="宋体" w:cs="宋体"/>
                <w:color w:val="auto"/>
                <w:sz w:val="21"/>
                <w:szCs w:val="21"/>
                <w:highlight w:val="none"/>
                <w:lang w:val="en-US" w:eastAsia="zh-CN"/>
              </w:rPr>
              <w:t>4</w:t>
            </w:r>
          </w:p>
        </w:tc>
        <w:tc>
          <w:tcPr>
            <w:tcW w:w="2190" w:type="dxa"/>
            <w:noWrap w:val="0"/>
            <w:vAlign w:val="center"/>
          </w:tcPr>
          <w:p w14:paraId="086BDEBA">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84" w:type="dxa"/>
            <w:noWrap w:val="0"/>
            <w:vAlign w:val="center"/>
          </w:tcPr>
          <w:p w14:paraId="75C425F4">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38.82</w:t>
            </w:r>
            <w:r>
              <w:rPr>
                <w:rFonts w:hint="eastAsia" w:ascii="宋体" w:hAnsi="宋体" w:eastAsia="宋体" w:cs="宋体"/>
                <w:color w:val="auto"/>
                <w:sz w:val="21"/>
                <w:szCs w:val="21"/>
                <w:highlight w:val="none"/>
                <w:lang w:val="en-US" w:eastAsia="zh-CN"/>
              </w:rPr>
              <w:t>万</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val="en-US" w:eastAsia="zh-CN"/>
              </w:rPr>
              <w:t>/年</w:t>
            </w:r>
            <w:r>
              <w:rPr>
                <w:rFonts w:hint="eastAsia" w:ascii="宋体" w:hAnsi="宋体" w:eastAsia="宋体" w:cs="宋体"/>
                <w:color w:val="auto"/>
                <w:sz w:val="21"/>
                <w:szCs w:val="21"/>
                <w:highlight w:val="none"/>
              </w:rPr>
              <w:t>，投标报价均不得高于最高限价，否则将作为无效投标处理。</w:t>
            </w:r>
          </w:p>
        </w:tc>
      </w:tr>
      <w:tr w14:paraId="135BCE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19" w:type="dxa"/>
            <w:noWrap w:val="0"/>
            <w:vAlign w:val="center"/>
          </w:tcPr>
          <w:p w14:paraId="58D04259">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190" w:type="dxa"/>
            <w:noWrap w:val="0"/>
            <w:vAlign w:val="center"/>
          </w:tcPr>
          <w:p w14:paraId="119A5F6F">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84" w:type="dxa"/>
            <w:noWrap w:val="0"/>
            <w:vAlign w:val="center"/>
          </w:tcPr>
          <w:p w14:paraId="54E5CA20">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741C4C7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19" w:type="dxa"/>
            <w:noWrap w:val="0"/>
            <w:vAlign w:val="center"/>
          </w:tcPr>
          <w:p w14:paraId="076EBDFA">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190" w:type="dxa"/>
            <w:noWrap w:val="0"/>
            <w:vAlign w:val="center"/>
          </w:tcPr>
          <w:p w14:paraId="727EE386">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84" w:type="dxa"/>
            <w:noWrap w:val="0"/>
            <w:vAlign w:val="center"/>
          </w:tcPr>
          <w:p w14:paraId="3811FC48">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4EB6920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19" w:type="dxa"/>
            <w:noWrap w:val="0"/>
            <w:vAlign w:val="center"/>
          </w:tcPr>
          <w:p w14:paraId="1AA0CA66">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190" w:type="dxa"/>
            <w:noWrap w:val="0"/>
            <w:vAlign w:val="center"/>
          </w:tcPr>
          <w:p w14:paraId="64CC7A7A">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84" w:type="dxa"/>
            <w:noWrap w:val="0"/>
            <w:vAlign w:val="center"/>
          </w:tcPr>
          <w:p w14:paraId="3626B62D">
            <w:pPr>
              <w:pStyle w:val="21"/>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3BA7CD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19" w:type="dxa"/>
            <w:noWrap w:val="0"/>
            <w:vAlign w:val="center"/>
          </w:tcPr>
          <w:p w14:paraId="70FB6AED">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190" w:type="dxa"/>
            <w:noWrap w:val="0"/>
            <w:vAlign w:val="center"/>
          </w:tcPr>
          <w:p w14:paraId="17F7EB39">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84" w:type="dxa"/>
            <w:noWrap w:val="0"/>
            <w:vAlign w:val="center"/>
          </w:tcPr>
          <w:p w14:paraId="3A10C300">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63B8E95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2B3ADFAC">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190" w:type="dxa"/>
            <w:noWrap w:val="0"/>
            <w:vAlign w:val="center"/>
          </w:tcPr>
          <w:p w14:paraId="1A7EF0A5">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84" w:type="dxa"/>
            <w:noWrap w:val="0"/>
            <w:vAlign w:val="center"/>
          </w:tcPr>
          <w:p w14:paraId="5861F831">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16DB45D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5ABA65B7">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190" w:type="dxa"/>
            <w:noWrap w:val="0"/>
            <w:vAlign w:val="center"/>
          </w:tcPr>
          <w:p w14:paraId="52339053">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84" w:type="dxa"/>
            <w:noWrap w:val="0"/>
            <w:vAlign w:val="center"/>
          </w:tcPr>
          <w:p w14:paraId="1858F341">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090DC1E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19" w:type="dxa"/>
            <w:noWrap w:val="0"/>
            <w:vAlign w:val="center"/>
          </w:tcPr>
          <w:p w14:paraId="5C9E40AE">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190" w:type="dxa"/>
            <w:noWrap w:val="0"/>
            <w:vAlign w:val="center"/>
          </w:tcPr>
          <w:p w14:paraId="3AD98574">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84" w:type="dxa"/>
            <w:noWrap w:val="0"/>
            <w:vAlign w:val="center"/>
          </w:tcPr>
          <w:p w14:paraId="781FE2CB">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5B5CB8A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19" w:type="dxa"/>
            <w:noWrap w:val="0"/>
            <w:vAlign w:val="center"/>
          </w:tcPr>
          <w:p w14:paraId="32619693">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190" w:type="dxa"/>
            <w:noWrap w:val="0"/>
            <w:vAlign w:val="center"/>
          </w:tcPr>
          <w:p w14:paraId="7FC7F249">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84" w:type="dxa"/>
            <w:noWrap w:val="0"/>
            <w:vAlign w:val="center"/>
          </w:tcPr>
          <w:p w14:paraId="116FB741">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代理服务费金额：</w:t>
            </w:r>
            <w:r>
              <w:rPr>
                <w:rFonts w:hint="eastAsia" w:ascii="宋体" w:hAnsi="宋体" w:cs="宋体"/>
                <w:color w:val="auto"/>
                <w:sz w:val="21"/>
                <w:szCs w:val="21"/>
                <w:highlight w:val="none"/>
                <w:lang w:val="en-US" w:eastAsia="zh-CN"/>
              </w:rPr>
              <w:t>2000</w:t>
            </w:r>
            <w:r>
              <w:rPr>
                <w:rFonts w:hint="eastAsia" w:ascii="宋体" w:hAnsi="宋体" w:eastAsia="宋体" w:cs="宋体"/>
                <w:color w:val="auto"/>
                <w:sz w:val="21"/>
                <w:szCs w:val="21"/>
                <w:highlight w:val="none"/>
              </w:rPr>
              <w:t>元；</w:t>
            </w:r>
            <w:r>
              <w:rPr>
                <w:rFonts w:hint="eastAsia" w:ascii="宋体" w:hAnsi="宋体" w:cs="宋体"/>
                <w:color w:val="auto"/>
                <w:sz w:val="21"/>
                <w:szCs w:val="21"/>
                <w:highlight w:val="none"/>
                <w:lang w:val="en-US" w:eastAsia="zh-CN"/>
              </w:rPr>
              <w:t>评审</w:t>
            </w:r>
            <w:r>
              <w:rPr>
                <w:rFonts w:hint="eastAsia" w:ascii="宋体" w:hAnsi="宋体" w:eastAsia="宋体" w:cs="宋体"/>
                <w:color w:val="auto"/>
                <w:sz w:val="21"/>
                <w:szCs w:val="21"/>
                <w:highlight w:val="none"/>
                <w:lang w:val="en-US" w:eastAsia="zh-CN"/>
              </w:rPr>
              <w:t>费用以实际发生费用为准。</w:t>
            </w:r>
          </w:p>
          <w:p w14:paraId="48C53E44">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支付主体：</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p>
        </w:tc>
      </w:tr>
      <w:tr w14:paraId="256D713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38BCA808">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190" w:type="dxa"/>
            <w:noWrap w:val="0"/>
            <w:vAlign w:val="center"/>
          </w:tcPr>
          <w:p w14:paraId="3C15DD40">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84" w:type="dxa"/>
            <w:noWrap w:val="0"/>
            <w:vAlign w:val="center"/>
          </w:tcPr>
          <w:p w14:paraId="1AF04806">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w:t>
            </w:r>
            <w:r>
              <w:rPr>
                <w:rFonts w:hint="eastAsia" w:ascii="宋体" w:hAnsi="宋体" w:eastAsia="宋体" w:cs="宋体"/>
                <w:b/>
                <w:bCs/>
                <w:color w:val="auto"/>
                <w:sz w:val="21"/>
                <w:szCs w:val="21"/>
                <w:highlight w:val="none"/>
                <w:lang w:val="en-US"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val="en-US" w:eastAsia="zh-CN"/>
              </w:rPr>
              <w:t>年</w:t>
            </w:r>
            <w:r>
              <w:rPr>
                <w:rFonts w:hint="eastAsia" w:ascii="宋体" w:hAnsi="宋体" w:cs="宋体"/>
                <w:b/>
                <w:bCs/>
                <w:color w:val="auto"/>
                <w:sz w:val="21"/>
                <w:szCs w:val="21"/>
                <w:highlight w:val="none"/>
                <w:lang w:val="en-US" w:eastAsia="zh-CN"/>
              </w:rPr>
              <w:t>6</w:t>
            </w:r>
            <w:r>
              <w:rPr>
                <w:rFonts w:hint="eastAsia" w:ascii="宋体" w:hAnsi="宋体" w:eastAsia="宋体" w:cs="宋体"/>
                <w:b/>
                <w:bCs/>
                <w:color w:val="auto"/>
                <w:sz w:val="21"/>
                <w:szCs w:val="21"/>
                <w:highlight w:val="none"/>
                <w:lang w:val="en-US" w:eastAsia="zh-CN"/>
              </w:rPr>
              <w:t>月</w:t>
            </w:r>
            <w:r>
              <w:rPr>
                <w:rFonts w:hint="eastAsia" w:ascii="宋体" w:hAnsi="宋体" w:cs="宋体"/>
                <w:b/>
                <w:bCs/>
                <w:color w:val="auto"/>
                <w:sz w:val="21"/>
                <w:szCs w:val="21"/>
                <w:highlight w:val="none"/>
                <w:lang w:val="en-US" w:eastAsia="zh-CN"/>
              </w:rPr>
              <w:t>18</w:t>
            </w:r>
            <w:r>
              <w:rPr>
                <w:rFonts w:hint="eastAsia" w:ascii="宋体" w:hAnsi="宋体" w:eastAsia="宋体" w:cs="宋体"/>
                <w:b/>
                <w:bCs/>
                <w:color w:val="auto"/>
                <w:sz w:val="21"/>
                <w:szCs w:val="21"/>
                <w:highlight w:val="none"/>
                <w:lang w:val="en-US" w:eastAsia="zh-CN"/>
              </w:rPr>
              <w:t>日</w:t>
            </w:r>
            <w:r>
              <w:rPr>
                <w:rFonts w:hint="eastAsia" w:ascii="宋体" w:hAnsi="宋体" w:cs="宋体"/>
                <w:b/>
                <w:bCs/>
                <w:color w:val="auto"/>
                <w:sz w:val="21"/>
                <w:szCs w:val="21"/>
                <w:highlight w:val="none"/>
                <w:lang w:val="en-US" w:eastAsia="zh-CN"/>
              </w:rPr>
              <w:t>17</w:t>
            </w:r>
            <w:r>
              <w:rPr>
                <w:rFonts w:hint="eastAsia" w:ascii="宋体" w:hAnsi="宋体" w:eastAsia="宋体" w:cs="宋体"/>
                <w:b/>
                <w:bCs/>
                <w:color w:val="auto"/>
                <w:sz w:val="21"/>
                <w:szCs w:val="21"/>
                <w:highlight w:val="none"/>
                <w:lang w:val="en-US" w:eastAsia="zh-CN"/>
              </w:rPr>
              <w:t>时</w:t>
            </w:r>
            <w:r>
              <w:rPr>
                <w:rFonts w:hint="eastAsia" w:ascii="宋体" w:hAnsi="宋体" w:eastAsia="宋体" w:cs="宋体"/>
                <w:color w:val="auto"/>
                <w:sz w:val="21"/>
                <w:szCs w:val="21"/>
                <w:highlight w:val="none"/>
                <w:lang w:val="en-US" w:eastAsia="zh-CN"/>
              </w:rPr>
              <w:t>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w:t>
            </w:r>
            <w:r>
              <w:rPr>
                <w:rFonts w:hint="eastAsia" w:ascii="宋体" w:hAnsi="宋体" w:cs="宋体"/>
                <w:color w:val="auto"/>
                <w:sz w:val="21"/>
                <w:szCs w:val="21"/>
                <w:highlight w:val="none"/>
                <w:lang w:val="en-US" w:eastAsia="zh-CN"/>
              </w:rPr>
              <w:t>滁州市</w:t>
            </w:r>
            <w:r>
              <w:rPr>
                <w:rFonts w:hint="eastAsia" w:ascii="宋体" w:hAnsi="宋体" w:eastAsia="宋体" w:cs="宋体"/>
                <w:color w:val="auto"/>
                <w:sz w:val="21"/>
                <w:szCs w:val="21"/>
                <w:highlight w:val="none"/>
                <w:lang w:val="en-US" w:eastAsia="zh-CN"/>
              </w:rPr>
              <w:t>扬子工业投资集团有限公司官网（https://czyzgtjt.com/）、滁州市城投工程咨询管理有限公司（https://www.czctgczx.com/）予以公布。</w:t>
            </w:r>
          </w:p>
        </w:tc>
      </w:tr>
      <w:tr w14:paraId="3AE1009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6CE60739">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190" w:type="dxa"/>
            <w:noWrap w:val="0"/>
            <w:vAlign w:val="center"/>
          </w:tcPr>
          <w:p w14:paraId="3E561E43">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84" w:type="dxa"/>
            <w:noWrap w:val="0"/>
            <w:vAlign w:val="center"/>
          </w:tcPr>
          <w:p w14:paraId="13741864">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052EC10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19" w:type="dxa"/>
            <w:noWrap w:val="0"/>
            <w:vAlign w:val="center"/>
          </w:tcPr>
          <w:p w14:paraId="507F886E">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190" w:type="dxa"/>
            <w:noWrap w:val="0"/>
            <w:vAlign w:val="center"/>
          </w:tcPr>
          <w:p w14:paraId="0CB237F6">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84" w:type="dxa"/>
            <w:noWrap w:val="0"/>
            <w:vAlign w:val="top"/>
          </w:tcPr>
          <w:p w14:paraId="2472398B">
            <w:pPr>
              <w:keepNext w:val="0"/>
              <w:keepLines w:val="0"/>
              <w:pageBreakBefore w:val="0"/>
              <w:widowControl/>
              <w:shd w:val="clear" w:color="auto" w:fill="FFFFFF"/>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不收取</w:t>
            </w:r>
          </w:p>
        </w:tc>
      </w:tr>
      <w:tr w14:paraId="6F79EFA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19" w:type="dxa"/>
            <w:noWrap w:val="0"/>
            <w:vAlign w:val="center"/>
          </w:tcPr>
          <w:p w14:paraId="3B2508D9">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190" w:type="dxa"/>
            <w:noWrap w:val="0"/>
            <w:vAlign w:val="center"/>
          </w:tcPr>
          <w:p w14:paraId="55FEC5B0">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84" w:type="dxa"/>
            <w:noWrap w:val="0"/>
            <w:vAlign w:val="center"/>
          </w:tcPr>
          <w:p w14:paraId="7765310A">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加密电子投标文件应在投标截止时间前通过登录新点电子交易平台【滁州专区】上传投标文件。</w:t>
            </w:r>
          </w:p>
          <w:p w14:paraId="77BBB1EE">
            <w:pPr>
              <w:keepNext w:val="0"/>
              <w:keepLines w:val="0"/>
              <w:pageBreakBefore w:val="0"/>
              <w:widowControl/>
              <w:kinsoku/>
              <w:overflowPunct/>
              <w:topLinePunct w:val="0"/>
              <w:autoSpaceDE/>
              <w:autoSpaceDN/>
              <w:bidi w:val="0"/>
              <w:adjustRightInd/>
              <w:spacing w:line="50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（投标人中标后须递交与网上电子投标文件完全一致的纸质版投标文件，并按要求加盖单位章；份数：正本 1 份，副本2份；中标人领取中标通知书时，一并递交给代理机构）。</w:t>
            </w:r>
          </w:p>
        </w:tc>
      </w:tr>
      <w:tr w14:paraId="2474D56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10FDC7D5">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190" w:type="dxa"/>
            <w:noWrap w:val="0"/>
            <w:vAlign w:val="center"/>
          </w:tcPr>
          <w:p w14:paraId="284B0CE4">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84" w:type="dxa"/>
            <w:noWrap w:val="0"/>
            <w:vAlign w:val="center"/>
          </w:tcPr>
          <w:p w14:paraId="4844BC8B">
            <w:pPr>
              <w:keepNext w:val="0"/>
              <w:keepLines w:val="0"/>
              <w:pageBreakBefore w:val="0"/>
              <w:widowControl/>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13F2074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19" w:type="dxa"/>
            <w:noWrap w:val="0"/>
            <w:vAlign w:val="center"/>
          </w:tcPr>
          <w:p w14:paraId="3D9B73E2">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190" w:type="dxa"/>
            <w:noWrap w:val="0"/>
            <w:vAlign w:val="center"/>
          </w:tcPr>
          <w:p w14:paraId="1267190C">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84" w:type="dxa"/>
            <w:noWrap w:val="0"/>
            <w:vAlign w:val="center"/>
          </w:tcPr>
          <w:p w14:paraId="4837277E">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6</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23</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9</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14:paraId="4A327BD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19" w:type="dxa"/>
            <w:noWrap w:val="0"/>
            <w:vAlign w:val="center"/>
          </w:tcPr>
          <w:p w14:paraId="0590AF71">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190" w:type="dxa"/>
            <w:noWrap w:val="0"/>
            <w:vAlign w:val="center"/>
          </w:tcPr>
          <w:p w14:paraId="31F09A11">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84" w:type="dxa"/>
            <w:noWrap w:val="0"/>
            <w:vAlign w:val="center"/>
          </w:tcPr>
          <w:p w14:paraId="11C12EF8">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09B6CC3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6515A18B">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190" w:type="dxa"/>
            <w:noWrap w:val="0"/>
            <w:vAlign w:val="center"/>
          </w:tcPr>
          <w:p w14:paraId="250CF81C">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84" w:type="dxa"/>
            <w:noWrap w:val="0"/>
            <w:vAlign w:val="center"/>
          </w:tcPr>
          <w:p w14:paraId="7272B6DE">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见第一章“招标公告”</w:t>
            </w:r>
          </w:p>
          <w:p w14:paraId="45E9903A">
            <w:pPr>
              <w:keepNext w:val="0"/>
              <w:keepLines w:val="0"/>
              <w:pageBreakBefore w:val="0"/>
              <w:kinsoku/>
              <w:overflowPunct/>
              <w:topLinePunct w:val="0"/>
              <w:autoSpaceDE/>
              <w:autoSpaceDN/>
              <w:bidi w:val="0"/>
              <w:adjustRightInd/>
              <w:spacing w:line="500" w:lineRule="exact"/>
              <w:ind w:left="210" w:hanging="210" w:hanging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解密时间：解密程序开始后</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分钟内</w:t>
            </w:r>
            <w:r>
              <w:rPr>
                <w:rFonts w:hint="eastAsia" w:ascii="宋体" w:hAnsi="宋体" w:eastAsia="宋体" w:cs="宋体"/>
                <w:bCs/>
                <w:snapToGrid w:val="0"/>
                <w:color w:val="auto"/>
                <w:kern w:val="0"/>
                <w:sz w:val="21"/>
                <w:szCs w:val="21"/>
                <w:highlight w:val="none"/>
              </w:rPr>
              <w:t>，</w:t>
            </w:r>
            <w:r>
              <w:rPr>
                <w:rFonts w:hint="eastAsia" w:ascii="宋体" w:hAnsi="宋体" w:eastAsia="宋体" w:cs="宋体"/>
                <w:b/>
                <w:bCs/>
                <w:color w:val="auto"/>
                <w:sz w:val="21"/>
                <w:szCs w:val="21"/>
                <w:highlight w:val="none"/>
              </w:rPr>
              <w:t>解密时间为</w:t>
            </w:r>
            <w:r>
              <w:rPr>
                <w:rFonts w:hint="eastAsia" w:ascii="宋体" w:hAnsi="宋体" w:eastAsia="宋体" w:cs="宋体"/>
                <w:b/>
                <w:bCs/>
                <w:color w:val="auto"/>
                <w:sz w:val="21"/>
                <w:szCs w:val="21"/>
                <w:highlight w:val="none"/>
                <w:u w:val="single"/>
                <w:lang w:val="en-US" w:eastAsia="zh-CN"/>
              </w:rPr>
              <w:t>2025</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u w:val="single"/>
                <w:lang w:val="en-US" w:eastAsia="zh-CN"/>
              </w:rPr>
              <w:t xml:space="preserve"> 6 </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u w:val="single"/>
                <w:lang w:val="en-US" w:eastAsia="zh-CN"/>
              </w:rPr>
              <w:t xml:space="preserve"> 23 日9</w:t>
            </w:r>
            <w:r>
              <w:rPr>
                <w:rFonts w:hint="eastAsia" w:ascii="宋体" w:hAnsi="宋体" w:eastAsia="宋体" w:cs="宋体"/>
                <w:b/>
                <w:bCs/>
                <w:color w:val="auto"/>
                <w:sz w:val="21"/>
                <w:szCs w:val="21"/>
                <w:highlight w:val="none"/>
              </w:rPr>
              <w:t>时</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cs="宋体"/>
                <w:b/>
                <w:bCs/>
                <w:color w:val="auto"/>
                <w:sz w:val="21"/>
                <w:szCs w:val="21"/>
                <w:highlight w:val="none"/>
                <w:u w:val="single"/>
                <w:lang w:val="en-US" w:eastAsia="zh-CN"/>
              </w:rPr>
              <w:t>00</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rPr>
              <w:t>分至</w:t>
            </w:r>
            <w:r>
              <w:rPr>
                <w:rFonts w:hint="eastAsia" w:ascii="宋体" w:hAnsi="宋体" w:eastAsia="宋体" w:cs="宋体"/>
                <w:b/>
                <w:bCs/>
                <w:color w:val="auto"/>
                <w:sz w:val="21"/>
                <w:szCs w:val="21"/>
                <w:highlight w:val="none"/>
                <w:u w:val="single"/>
                <w:lang w:val="en-US" w:eastAsia="zh-CN"/>
              </w:rPr>
              <w:t>2025</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u w:val="single"/>
                <w:lang w:val="en-US" w:eastAsia="zh-CN"/>
              </w:rPr>
              <w:t xml:space="preserve"> 6 </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u w:val="single"/>
                <w:lang w:val="en-US" w:eastAsia="zh-CN"/>
              </w:rPr>
              <w:t xml:space="preserve"> 23</w:t>
            </w:r>
            <w:r>
              <w:rPr>
                <w:rFonts w:hint="eastAsia" w:ascii="宋体" w:hAnsi="宋体" w:eastAsia="宋体" w:cs="宋体"/>
                <w:b/>
                <w:bCs/>
                <w:color w:val="auto"/>
                <w:sz w:val="21"/>
                <w:szCs w:val="21"/>
                <w:highlight w:val="none"/>
              </w:rPr>
              <w:t>日</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cs="宋体"/>
                <w:b/>
                <w:bCs/>
                <w:color w:val="auto"/>
                <w:sz w:val="21"/>
                <w:szCs w:val="21"/>
                <w:highlight w:val="none"/>
                <w:u w:val="single"/>
                <w:lang w:val="en-US" w:eastAsia="zh-CN"/>
              </w:rPr>
              <w:t>9</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rPr>
              <w:t>时</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cs="宋体"/>
                <w:b/>
                <w:bCs/>
                <w:color w:val="auto"/>
                <w:sz w:val="21"/>
                <w:szCs w:val="21"/>
                <w:highlight w:val="none"/>
                <w:u w:val="single"/>
                <w:lang w:val="en-US" w:eastAsia="zh-CN"/>
              </w:rPr>
              <w:t>30</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rPr>
              <w:t>分</w:t>
            </w:r>
            <w:r>
              <w:rPr>
                <w:rFonts w:hint="eastAsia" w:ascii="宋体" w:hAnsi="宋体" w:eastAsia="宋体" w:cs="宋体"/>
                <w:bCs/>
                <w:snapToGrid w:val="0"/>
                <w:color w:val="auto"/>
                <w:kern w:val="0"/>
                <w:sz w:val="21"/>
                <w:szCs w:val="21"/>
                <w:highlight w:val="none"/>
              </w:rPr>
              <w:t>（以电子交易系统解密倒计时为准）</w:t>
            </w:r>
            <w:r>
              <w:rPr>
                <w:rFonts w:hint="eastAsia" w:ascii="宋体" w:hAnsi="宋体" w:eastAsia="宋体" w:cs="宋体"/>
                <w:color w:val="auto"/>
                <w:sz w:val="21"/>
                <w:szCs w:val="21"/>
                <w:highlight w:val="none"/>
              </w:rPr>
              <w:t>。</w:t>
            </w:r>
          </w:p>
        </w:tc>
      </w:tr>
      <w:tr w14:paraId="0407B3D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19" w:type="dxa"/>
            <w:noWrap w:val="0"/>
            <w:vAlign w:val="center"/>
          </w:tcPr>
          <w:p w14:paraId="40178E9E">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190" w:type="dxa"/>
            <w:noWrap w:val="0"/>
            <w:vAlign w:val="center"/>
          </w:tcPr>
          <w:p w14:paraId="0B4C546A">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84" w:type="dxa"/>
            <w:noWrap w:val="0"/>
            <w:vAlign w:val="center"/>
          </w:tcPr>
          <w:p w14:paraId="147DD47E">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再</w:t>
            </w:r>
            <w:r>
              <w:rPr>
                <w:rFonts w:hint="eastAsia" w:ascii="宋体" w:hAnsi="宋体" w:eastAsia="宋体" w:cs="宋体"/>
                <w:color w:val="auto"/>
                <w:sz w:val="21"/>
                <w:szCs w:val="21"/>
                <w:highlight w:val="none"/>
                <w:lang w:val="en-US" w:eastAsia="zh-CN"/>
              </w:rPr>
              <w:t>进行评审。</w:t>
            </w:r>
          </w:p>
        </w:tc>
      </w:tr>
      <w:tr w14:paraId="09E54B5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19" w:type="dxa"/>
            <w:noWrap w:val="0"/>
            <w:vAlign w:val="center"/>
          </w:tcPr>
          <w:p w14:paraId="0B6CD008">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190" w:type="dxa"/>
            <w:noWrap w:val="0"/>
            <w:vAlign w:val="center"/>
          </w:tcPr>
          <w:p w14:paraId="5FDB1D68">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84" w:type="dxa"/>
            <w:noWrap w:val="0"/>
            <w:vAlign w:val="top"/>
          </w:tcPr>
          <w:p w14:paraId="21298DC7">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w:t>
            </w:r>
            <w:r>
              <w:rPr>
                <w:rFonts w:hint="eastAsia" w:ascii="宋体" w:hAnsi="宋体" w:eastAsia="宋体" w:cs="宋体"/>
                <w:color w:val="auto"/>
                <w:sz w:val="21"/>
                <w:szCs w:val="21"/>
                <w:highlight w:val="none"/>
                <w:lang w:val="en-US" w:eastAsia="zh-CN"/>
              </w:rPr>
              <w:t>由招标人组建</w:t>
            </w:r>
            <w:r>
              <w:rPr>
                <w:rFonts w:hint="eastAsia" w:ascii="宋体" w:hAnsi="宋体" w:eastAsia="宋体" w:cs="宋体"/>
                <w:color w:val="auto"/>
                <w:sz w:val="21"/>
                <w:szCs w:val="21"/>
                <w:highlight w:val="none"/>
              </w:rPr>
              <w:t>。</w:t>
            </w:r>
          </w:p>
        </w:tc>
      </w:tr>
      <w:tr w14:paraId="4A10EB1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19" w:type="dxa"/>
            <w:noWrap w:val="0"/>
            <w:vAlign w:val="center"/>
          </w:tcPr>
          <w:p w14:paraId="7D5A35ED">
            <w:pPr>
              <w:pStyle w:val="21"/>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190" w:type="dxa"/>
            <w:noWrap w:val="0"/>
            <w:vAlign w:val="center"/>
          </w:tcPr>
          <w:p w14:paraId="1E5B5B20">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84" w:type="dxa"/>
            <w:noWrap w:val="0"/>
            <w:vAlign w:val="center"/>
          </w:tcPr>
          <w:p w14:paraId="154A1D2C">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14:paraId="3ED7E6D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19" w:type="dxa"/>
            <w:noWrap w:val="0"/>
            <w:vAlign w:val="center"/>
          </w:tcPr>
          <w:p w14:paraId="395E253E">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190" w:type="dxa"/>
            <w:noWrap w:val="0"/>
            <w:vAlign w:val="center"/>
          </w:tcPr>
          <w:p w14:paraId="32251CD4">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84" w:type="dxa"/>
            <w:noWrap w:val="0"/>
            <w:vAlign w:val="center"/>
          </w:tcPr>
          <w:p w14:paraId="65D61580">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中标通知书须加盖</w:t>
            </w:r>
            <w:r>
              <w:rPr>
                <w:rFonts w:hint="eastAsia" w:ascii="宋体" w:hAnsi="宋体" w:eastAsia="宋体" w:cs="宋体"/>
                <w:color w:val="auto"/>
                <w:sz w:val="21"/>
                <w:szCs w:val="21"/>
                <w:highlight w:val="none"/>
                <w:lang w:val="en-US" w:eastAsia="zh-CN"/>
              </w:rPr>
              <w:t>招标人及代理机构公章</w:t>
            </w:r>
            <w:r>
              <w:rPr>
                <w:rFonts w:hint="eastAsia" w:ascii="宋体" w:hAnsi="宋体" w:eastAsia="宋体" w:cs="宋体"/>
                <w:color w:val="auto"/>
                <w:sz w:val="21"/>
                <w:szCs w:val="21"/>
                <w:highlight w:val="none"/>
              </w:rPr>
              <w:t>后方可发出。</w:t>
            </w:r>
          </w:p>
        </w:tc>
      </w:tr>
      <w:tr w14:paraId="767C7BE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19" w:type="dxa"/>
            <w:noWrap w:val="0"/>
            <w:vAlign w:val="center"/>
          </w:tcPr>
          <w:p w14:paraId="036B7F55">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190" w:type="dxa"/>
            <w:noWrap w:val="0"/>
            <w:vAlign w:val="center"/>
          </w:tcPr>
          <w:p w14:paraId="0D4B3234">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84" w:type="dxa"/>
            <w:noWrap w:val="0"/>
            <w:vAlign w:val="center"/>
          </w:tcPr>
          <w:p w14:paraId="4E73B43B">
            <w:pPr>
              <w:keepNext w:val="0"/>
              <w:keepLines w:val="0"/>
              <w:pageBreakBefore w:val="0"/>
              <w:kinsoku/>
              <w:wordWrap w:val="0"/>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5D918F4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19" w:type="dxa"/>
            <w:noWrap w:val="0"/>
            <w:vAlign w:val="center"/>
          </w:tcPr>
          <w:p w14:paraId="6E2BF2AA">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190" w:type="dxa"/>
            <w:noWrap w:val="0"/>
            <w:vAlign w:val="center"/>
          </w:tcPr>
          <w:p w14:paraId="25A81384">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84" w:type="dxa"/>
            <w:noWrap w:val="0"/>
            <w:vAlign w:val="center"/>
          </w:tcPr>
          <w:p w14:paraId="747DC26F">
            <w:pPr>
              <w:keepNext w:val="0"/>
              <w:keepLines w:val="0"/>
              <w:pageBreakBefore w:val="0"/>
              <w:widowControl/>
              <w:kinsoku/>
              <w:overflowPunct/>
              <w:topLinePunct w:val="0"/>
              <w:autoSpaceDE/>
              <w:autoSpaceDN/>
              <w:bidi w:val="0"/>
              <w:adjustRightInd/>
              <w:spacing w:line="50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请于202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hAnsi="宋体" w:cs="宋体"/>
                <w:color w:val="auto"/>
                <w:sz w:val="21"/>
                <w:szCs w:val="21"/>
                <w:highlight w:val="none"/>
                <w:lang w:val="en-US" w:eastAsia="zh-CN"/>
              </w:rPr>
              <w:t>6</w:t>
            </w:r>
            <w:r>
              <w:rPr>
                <w:rFonts w:hint="eastAsia" w:ascii="宋体" w:hAnsi="宋体" w:eastAsia="宋体" w:cs="宋体"/>
                <w:color w:val="auto"/>
                <w:sz w:val="21"/>
                <w:szCs w:val="21"/>
                <w:highlight w:val="none"/>
              </w:rPr>
              <w:t>月</w:t>
            </w:r>
            <w:r>
              <w:rPr>
                <w:rFonts w:hint="eastAsia" w:hAnsi="宋体" w:cs="宋体"/>
                <w:color w:val="auto"/>
                <w:sz w:val="21"/>
                <w:szCs w:val="21"/>
                <w:highlight w:val="none"/>
                <w:lang w:val="en-US" w:eastAsia="zh-CN"/>
              </w:rPr>
              <w:t>17</w:t>
            </w:r>
            <w:r>
              <w:rPr>
                <w:rFonts w:hint="eastAsia" w:ascii="宋体" w:hAnsi="宋体" w:eastAsia="宋体" w:cs="宋体"/>
                <w:color w:val="auto"/>
                <w:sz w:val="21"/>
                <w:szCs w:val="21"/>
                <w:highlight w:val="none"/>
              </w:rPr>
              <w:t>日</w:t>
            </w:r>
            <w:r>
              <w:rPr>
                <w:rFonts w:hint="eastAsia" w:hAnsi="宋体" w:cs="宋体"/>
                <w:color w:val="auto"/>
                <w:sz w:val="21"/>
                <w:szCs w:val="21"/>
                <w:highlight w:val="none"/>
                <w:lang w:val="en-US" w:eastAsia="zh-CN"/>
              </w:rPr>
              <w:t>17</w:t>
            </w:r>
            <w:r>
              <w:rPr>
                <w:rFonts w:hint="eastAsia" w:ascii="宋体" w:hAnsi="宋体" w:eastAsia="宋体" w:cs="宋体"/>
                <w:color w:val="auto"/>
                <w:sz w:val="21"/>
                <w:szCs w:val="21"/>
                <w:highlight w:val="none"/>
              </w:rPr>
              <w:t>时前</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将疑问内容</w:t>
            </w:r>
            <w:r>
              <w:rPr>
                <w:rFonts w:hint="eastAsia" w:ascii="宋体" w:hAnsi="宋体" w:eastAsia="宋体" w:cs="宋体"/>
                <w:color w:val="auto"/>
                <w:sz w:val="21"/>
                <w:szCs w:val="21"/>
                <w:highlight w:val="none"/>
                <w:lang w:val="en-US" w:eastAsia="zh-CN"/>
              </w:rPr>
              <w:t>通过登录新点电子交易平台【滁州专区】线上提出异议</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 xml:space="preserve"> </w:t>
            </w:r>
          </w:p>
        </w:tc>
      </w:tr>
      <w:tr w14:paraId="7C6A111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19" w:type="dxa"/>
            <w:noWrap w:val="0"/>
            <w:vAlign w:val="center"/>
          </w:tcPr>
          <w:p w14:paraId="71F2F8A3">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190" w:type="dxa"/>
            <w:noWrap w:val="0"/>
            <w:vAlign w:val="center"/>
          </w:tcPr>
          <w:p w14:paraId="21E5930D">
            <w:pPr>
              <w:pStyle w:val="21"/>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84" w:type="dxa"/>
            <w:noWrap w:val="0"/>
            <w:vAlign w:val="center"/>
          </w:tcPr>
          <w:p w14:paraId="3D48F3D6">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w:t>
            </w:r>
            <w:r>
              <w:rPr>
                <w:rFonts w:hint="eastAsia" w:ascii="宋体" w:hAnsi="宋体" w:cs="宋体"/>
                <w:color w:val="auto"/>
                <w:sz w:val="21"/>
                <w:szCs w:val="21"/>
                <w:highlight w:val="none"/>
                <w:lang w:val="en-US" w:eastAsia="zh-CN"/>
              </w:rPr>
              <w:t>招标人</w:t>
            </w:r>
            <w:r>
              <w:rPr>
                <w:rFonts w:hint="eastAsia" w:ascii="宋体" w:hAnsi="宋体" w:eastAsia="宋体" w:cs="宋体"/>
                <w:color w:val="auto"/>
                <w:sz w:val="21"/>
                <w:szCs w:val="21"/>
                <w:highlight w:val="none"/>
                <w:lang w:val="en-US" w:eastAsia="zh-CN"/>
              </w:rPr>
              <w:t>澄清的方式</w:t>
            </w:r>
            <w:r>
              <w:rPr>
                <w:rFonts w:hint="default"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w:t>
            </w:r>
          </w:p>
        </w:tc>
      </w:tr>
      <w:tr w14:paraId="123F71E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209" w:type="dxa"/>
            <w:gridSpan w:val="2"/>
            <w:noWrap w:val="0"/>
            <w:vAlign w:val="center"/>
          </w:tcPr>
          <w:p w14:paraId="610DBA1D">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84" w:type="dxa"/>
            <w:noWrap w:val="0"/>
            <w:vAlign w:val="center"/>
          </w:tcPr>
          <w:p w14:paraId="3351BCA2">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根据考核结果按月支付服务费用，服务费用为年中标总价/12-考核扣款金额。</w:t>
            </w:r>
            <w:r>
              <w:rPr>
                <w:rFonts w:hint="eastAsia" w:ascii="宋体" w:hAnsi="宋体" w:eastAsia="宋体" w:cs="Times New Roman"/>
                <w:color w:val="auto"/>
                <w:szCs w:val="21"/>
                <w:highlight w:val="none"/>
                <w:u w:val="single"/>
                <w:lang w:eastAsia="zh-CN"/>
              </w:rPr>
              <w:t>次月由</w:t>
            </w:r>
            <w:r>
              <w:rPr>
                <w:rFonts w:hint="eastAsia" w:ascii="宋体" w:hAnsi="宋体" w:cs="Times New Roman"/>
                <w:color w:val="auto"/>
                <w:szCs w:val="21"/>
                <w:highlight w:val="none"/>
                <w:u w:val="single"/>
                <w:lang w:val="en-US" w:eastAsia="zh-CN"/>
              </w:rPr>
              <w:t>中标人</w:t>
            </w:r>
            <w:r>
              <w:rPr>
                <w:rFonts w:hint="eastAsia" w:ascii="宋体" w:hAnsi="宋体" w:eastAsia="宋体" w:cs="Times New Roman"/>
                <w:color w:val="auto"/>
                <w:szCs w:val="21"/>
                <w:highlight w:val="none"/>
                <w:u w:val="single"/>
              </w:rPr>
              <w:t>开具</w:t>
            </w:r>
            <w:r>
              <w:rPr>
                <w:rFonts w:hint="eastAsia" w:ascii="宋体" w:hAnsi="宋体" w:eastAsia="宋体" w:cs="Times New Roman"/>
                <w:color w:val="auto"/>
                <w:szCs w:val="21"/>
                <w:highlight w:val="none"/>
                <w:u w:val="single"/>
                <w:lang w:eastAsia="zh-CN"/>
              </w:rPr>
              <w:t>增值税</w:t>
            </w:r>
            <w:r>
              <w:rPr>
                <w:rFonts w:hint="eastAsia" w:ascii="宋体" w:hAnsi="宋体" w:eastAsia="宋体" w:cs="Times New Roman"/>
                <w:color w:val="auto"/>
                <w:szCs w:val="21"/>
                <w:highlight w:val="none"/>
                <w:u w:val="single"/>
              </w:rPr>
              <w:t>（</w:t>
            </w:r>
            <w:r>
              <w:rPr>
                <w:rFonts w:hint="eastAsia" w:ascii="宋体" w:hAnsi="宋体" w:cs="Times New Roman"/>
                <w:color w:val="auto"/>
                <w:szCs w:val="21"/>
                <w:highlight w:val="none"/>
                <w:u w:val="single"/>
                <w:lang w:eastAsia="zh-CN"/>
              </w:rPr>
              <w:t>□</w:t>
            </w:r>
            <w:r>
              <w:rPr>
                <w:rFonts w:hint="eastAsia" w:ascii="宋体" w:hAnsi="宋体" w:eastAsia="宋体" w:cs="Times New Roman"/>
                <w:color w:val="auto"/>
                <w:szCs w:val="21"/>
                <w:highlight w:val="none"/>
                <w:u w:val="single"/>
              </w:rPr>
              <w:t>普通、</w:t>
            </w:r>
            <w:r>
              <w:rPr>
                <w:rFonts w:hint="eastAsia" w:ascii="宋体" w:hAnsi="宋体" w:eastAsia="宋体" w:cs="Times New Roman"/>
                <w:color w:val="auto"/>
                <w:szCs w:val="21"/>
                <w:highlight w:val="none"/>
                <w:u w:val="single"/>
                <w:lang w:eastAsia="zh-CN"/>
              </w:rPr>
              <w:sym w:font="Wingdings 2" w:char="0052"/>
            </w:r>
            <w:r>
              <w:rPr>
                <w:rFonts w:hint="eastAsia" w:ascii="宋体" w:hAnsi="宋体" w:eastAsia="宋体" w:cs="Times New Roman"/>
                <w:color w:val="auto"/>
                <w:szCs w:val="21"/>
                <w:highlight w:val="none"/>
                <w:u w:val="single"/>
              </w:rPr>
              <w:t>专用）发票</w:t>
            </w:r>
            <w:r>
              <w:rPr>
                <w:rFonts w:hint="eastAsia" w:ascii="宋体" w:hAnsi="宋体" w:eastAsia="宋体" w:cs="Times New Roman"/>
                <w:color w:val="auto"/>
                <w:szCs w:val="21"/>
                <w:highlight w:val="none"/>
                <w:u w:val="single"/>
                <w:lang w:eastAsia="zh-CN"/>
              </w:rPr>
              <w:t>。</w:t>
            </w:r>
            <w:r>
              <w:rPr>
                <w:rFonts w:hint="eastAsia" w:ascii="宋体" w:hAnsi="宋体" w:eastAsia="宋体" w:cs="Times New Roman"/>
                <w:color w:val="auto"/>
                <w:szCs w:val="21"/>
                <w:highlight w:val="none"/>
                <w:u w:val="single"/>
                <w:lang w:val="en-US" w:eastAsia="zh-CN"/>
              </w:rPr>
              <w:t>待</w:t>
            </w:r>
            <w:r>
              <w:rPr>
                <w:rFonts w:hint="eastAsia" w:ascii="宋体" w:hAnsi="宋体" w:cs="Times New Roman"/>
                <w:color w:val="auto"/>
                <w:szCs w:val="21"/>
                <w:highlight w:val="none"/>
                <w:u w:val="single"/>
                <w:lang w:val="en-US" w:eastAsia="zh-CN"/>
              </w:rPr>
              <w:t>招标人</w:t>
            </w:r>
            <w:r>
              <w:rPr>
                <w:rFonts w:hint="eastAsia" w:ascii="宋体" w:hAnsi="宋体" w:eastAsia="宋体" w:cs="Times New Roman"/>
                <w:color w:val="auto"/>
                <w:szCs w:val="21"/>
                <w:highlight w:val="none"/>
                <w:u w:val="single"/>
              </w:rPr>
              <w:t>收到发票后</w:t>
            </w:r>
            <w:r>
              <w:rPr>
                <w:rFonts w:hint="eastAsia" w:ascii="宋体" w:hAnsi="宋体" w:eastAsia="宋体" w:cs="Times New Roman"/>
                <w:color w:val="auto"/>
                <w:szCs w:val="21"/>
                <w:highlight w:val="none"/>
                <w:u w:val="single"/>
                <w:lang w:eastAsia="zh-CN"/>
              </w:rPr>
              <w:t>【</w:t>
            </w:r>
            <w:r>
              <w:rPr>
                <w:rFonts w:hint="eastAsia" w:ascii="宋体" w:hAnsi="宋体" w:eastAsia="宋体" w:cs="Times New Roman"/>
                <w:color w:val="auto"/>
                <w:szCs w:val="21"/>
                <w:highlight w:val="none"/>
                <w:u w:val="single"/>
                <w:lang w:val="en-US" w:eastAsia="zh-CN"/>
              </w:rPr>
              <w:t>15】</w:t>
            </w:r>
            <w:r>
              <w:rPr>
                <w:rFonts w:hint="eastAsia" w:ascii="宋体" w:hAnsi="宋体" w:eastAsia="宋体" w:cs="Times New Roman"/>
                <w:color w:val="auto"/>
                <w:szCs w:val="21"/>
                <w:highlight w:val="none"/>
                <w:u w:val="single"/>
              </w:rPr>
              <w:t>日内将相应款项按相应要求支付给</w:t>
            </w:r>
            <w:r>
              <w:rPr>
                <w:rFonts w:hint="eastAsia" w:ascii="宋体" w:hAnsi="宋体" w:cs="Times New Roman"/>
                <w:color w:val="auto"/>
                <w:szCs w:val="21"/>
                <w:highlight w:val="none"/>
                <w:u w:val="single"/>
                <w:lang w:val="en-US" w:eastAsia="zh-CN"/>
              </w:rPr>
              <w:t>中标人</w:t>
            </w:r>
            <w:r>
              <w:rPr>
                <w:rFonts w:hint="eastAsia" w:ascii="宋体" w:hAnsi="宋体" w:eastAsia="宋体" w:cs="Times New Roman"/>
                <w:color w:val="auto"/>
                <w:szCs w:val="21"/>
                <w:highlight w:val="none"/>
                <w:u w:val="single"/>
              </w:rPr>
              <w:t>。</w:t>
            </w:r>
          </w:p>
        </w:tc>
      </w:tr>
    </w:tbl>
    <w:p w14:paraId="754FC5FB">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19" w:name="_Toc449028866"/>
      <w:bookmarkStart w:id="20" w:name="_Toc58430315"/>
      <w:r>
        <w:rPr>
          <w:rFonts w:hint="eastAsia" w:ascii="宋体" w:hAnsi="宋体" w:cs="宋体"/>
          <w:b/>
          <w:color w:val="auto"/>
          <w:sz w:val="28"/>
          <w:szCs w:val="28"/>
          <w:highlight w:val="none"/>
        </w:rPr>
        <w:t>二、投标人须知</w:t>
      </w:r>
      <w:bookmarkEnd w:id="19"/>
      <w:bookmarkEnd w:id="20"/>
    </w:p>
    <w:p w14:paraId="1BE8218E">
      <w:pPr>
        <w:spacing w:line="440" w:lineRule="exact"/>
        <w:jc w:val="center"/>
        <w:rPr>
          <w:rFonts w:hint="eastAsia" w:ascii="宋体" w:hAnsi="宋体" w:cs="宋体"/>
          <w:color w:val="auto"/>
          <w:sz w:val="28"/>
          <w:szCs w:val="28"/>
          <w:highlight w:val="none"/>
        </w:rPr>
      </w:pPr>
      <w:bookmarkStart w:id="21"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1"/>
    </w:p>
    <w:p w14:paraId="032C618E">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2B51BCF9">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2B73CAE6">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0F6591BF">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092FA0C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00AE086B">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11AA13A1">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0455F28C">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5B695E1F">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37295CB2">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6A7594FC">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70438948">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4515093F">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015019AB">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3D0EB82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234C3A98">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67A9146E">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739D8A10">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6A807F87">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5869AD30">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4EF55D7D">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6F88694B">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b/>
          <w:bCs/>
          <w:color w:val="auto"/>
          <w:szCs w:val="21"/>
          <w:highlight w:val="none"/>
        </w:rPr>
        <w:t xml:space="preserve"> </w:t>
      </w:r>
      <w:r>
        <w:rPr>
          <w:rFonts w:hint="eastAsia" w:ascii="宋体" w:hAnsi="宋体" w:cs="宋体"/>
          <w:b/>
          <w:bCs/>
          <w:color w:val="auto"/>
          <w:szCs w:val="21"/>
          <w:highlight w:val="none"/>
          <w:u w:val="single"/>
        </w:rPr>
        <w:t>综合评</w:t>
      </w:r>
      <w:r>
        <w:rPr>
          <w:rFonts w:hint="eastAsia" w:ascii="宋体" w:hAnsi="宋体" w:cs="宋体"/>
          <w:b/>
          <w:bCs/>
          <w:color w:val="auto"/>
          <w:szCs w:val="21"/>
          <w:highlight w:val="none"/>
          <w:u w:val="single"/>
          <w:lang w:val="en-US" w:eastAsia="zh-CN"/>
        </w:rPr>
        <w:t>分法</w:t>
      </w:r>
      <w:r>
        <w:rPr>
          <w:rFonts w:hint="eastAsia" w:ascii="宋体" w:hAnsi="宋体" w:cs="宋体"/>
          <w:b/>
          <w:bCs/>
          <w:color w:val="auto"/>
          <w:szCs w:val="21"/>
          <w:highlight w:val="none"/>
          <w:u w:val="single"/>
        </w:rPr>
        <w:t>（详见第三章评标办法）</w:t>
      </w:r>
      <w:r>
        <w:rPr>
          <w:rFonts w:hint="default" w:ascii="宋体" w:hAnsi="宋体" w:cs="宋体"/>
          <w:b/>
          <w:bCs/>
          <w:color w:val="auto"/>
          <w:szCs w:val="21"/>
          <w:highlight w:val="none"/>
        </w:rPr>
        <w:t>。</w:t>
      </w:r>
    </w:p>
    <w:p w14:paraId="668D514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112C23E4">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1DAD3A2">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3F6C9451">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3DD96970">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2" w:name="_Toc152042315"/>
      <w:bookmarkStart w:id="23" w:name="_Toc152045539"/>
      <w:bookmarkStart w:id="24" w:name="_Toc247592876"/>
      <w:bookmarkStart w:id="25" w:name="_Toc247513962"/>
      <w:bookmarkStart w:id="26" w:name="_Toc247527563"/>
      <w:bookmarkStart w:id="27" w:name="_Toc144974507"/>
      <w:bookmarkStart w:id="28" w:name="_Toc296602429"/>
      <w:r>
        <w:rPr>
          <w:rFonts w:hint="eastAsia" w:ascii="宋体" w:hAnsi="宋体" w:cs="宋体"/>
          <w:b/>
          <w:color w:val="auto"/>
          <w:szCs w:val="21"/>
          <w:highlight w:val="none"/>
        </w:rPr>
        <w:t xml:space="preserve"> 踏勘现场</w:t>
      </w:r>
      <w:bookmarkEnd w:id="22"/>
      <w:bookmarkEnd w:id="23"/>
      <w:bookmarkEnd w:id="24"/>
      <w:bookmarkEnd w:id="25"/>
      <w:bookmarkEnd w:id="26"/>
      <w:bookmarkEnd w:id="27"/>
      <w:bookmarkEnd w:id="28"/>
    </w:p>
    <w:p w14:paraId="67024A00">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5C806A02">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063DBE6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100EB4AE">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29" w:name="_Toc152045540"/>
      <w:bookmarkStart w:id="30" w:name="_Toc247592877"/>
      <w:bookmarkStart w:id="31" w:name="_Toc247527564"/>
      <w:bookmarkStart w:id="32" w:name="_Toc296602430"/>
      <w:bookmarkStart w:id="33" w:name="_Toc152042316"/>
      <w:bookmarkStart w:id="34" w:name="_Toc247513963"/>
      <w:bookmarkStart w:id="35" w:name="_Toc144974508"/>
    </w:p>
    <w:p w14:paraId="3787A40E">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29"/>
      <w:bookmarkEnd w:id="30"/>
      <w:bookmarkEnd w:id="31"/>
      <w:bookmarkEnd w:id="32"/>
      <w:bookmarkEnd w:id="33"/>
      <w:bookmarkEnd w:id="34"/>
      <w:bookmarkEnd w:id="35"/>
      <w:r>
        <w:rPr>
          <w:rFonts w:hint="eastAsia" w:ascii="宋体" w:hAnsi="宋体" w:cs="宋体"/>
          <w:b/>
          <w:color w:val="auto"/>
          <w:szCs w:val="21"/>
          <w:highlight w:val="none"/>
        </w:rPr>
        <w:t>（本项目不采用）</w:t>
      </w:r>
    </w:p>
    <w:p w14:paraId="5C5CCA91">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2AC3D959">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4F26C0F3">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113C8087">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0F3D0188">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6AD2F793">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65CECD90">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4646C560">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59842082">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0A1BE928">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02585F1D">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016232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5106F4E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43B8FE3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4DB81D33">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63218C55">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2871E44E">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72A8CDA4">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68DDB186">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531A63D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03BF9E86">
      <w:pPr>
        <w:spacing w:before="312" w:beforeLines="100" w:after="312" w:afterLines="100" w:line="440" w:lineRule="exact"/>
        <w:jc w:val="center"/>
        <w:rPr>
          <w:rFonts w:hint="eastAsia" w:ascii="宋体" w:hAnsi="宋体" w:cs="宋体"/>
          <w:b/>
          <w:color w:val="auto"/>
          <w:sz w:val="28"/>
          <w:szCs w:val="28"/>
          <w:highlight w:val="none"/>
        </w:rPr>
      </w:pPr>
      <w:bookmarkStart w:id="36" w:name="_Toc449028868"/>
      <w:r>
        <w:rPr>
          <w:rFonts w:hint="eastAsia" w:ascii="宋体" w:hAnsi="宋体" w:cs="宋体"/>
          <w:b/>
          <w:color w:val="auto"/>
          <w:sz w:val="28"/>
          <w:szCs w:val="28"/>
          <w:highlight w:val="none"/>
        </w:rPr>
        <w:t>（二）</w:t>
      </w:r>
      <w:bookmarkEnd w:id="36"/>
      <w:r>
        <w:rPr>
          <w:rFonts w:hint="eastAsia" w:ascii="宋体" w:hAnsi="宋体" w:cs="宋体"/>
          <w:b/>
          <w:color w:val="auto"/>
          <w:sz w:val="28"/>
          <w:szCs w:val="28"/>
          <w:highlight w:val="none"/>
        </w:rPr>
        <w:t>招标文件</w:t>
      </w:r>
    </w:p>
    <w:p w14:paraId="28EDBBFC">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45997330">
      <w:pPr>
        <w:spacing w:line="440" w:lineRule="exact"/>
        <w:ind w:firstLine="420" w:firstLineChars="200"/>
        <w:rPr>
          <w:rFonts w:hint="eastAsia" w:ascii="宋体"/>
          <w:color w:val="auto"/>
          <w:spacing w:val="-2"/>
          <w:szCs w:val="21"/>
          <w:highlight w:val="none"/>
        </w:rPr>
      </w:pPr>
      <w:r>
        <w:rPr>
          <w:rFonts w:hint="eastAsia" w:ascii="宋体"/>
          <w:color w:val="auto"/>
          <w:szCs w:val="21"/>
          <w:highlight w:val="none"/>
        </w:rPr>
        <w:t>根据</w:t>
      </w:r>
      <w:r>
        <w:rPr>
          <w:rFonts w:hint="eastAsia" w:ascii="宋体"/>
          <w:color w:val="auto"/>
          <w:spacing w:val="-2"/>
          <w:szCs w:val="21"/>
          <w:highlight w:val="none"/>
        </w:rPr>
        <w:t>相关法律法规和规章及部、省、市级规范性文件的规定，编制本招标文件。</w:t>
      </w:r>
    </w:p>
    <w:p w14:paraId="60C0921E">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257A89E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19EFD85D">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17B0DB01">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04097F85">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0D16BF74">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66126991">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第五章  合同格式</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参考）</w:t>
      </w:r>
    </w:p>
    <w:p w14:paraId="0F14DA75">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161DA5B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50CC9E5A">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r>
        <w:rPr>
          <w:rFonts w:hint="eastAsia" w:ascii="宋体" w:hAnsi="宋体" w:eastAsia="宋体" w:cs="宋体"/>
          <w:color w:val="auto"/>
          <w:szCs w:val="21"/>
          <w:highlight w:val="none"/>
        </w:rPr>
        <w:t>如有疑问，</w:t>
      </w:r>
      <w:r>
        <w:rPr>
          <w:rFonts w:hint="eastAsia" w:ascii="宋体" w:hAnsi="宋体" w:eastAsia="宋体" w:cs="宋体"/>
          <w:color w:val="auto"/>
          <w:sz w:val="21"/>
          <w:szCs w:val="21"/>
          <w:highlight w:val="none"/>
          <w:lang w:val="en-US" w:eastAsia="zh-CN"/>
        </w:rPr>
        <w:t>通过登录新点电子交易平台【滁州专区】线上提出</w:t>
      </w:r>
      <w:r>
        <w:rPr>
          <w:rFonts w:hint="eastAsia" w:ascii="宋体" w:hAnsi="宋体" w:eastAsia="宋体" w:cs="宋体"/>
          <w:color w:val="auto"/>
          <w:szCs w:val="21"/>
          <w:highlight w:val="none"/>
        </w:rPr>
        <w:t>，要求</w:t>
      </w:r>
      <w:r>
        <w:rPr>
          <w:rFonts w:hint="eastAsia" w:ascii="宋体" w:hAnsi="宋体" w:eastAsia="宋体" w:cs="宋体"/>
          <w:color w:val="auto"/>
          <w:szCs w:val="21"/>
          <w:highlight w:val="none"/>
          <w:lang w:eastAsia="zh-CN"/>
        </w:rPr>
        <w:t>招标人</w:t>
      </w:r>
      <w:r>
        <w:rPr>
          <w:rFonts w:hint="eastAsia" w:ascii="宋体" w:hAnsi="宋体" w:eastAsia="宋体" w:cs="宋体"/>
          <w:color w:val="auto"/>
          <w:szCs w:val="21"/>
          <w:highlight w:val="none"/>
        </w:rPr>
        <w:t>对招标文件予以澄清。</w:t>
      </w:r>
    </w:p>
    <w:p w14:paraId="5CB6356A">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电子邮箱</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w:t>
      </w:r>
      <w:r>
        <w:rPr>
          <w:rFonts w:hint="eastAsia" w:ascii="宋体" w:hAnsi="宋体" w:cs="宋体"/>
          <w:color w:val="auto"/>
          <w:sz w:val="21"/>
          <w:szCs w:val="21"/>
          <w:highlight w:val="none"/>
          <w:lang w:val="en-US" w:eastAsia="zh-CN"/>
        </w:rPr>
        <w:t>滁州市</w:t>
      </w:r>
      <w:r>
        <w:rPr>
          <w:rFonts w:hint="eastAsia" w:ascii="宋体" w:hAnsi="宋体" w:eastAsia="宋体" w:cs="宋体"/>
          <w:color w:val="auto"/>
          <w:sz w:val="21"/>
          <w:szCs w:val="21"/>
          <w:highlight w:val="none"/>
          <w:lang w:val="en-US" w:eastAsia="zh-CN"/>
        </w:rPr>
        <w:t>扬子工业投资集团有限公司官网（https://czyzgtjt.com/）、滁州市城投工程咨询管理有限公司（https://www.czctgczx.com/）</w:t>
      </w:r>
      <w:r>
        <w:rPr>
          <w:rFonts w:hint="eastAsia" w:ascii="宋体" w:hAnsi="宋体" w:cs="宋体"/>
          <w:color w:val="auto"/>
          <w:szCs w:val="21"/>
          <w:highlight w:val="none"/>
          <w:lang w:val="en-US" w:eastAsia="zh-CN"/>
        </w:rPr>
        <w:t>予以公布，</w:t>
      </w:r>
      <w:r>
        <w:rPr>
          <w:rFonts w:hint="eastAsia" w:ascii="宋体" w:hAnsi="宋体" w:cs="宋体"/>
          <w:color w:val="auto"/>
          <w:szCs w:val="21"/>
          <w:highlight w:val="none"/>
        </w:rPr>
        <w:t>但不指明澄清问题的来源。如果澄清内容影响投标文件编制的，将相应延长投标截止时间。</w:t>
      </w:r>
    </w:p>
    <w:p w14:paraId="02385E3E">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6817AFA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在滁州市扬子工业投资集团有限公司官网（https://czyzgtjt.com/）、滁州市城投工程咨询管理有限公司（https://www.czctgczx.com/）予以公布。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4D7E29C8">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2D1E9D7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402FD7F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577678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7104800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74E4181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69A888EB">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47D6595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17.1招标文件、招标文件的澄清、修改、补充及招标答疑等均应</w:t>
      </w:r>
      <w:r>
        <w:rPr>
          <w:rFonts w:hint="eastAsia" w:ascii="宋体" w:hAnsi="宋体" w:cs="宋体"/>
          <w:color w:val="auto"/>
          <w:szCs w:val="21"/>
          <w:highlight w:val="none"/>
          <w:lang w:val="en-US" w:eastAsia="zh-CN"/>
        </w:rPr>
        <w:t>招标人确认</w:t>
      </w:r>
      <w:r>
        <w:rPr>
          <w:rFonts w:hint="eastAsia" w:ascii="宋体" w:hAnsi="宋体" w:cs="宋体"/>
          <w:color w:val="auto"/>
          <w:szCs w:val="21"/>
          <w:highlight w:val="none"/>
        </w:rPr>
        <w:t>后，方可发出。</w:t>
      </w:r>
    </w:p>
    <w:p w14:paraId="191680B9">
      <w:pPr>
        <w:spacing w:before="312" w:beforeLines="100" w:after="312" w:afterLines="100" w:line="440" w:lineRule="exact"/>
        <w:jc w:val="center"/>
        <w:rPr>
          <w:rFonts w:hint="eastAsia" w:ascii="宋体" w:hAnsi="宋体" w:cs="宋体"/>
          <w:b/>
          <w:color w:val="auto"/>
          <w:sz w:val="28"/>
          <w:szCs w:val="28"/>
          <w:highlight w:val="none"/>
        </w:rPr>
      </w:pPr>
      <w:bookmarkStart w:id="37" w:name="_Toc449028869"/>
      <w:r>
        <w:rPr>
          <w:rFonts w:hint="eastAsia" w:ascii="宋体" w:hAnsi="宋体" w:cs="宋体"/>
          <w:b/>
          <w:color w:val="auto"/>
          <w:sz w:val="28"/>
          <w:szCs w:val="28"/>
          <w:highlight w:val="none"/>
        </w:rPr>
        <w:t>（三）投标文件的编制</w:t>
      </w:r>
      <w:bookmarkEnd w:id="37"/>
    </w:p>
    <w:p w14:paraId="11DBF3B7">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w:t>
      </w:r>
      <w:r>
        <w:rPr>
          <w:rFonts w:hint="eastAsia" w:ascii="宋体" w:hAnsi="宋体" w:cs="宋体"/>
          <w:b/>
          <w:color w:val="auto"/>
          <w:szCs w:val="21"/>
          <w:highlight w:val="none"/>
          <w:lang w:val="en-US" w:eastAsia="zh-CN"/>
        </w:rPr>
        <w:t>8</w:t>
      </w:r>
      <w:r>
        <w:rPr>
          <w:rFonts w:hint="eastAsia" w:ascii="宋体" w:hAnsi="宋体" w:cs="宋体"/>
          <w:b/>
          <w:color w:val="auto"/>
          <w:szCs w:val="21"/>
          <w:highlight w:val="none"/>
        </w:rPr>
        <w:t>. 投标的语言及度量衡单位</w:t>
      </w:r>
    </w:p>
    <w:p w14:paraId="5E55F77C">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33BBE365">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2除招标文件中另有规定外，投标文件所使用的度量衡均须采用法定计量单位。</w:t>
      </w:r>
    </w:p>
    <w:p w14:paraId="3449A44E">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lang w:val="en-US" w:eastAsia="zh-CN"/>
        </w:rPr>
        <w:t>19</w:t>
      </w:r>
      <w:r>
        <w:rPr>
          <w:rFonts w:hint="eastAsia" w:ascii="宋体" w:hAnsi="宋体" w:cs="宋体"/>
          <w:b/>
          <w:color w:val="auto"/>
          <w:szCs w:val="21"/>
          <w:highlight w:val="none"/>
        </w:rPr>
        <w:t>. 投标文件的组成</w:t>
      </w:r>
    </w:p>
    <w:p w14:paraId="15AB1999">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lang w:val="en-US" w:eastAsia="zh-CN"/>
        </w:rPr>
        <w:t>19</w:t>
      </w:r>
      <w:r>
        <w:rPr>
          <w:rFonts w:hint="eastAsia" w:ascii="宋体" w:hAnsi="宋体" w:cs="宋体"/>
          <w:b/>
          <w:color w:val="auto"/>
          <w:szCs w:val="21"/>
          <w:highlight w:val="none"/>
        </w:rPr>
        <w:t>.1投标文件的组成</w:t>
      </w:r>
    </w:p>
    <w:p w14:paraId="7C4A636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2FF51342">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lang w:val="en-US" w:eastAsia="zh-CN"/>
        </w:rPr>
        <w:t>19</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795598BB">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投标文件应按第</w:t>
      </w:r>
      <w:r>
        <w:rPr>
          <w:rFonts w:hint="eastAsia" w:ascii="宋体" w:hAnsi="宋体" w:cs="宋体"/>
          <w:color w:val="auto"/>
          <w:szCs w:val="21"/>
          <w:highlight w:val="none"/>
          <w:lang w:val="en-US" w:eastAsia="zh-CN"/>
        </w:rPr>
        <w:t>六</w:t>
      </w:r>
      <w:r>
        <w:rPr>
          <w:rFonts w:hint="eastAsia" w:ascii="宋体" w:hAnsi="宋体" w:cs="宋体"/>
          <w:color w:val="auto"/>
          <w:szCs w:val="21"/>
          <w:highlight w:val="none"/>
        </w:rPr>
        <w:t>章“投标文件格式”进行编写，如有必要，可以增加附页，作为投标文件的组成部分。其中，投标函在满足招标文件实质性要求的基础上，可以提出比招标文件要求更有利于招标人的承诺。</w:t>
      </w:r>
    </w:p>
    <w:p w14:paraId="7A92C215">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本次投标不需要提供纸质投标文件，投标人应按照电子招标投标的要求，在投标人的电子系统中制作、签章、上传加密的电子投标文件。</w:t>
      </w:r>
    </w:p>
    <w:p w14:paraId="085D9925">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投标文件应当对招标文件有关工期、投标有效期、质量要求、技术标准和要求、招标范围等实质性内容作出响应。</w:t>
      </w:r>
    </w:p>
    <w:p w14:paraId="5B1B77BC">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default" w:ascii="宋体" w:hAnsi="宋体" w:eastAsia="宋体" w:cs="宋体"/>
          <w:bCs/>
          <w:snapToGrid w:val="0"/>
          <w:color w:val="auto"/>
          <w:kern w:val="0"/>
          <w:szCs w:val="21"/>
          <w:highlight w:val="none"/>
          <w:lang w:val="en-US" w:eastAsia="zh-CN"/>
        </w:rPr>
      </w:pPr>
      <w:r>
        <w:rPr>
          <w:rFonts w:hint="eastAsia" w:ascii="宋体" w:hAnsi="宋体" w:cs="宋体"/>
          <w:bCs/>
          <w:snapToGrid w:val="0"/>
          <w:color w:val="auto"/>
          <w:kern w:val="0"/>
          <w:szCs w:val="21"/>
          <w:highlight w:val="none"/>
          <w:lang w:val="en-US" w:eastAsia="zh-CN"/>
        </w:rPr>
        <w:t>（4）</w:t>
      </w:r>
      <w:r>
        <w:rPr>
          <w:rFonts w:hint="eastAsia" w:ascii="宋体" w:hAnsi="宋体" w:cs="宋体"/>
          <w:bCs/>
          <w:snapToGrid w:val="0"/>
          <w:color w:val="auto"/>
          <w:kern w:val="0"/>
          <w:szCs w:val="21"/>
          <w:highlight w:val="none"/>
        </w:rPr>
        <w:t>投标人须知前附表规定接受联合体投标的，资格审查资料应包括联合体各方相关情况。</w:t>
      </w:r>
      <w:r>
        <w:rPr>
          <w:rFonts w:hint="eastAsia" w:ascii="宋体" w:hAnsi="宋体" w:cs="宋体"/>
          <w:bCs/>
          <w:snapToGrid w:val="0"/>
          <w:color w:val="auto"/>
          <w:kern w:val="0"/>
          <w:szCs w:val="21"/>
          <w:highlight w:val="none"/>
          <w:lang w:eastAsia="zh-CN"/>
        </w:rPr>
        <w:t>（</w:t>
      </w:r>
      <w:r>
        <w:rPr>
          <w:rFonts w:hint="eastAsia" w:ascii="宋体" w:hAnsi="宋体" w:cs="宋体"/>
          <w:bCs/>
          <w:snapToGrid w:val="0"/>
          <w:color w:val="auto"/>
          <w:kern w:val="0"/>
          <w:szCs w:val="21"/>
          <w:highlight w:val="none"/>
          <w:lang w:val="en-US" w:eastAsia="zh-CN"/>
        </w:rPr>
        <w:t>本项目不采用）</w:t>
      </w:r>
    </w:p>
    <w:p w14:paraId="73640784">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bCs/>
          <w:snapToGrid w:val="0"/>
          <w:color w:val="auto"/>
          <w:kern w:val="0"/>
          <w:szCs w:val="21"/>
          <w:highlight w:val="none"/>
        </w:rPr>
      </w:pPr>
      <w:r>
        <w:rPr>
          <w:rFonts w:hint="eastAsia" w:ascii="宋体" w:hAnsi="宋体" w:cs="宋体"/>
          <w:bCs/>
          <w:snapToGrid w:val="0"/>
          <w:color w:val="auto"/>
          <w:kern w:val="0"/>
          <w:szCs w:val="21"/>
          <w:highlight w:val="none"/>
          <w:lang w:val="en-US" w:eastAsia="zh-CN"/>
        </w:rPr>
        <w:t>（5）</w:t>
      </w:r>
      <w:r>
        <w:rPr>
          <w:rFonts w:hint="eastAsia" w:ascii="宋体" w:hAnsi="宋体" w:cs="宋体"/>
          <w:bCs/>
          <w:snapToGrid w:val="0"/>
          <w:color w:val="auto"/>
          <w:kern w:val="0"/>
          <w:szCs w:val="21"/>
          <w:highlight w:val="none"/>
        </w:rPr>
        <w:t>招标人有权核查投标人在投标文件中提供的资料，若发现投标人以他人名义投标或者以其他方式弄虚作假骗取中标的，中标无效；</w:t>
      </w:r>
      <w:r>
        <w:rPr>
          <w:rFonts w:hint="eastAsia" w:ascii="宋体" w:hAnsi="宋体" w:cs="宋体"/>
          <w:b/>
          <w:snapToGrid w:val="0"/>
          <w:color w:val="auto"/>
          <w:kern w:val="0"/>
          <w:szCs w:val="21"/>
          <w:highlight w:val="none"/>
        </w:rPr>
        <w:t>如果签订合同后发现中标人提供了虚假材料，招标人有权解除合同</w:t>
      </w:r>
      <w:r>
        <w:rPr>
          <w:rFonts w:hint="eastAsia" w:ascii="宋体" w:hAnsi="宋体" w:cs="宋体"/>
          <w:bCs/>
          <w:snapToGrid w:val="0"/>
          <w:color w:val="auto"/>
          <w:kern w:val="0"/>
          <w:szCs w:val="21"/>
          <w:highlight w:val="none"/>
        </w:rPr>
        <w:t>。</w:t>
      </w:r>
    </w:p>
    <w:p w14:paraId="235F6E73">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投标文件的制作应满足以下规定：</w:t>
      </w:r>
    </w:p>
    <w:p w14:paraId="323DD771">
      <w:pPr>
        <w:keepNext w:val="0"/>
        <w:keepLines w:val="0"/>
        <w:pageBreakBefore w:val="0"/>
        <w:widowControl w:val="0"/>
        <w:kinsoku/>
        <w:wordWrap/>
        <w:overflowPunct/>
        <w:topLinePunct w:val="0"/>
        <w:autoSpaceDE/>
        <w:autoSpaceDN/>
        <w:bidi w:val="0"/>
        <w:adjustRightInd w:val="0"/>
        <w:snapToGrid w:val="0"/>
        <w:spacing w:line="500" w:lineRule="exact"/>
        <w:ind w:firstLine="630" w:firstLineChars="300"/>
        <w:textAlignment w:val="auto"/>
        <w:rPr>
          <w:rFonts w:hint="eastAsia" w:ascii="宋体" w:hAnsi="宋体" w:cs="宋体"/>
          <w:color w:val="auto"/>
          <w:szCs w:val="21"/>
          <w:highlight w:val="none"/>
        </w:rPr>
      </w:pPr>
      <w:r>
        <w:rPr>
          <w:rFonts w:hint="default" w:ascii="Calibri" w:hAnsi="Calibri" w:cs="Calibri"/>
          <w:color w:val="auto"/>
          <w:szCs w:val="21"/>
          <w:highlight w:val="none"/>
        </w:rPr>
        <w:t>①</w:t>
      </w:r>
      <w:r>
        <w:rPr>
          <w:rFonts w:hint="eastAsia" w:ascii="宋体" w:hAnsi="宋体" w:cs="宋体"/>
          <w:color w:val="auto"/>
          <w:szCs w:val="21"/>
          <w:highlight w:val="none"/>
        </w:rPr>
        <w:t>投标文件由投标人使用电子交易系统提供的“</w:t>
      </w:r>
      <w:r>
        <w:rPr>
          <w:rFonts w:hint="eastAsia" w:ascii="宋体" w:hAnsi="宋体" w:cs="宋体"/>
          <w:color w:val="auto"/>
          <w:szCs w:val="21"/>
          <w:highlight w:val="none"/>
          <w:lang w:eastAsia="zh-CN"/>
        </w:rPr>
        <w:t>投标文件制作软件</w:t>
      </w:r>
      <w:r>
        <w:rPr>
          <w:rFonts w:hint="eastAsia" w:ascii="宋体" w:hAnsi="宋体" w:cs="宋体"/>
          <w:color w:val="auto"/>
          <w:szCs w:val="21"/>
          <w:highlight w:val="none"/>
        </w:rPr>
        <w:t>”制作生成。“</w:t>
      </w:r>
      <w:r>
        <w:rPr>
          <w:rFonts w:hint="eastAsia" w:ascii="宋体" w:hAnsi="宋体" w:cs="宋体"/>
          <w:color w:val="auto"/>
          <w:szCs w:val="21"/>
          <w:highlight w:val="none"/>
          <w:lang w:eastAsia="zh-CN"/>
        </w:rPr>
        <w:t>投标文件制作软件</w:t>
      </w:r>
      <w:r>
        <w:rPr>
          <w:rFonts w:hint="eastAsia" w:ascii="宋体" w:hAnsi="宋体" w:cs="宋体"/>
          <w:color w:val="auto"/>
          <w:szCs w:val="21"/>
          <w:highlight w:val="none"/>
        </w:rPr>
        <w:t>”可以通过电子交易系统下载。</w:t>
      </w:r>
    </w:p>
    <w:p w14:paraId="65D73140">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default" w:ascii="Calibri" w:hAnsi="Calibri" w:cs="Calibri"/>
          <w:color w:val="auto"/>
          <w:szCs w:val="21"/>
          <w:highlight w:val="none"/>
        </w:rPr>
        <w:t>②</w:t>
      </w:r>
      <w:r>
        <w:rPr>
          <w:rFonts w:hint="eastAsia" w:ascii="宋体" w:hAnsi="宋体" w:cs="宋体"/>
          <w:b/>
          <w:color w:val="auto"/>
          <w:szCs w:val="21"/>
          <w:highlight w:val="none"/>
        </w:rPr>
        <w:t>招标文件中“签章”是指签字或盖章。</w:t>
      </w:r>
      <w:r>
        <w:rPr>
          <w:rFonts w:hint="eastAsia" w:ascii="宋体" w:hAnsi="宋体" w:cs="宋体"/>
          <w:color w:val="auto"/>
          <w:szCs w:val="21"/>
          <w:highlight w:val="none"/>
        </w:rPr>
        <w:t>在第九章“投标文件格式”中要求签章处，投标人应加盖投标人单位电子印章和法定代表人的个人电子印章/电子签名章或直接上传加盖投标人单位印章和法定代表人的印章（或签字）的原件彩色扫描件。联合体投标的，除联合体协议书外， 投标文件由联合体牵头人按上述规定加盖联合体牵头人单位电子印章和法定代表人的个人电子印章/电子签名章或直接上传加盖联合体牵头人单位印章和法定代表人的印章（或签字）的原件彩色扫描件。</w:t>
      </w:r>
    </w:p>
    <w:p w14:paraId="587A8B72">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default" w:ascii="Calibri" w:hAnsi="Calibri" w:cs="Calibri"/>
          <w:color w:val="auto"/>
          <w:szCs w:val="21"/>
          <w:highlight w:val="none"/>
        </w:rPr>
        <w:t>③</w:t>
      </w:r>
      <w:r>
        <w:rPr>
          <w:rFonts w:hint="eastAsia" w:ascii="宋体" w:hAnsi="宋体" w:cs="宋体"/>
          <w:color w:val="auto"/>
          <w:szCs w:val="21"/>
          <w:highlight w:val="none"/>
        </w:rPr>
        <w:t>投标文件制作完成后，投标人应对投标文件进行文件加密，形成加密的投标文件。采用CA数字证书加密的，加密时投标文件的所有内容均只能使用同一把CA数字证书进行加密，否则引起的解密失败责任由投标人自行承担。</w:t>
      </w:r>
    </w:p>
    <w:p w14:paraId="5D24B5A5">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因投标人自身原因而导致投标文件无法导入电子交易系统电子开标、评标系统，该投标视为无效投标，投标人自行承担由此导致的全部责任。</w:t>
      </w:r>
    </w:p>
    <w:p w14:paraId="1F0A52CF">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default"/>
          <w:color w:val="auto"/>
          <w:highlight w:val="none"/>
          <w:lang w:val="en-US"/>
        </w:rPr>
      </w:pPr>
      <w:r>
        <w:rPr>
          <w:rFonts w:hint="eastAsia" w:ascii="宋体" w:hAnsi="宋体" w:cs="宋体"/>
          <w:color w:val="auto"/>
          <w:kern w:val="0"/>
          <w:szCs w:val="21"/>
          <w:highlight w:val="none"/>
          <w:lang w:val="en-US" w:eastAsia="zh-CN"/>
        </w:rPr>
        <w:t>（9）</w:t>
      </w:r>
      <w:r>
        <w:rPr>
          <w:rFonts w:hint="eastAsia" w:ascii="宋体" w:hAnsi="宋体" w:cs="宋体"/>
          <w:color w:val="auto"/>
          <w:kern w:val="0"/>
          <w:szCs w:val="21"/>
          <w:highlight w:val="none"/>
        </w:rPr>
        <w:t>投标人中标后须递交与网上电子投标文件完全一致的纸质版投标文件，在领取中标通知书时，一并递交给招标代理机构。</w:t>
      </w:r>
    </w:p>
    <w:p w14:paraId="1BB11161">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59AB93AD">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3EEF9FC3">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7DCEAC4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772FFD7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42EA4FD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57E30F6E">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w:t>
      </w:r>
      <w:r>
        <w:rPr>
          <w:rFonts w:hint="eastAsia" w:ascii="宋体" w:hAnsi="宋体" w:cs="宋体"/>
          <w:bCs/>
          <w:color w:val="auto"/>
          <w:szCs w:val="21"/>
          <w:highlight w:val="none"/>
          <w:lang w:val="en-US" w:eastAsia="zh-CN"/>
        </w:rPr>
        <w:t>0</w:t>
      </w: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00CC986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387755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60656FEC">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6B50143D">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1</w:t>
      </w:r>
      <w:r>
        <w:rPr>
          <w:rFonts w:hint="eastAsia" w:ascii="宋体" w:hAnsi="宋体" w:cs="宋体"/>
          <w:b/>
          <w:color w:val="auto"/>
          <w:szCs w:val="21"/>
          <w:highlight w:val="none"/>
        </w:rPr>
        <w:t>. 投标有效期</w:t>
      </w:r>
    </w:p>
    <w:p w14:paraId="500F4BC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.1 投标有效期见投标人须知前附表。</w:t>
      </w:r>
    </w:p>
    <w:p w14:paraId="634821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.2在投标有效期内，投标人撤销或修改其投标文件的，应承担招标文件和法律规定的责任。</w:t>
      </w:r>
    </w:p>
    <w:p w14:paraId="6CC75905">
      <w:pPr>
        <w:spacing w:line="440" w:lineRule="exact"/>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w:t>
      </w:r>
      <w:r>
        <w:rPr>
          <w:rFonts w:hint="eastAsia" w:ascii="宋体" w:hAnsi="宋体" w:eastAsia="宋体" w:cs="宋体"/>
          <w:color w:val="auto"/>
          <w:szCs w:val="21"/>
          <w:highlight w:val="none"/>
        </w:rPr>
        <w:t>的，其投标失效。</w:t>
      </w:r>
    </w:p>
    <w:p w14:paraId="7D2743EB">
      <w:pPr>
        <w:spacing w:line="440" w:lineRule="exact"/>
        <w:ind w:firstLine="422" w:firstLineChars="200"/>
        <w:rPr>
          <w:rFonts w:hint="eastAsia" w:ascii="宋体" w:hAnsi="宋体" w:eastAsia="宋体" w:cs="宋体"/>
          <w:b/>
          <w:color w:val="auto"/>
          <w:szCs w:val="21"/>
          <w:highlight w:val="none"/>
        </w:rPr>
      </w:pPr>
      <w:bookmarkStart w:id="38" w:name="_Toc449028870"/>
      <w:r>
        <w:rPr>
          <w:rFonts w:hint="eastAsia" w:ascii="宋体" w:hAnsi="宋体" w:eastAsia="宋体" w:cs="宋体"/>
          <w:b/>
          <w:color w:val="auto"/>
          <w:szCs w:val="21"/>
          <w:highlight w:val="none"/>
        </w:rPr>
        <w:t>2</w:t>
      </w:r>
      <w:r>
        <w:rPr>
          <w:rFonts w:hint="eastAsia" w:ascii="宋体" w:hAnsi="宋体" w:eastAsia="宋体" w:cs="宋体"/>
          <w:b/>
          <w:color w:val="auto"/>
          <w:szCs w:val="21"/>
          <w:highlight w:val="none"/>
          <w:lang w:val="en-US" w:eastAsia="zh-CN"/>
        </w:rPr>
        <w:t>2</w:t>
      </w:r>
      <w:r>
        <w:rPr>
          <w:rFonts w:hint="eastAsia" w:ascii="宋体" w:hAnsi="宋体" w:eastAsia="宋体" w:cs="宋体"/>
          <w:b/>
          <w:color w:val="auto"/>
          <w:szCs w:val="21"/>
          <w:highlight w:val="none"/>
        </w:rPr>
        <w:t>. 投标保证金</w:t>
      </w:r>
    </w:p>
    <w:p w14:paraId="40ED9495">
      <w:pPr>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.1本项目不缴纳投标保证金。</w:t>
      </w:r>
    </w:p>
    <w:p w14:paraId="4EB663C2">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（四）投标文件的递交</w:t>
      </w:r>
      <w:bookmarkEnd w:id="38"/>
    </w:p>
    <w:p w14:paraId="4E8134E5">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bookmarkStart w:id="39" w:name="_Toc449028871"/>
      <w:r>
        <w:rPr>
          <w:rFonts w:hint="eastAsia" w:ascii="宋体" w:hAnsi="宋体" w:cs="宋体"/>
          <w:b/>
          <w:color w:val="auto"/>
          <w:szCs w:val="21"/>
          <w:highlight w:val="none"/>
        </w:rPr>
        <w:t xml:space="preserve"> 2</w:t>
      </w: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 投标文件的份数和签署</w:t>
      </w:r>
    </w:p>
    <w:p w14:paraId="180A4520">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cs="宋体"/>
          <w:b w:val="0"/>
          <w:bCs w:val="0"/>
          <w:color w:val="auto"/>
          <w:szCs w:val="21"/>
          <w:highlight w:val="none"/>
        </w:rPr>
        <w:t>2</w:t>
      </w:r>
      <w:r>
        <w:rPr>
          <w:rFonts w:hint="eastAsia" w:ascii="宋体" w:hAnsi="宋体" w:cs="宋体"/>
          <w:b w:val="0"/>
          <w:bCs w:val="0"/>
          <w:color w:val="auto"/>
          <w:szCs w:val="21"/>
          <w:highlight w:val="none"/>
          <w:lang w:val="en-US" w:eastAsia="zh-CN"/>
        </w:rPr>
        <w:t>3</w:t>
      </w:r>
      <w:r>
        <w:rPr>
          <w:rFonts w:hint="eastAsia" w:ascii="宋体" w:hAnsi="宋体" w:cs="宋体"/>
          <w:b w:val="0"/>
          <w:bCs w:val="0"/>
          <w:color w:val="auto"/>
          <w:szCs w:val="21"/>
          <w:highlight w:val="none"/>
        </w:rPr>
        <w:t>.</w:t>
      </w:r>
      <w:r>
        <w:rPr>
          <w:rFonts w:hint="eastAsia" w:ascii="宋体" w:hAnsi="宋体" w:cs="宋体"/>
          <w:b w:val="0"/>
          <w:bCs w:val="0"/>
          <w:color w:val="auto"/>
          <w:szCs w:val="21"/>
          <w:highlight w:val="none"/>
          <w:lang w:val="en-US" w:eastAsia="zh-CN"/>
        </w:rPr>
        <w:t>1</w:t>
      </w:r>
      <w:r>
        <w:rPr>
          <w:rFonts w:hint="eastAsia" w:ascii="宋体" w:hAnsi="宋体" w:eastAsia="宋体" w:cs="宋体"/>
          <w:color w:val="auto"/>
          <w:szCs w:val="21"/>
          <w:highlight w:val="none"/>
        </w:rPr>
        <w:t>加密电子</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文件应在</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截止时间前通过</w:t>
      </w:r>
      <w:r>
        <w:rPr>
          <w:rFonts w:hint="eastAsia" w:ascii="宋体" w:hAnsi="宋体" w:eastAsia="宋体" w:cs="宋体"/>
          <w:color w:val="auto"/>
          <w:szCs w:val="21"/>
          <w:highlight w:val="none"/>
          <w:lang w:val="en-US" w:eastAsia="zh-CN"/>
        </w:rPr>
        <w:t>登录新点电子交易平台【滁州专区】上传投标文件</w:t>
      </w:r>
      <w:r>
        <w:rPr>
          <w:rFonts w:hint="eastAsia" w:ascii="宋体" w:hAnsi="宋体" w:eastAsia="宋体" w:cs="宋体"/>
          <w:color w:val="auto"/>
          <w:szCs w:val="21"/>
          <w:highlight w:val="none"/>
        </w:rPr>
        <w:t>。</w:t>
      </w:r>
    </w:p>
    <w:p w14:paraId="1F144063">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b w:val="0"/>
          <w:bCs w:val="0"/>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投标人中标</w:t>
      </w:r>
      <w:r>
        <w:rPr>
          <w:rFonts w:hint="eastAsia" w:ascii="宋体" w:hAnsi="宋体" w:eastAsia="宋体" w:cs="宋体"/>
          <w:color w:val="auto"/>
          <w:szCs w:val="21"/>
          <w:highlight w:val="none"/>
        </w:rPr>
        <w:t>后须递交与网上电子</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文件完全一致的纸质版</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 xml:space="preserve">文件，并按要求加盖单位章；份数：正本 </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 xml:space="preserve"> 份，副本</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份；</w:t>
      </w:r>
      <w:r>
        <w:rPr>
          <w:rFonts w:hint="eastAsia" w:ascii="宋体" w:hAnsi="宋体" w:eastAsia="宋体" w:cs="宋体"/>
          <w:color w:val="auto"/>
          <w:szCs w:val="21"/>
          <w:highlight w:val="none"/>
          <w:lang w:val="en-US" w:eastAsia="zh-CN"/>
        </w:rPr>
        <w:t>中标人领</w:t>
      </w:r>
      <w:r>
        <w:rPr>
          <w:rFonts w:hint="eastAsia" w:ascii="宋体" w:hAnsi="宋体" w:eastAsia="宋体" w:cs="宋体"/>
          <w:color w:val="auto"/>
          <w:szCs w:val="21"/>
          <w:highlight w:val="none"/>
        </w:rPr>
        <w:t>取</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szCs w:val="21"/>
          <w:highlight w:val="none"/>
        </w:rPr>
        <w:t>通知书时，一并递交给代理机构）。</w:t>
      </w:r>
    </w:p>
    <w:p w14:paraId="0DB3632B">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4</w:t>
      </w:r>
      <w:r>
        <w:rPr>
          <w:rFonts w:hint="eastAsia" w:ascii="宋体" w:hAnsi="宋体" w:cs="宋体"/>
          <w:b/>
          <w:color w:val="auto"/>
          <w:szCs w:val="21"/>
          <w:highlight w:val="none"/>
        </w:rPr>
        <w:t>. 投标文件的提交</w:t>
      </w:r>
    </w:p>
    <w:p w14:paraId="495D42AA">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24.1</w:t>
      </w:r>
      <w:r>
        <w:rPr>
          <w:rFonts w:hint="eastAsia" w:ascii="宋体" w:hAnsi="宋体" w:cs="宋体"/>
          <w:color w:val="auto"/>
          <w:szCs w:val="21"/>
          <w:highlight w:val="none"/>
        </w:rPr>
        <w:t>投标人应当在第一章“招标公告”规定的投标截止时间前，将加密投标文件上传至电子交易系统。</w:t>
      </w:r>
    </w:p>
    <w:p w14:paraId="153D6973">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24.2</w:t>
      </w:r>
      <w:r>
        <w:rPr>
          <w:rFonts w:hint="eastAsia" w:ascii="宋体" w:hAnsi="宋体" w:cs="宋体"/>
          <w:color w:val="auto"/>
          <w:szCs w:val="21"/>
          <w:highlight w:val="none"/>
        </w:rPr>
        <w:t>除投标人须知前附表另有规定外，投标人所递交的投标文件不予退还。</w:t>
      </w:r>
    </w:p>
    <w:p w14:paraId="2689C879">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24.3</w:t>
      </w:r>
      <w:r>
        <w:rPr>
          <w:rFonts w:ascii="宋体" w:hAnsi="宋体" w:cs="宋体"/>
          <w:color w:val="auto"/>
          <w:szCs w:val="21"/>
          <w:highlight w:val="none"/>
        </w:rPr>
        <w:t>投标人应当在投标截止时间前完成投标文件的</w:t>
      </w:r>
      <w:r>
        <w:rPr>
          <w:rFonts w:hint="eastAsia" w:ascii="宋体" w:hAnsi="宋体" w:cs="宋体"/>
          <w:color w:val="auto"/>
          <w:szCs w:val="21"/>
          <w:highlight w:val="none"/>
        </w:rPr>
        <w:t>网上递交，</w:t>
      </w:r>
      <w:r>
        <w:rPr>
          <w:rFonts w:ascii="宋体" w:hAnsi="宋体" w:cs="宋体"/>
          <w:color w:val="auto"/>
          <w:szCs w:val="21"/>
          <w:highlight w:val="none"/>
        </w:rPr>
        <w:t>并可以补充、修改或者撤回投标文件。投标截止时间前未完成投标文件</w:t>
      </w:r>
      <w:r>
        <w:rPr>
          <w:rFonts w:hint="eastAsia" w:ascii="宋体" w:hAnsi="宋体" w:cs="宋体"/>
          <w:color w:val="auto"/>
          <w:szCs w:val="21"/>
          <w:highlight w:val="none"/>
        </w:rPr>
        <w:t>网上递交</w:t>
      </w:r>
      <w:r>
        <w:rPr>
          <w:rFonts w:ascii="宋体" w:hAnsi="宋体" w:cs="宋体"/>
          <w:color w:val="auto"/>
          <w:szCs w:val="21"/>
          <w:highlight w:val="none"/>
        </w:rPr>
        <w:t>的，视为撤回投标文件。未按规定加密或投标截止时间后</w:t>
      </w:r>
      <w:r>
        <w:rPr>
          <w:rFonts w:hint="eastAsia" w:ascii="宋体" w:hAnsi="宋体" w:cs="宋体"/>
          <w:color w:val="auto"/>
          <w:szCs w:val="21"/>
          <w:highlight w:val="none"/>
        </w:rPr>
        <w:t>通过网上招标投标系统递交电子投标文件的</w:t>
      </w:r>
      <w:r>
        <w:rPr>
          <w:rFonts w:ascii="宋体" w:hAnsi="宋体" w:cs="宋体"/>
          <w:color w:val="auto"/>
          <w:szCs w:val="21"/>
          <w:highlight w:val="none"/>
        </w:rPr>
        <w:t>，电子交易系统应当拒收</w:t>
      </w:r>
      <w:r>
        <w:rPr>
          <w:rFonts w:hint="eastAsia" w:ascii="宋体" w:hAnsi="宋体" w:cs="宋体"/>
          <w:color w:val="auto"/>
          <w:szCs w:val="21"/>
          <w:highlight w:val="none"/>
        </w:rPr>
        <w:t>，投标无效。</w:t>
      </w:r>
    </w:p>
    <w:p w14:paraId="38EA15AF">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5</w:t>
      </w:r>
      <w:r>
        <w:rPr>
          <w:rFonts w:hint="eastAsia" w:ascii="宋体" w:hAnsi="宋体" w:cs="宋体"/>
          <w:b/>
          <w:color w:val="auto"/>
          <w:szCs w:val="21"/>
          <w:highlight w:val="none"/>
        </w:rPr>
        <w:t>．投标文件的修改与撤回</w:t>
      </w:r>
    </w:p>
    <w:p w14:paraId="64B16621">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w:t>
      </w:r>
      <w:r>
        <w:rPr>
          <w:rFonts w:hint="eastAsia" w:ascii="宋体" w:hAnsi="宋体" w:cs="宋体"/>
          <w:b w:val="0"/>
          <w:bCs/>
          <w:color w:val="auto"/>
          <w:szCs w:val="21"/>
          <w:highlight w:val="none"/>
          <w:lang w:val="en-US" w:eastAsia="zh-CN"/>
        </w:rPr>
        <w:t>5</w:t>
      </w:r>
      <w:r>
        <w:rPr>
          <w:rFonts w:hint="eastAsia" w:ascii="宋体" w:hAnsi="宋体" w:eastAsia="宋体" w:cs="宋体"/>
          <w:b w:val="0"/>
          <w:bCs/>
          <w:color w:val="auto"/>
          <w:szCs w:val="21"/>
          <w:highlight w:val="none"/>
        </w:rPr>
        <w:t>.1在第一章“招标公告”规定的投标截止时间前，投标人可以自行从网上开评标系统撤回已递交的投标文件，并可修改后重新加密上传，开标时以投标截止时间前投标人最终上传的投标文件为准。</w:t>
      </w:r>
    </w:p>
    <w:p w14:paraId="23520009">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39"/>
    </w:p>
    <w:p w14:paraId="1C17E632">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w:t>
      </w:r>
      <w:r>
        <w:rPr>
          <w:rFonts w:hint="eastAsia" w:ascii="宋体" w:hAnsi="宋体" w:cs="宋体"/>
          <w:b/>
          <w:color w:val="auto"/>
          <w:szCs w:val="21"/>
          <w:highlight w:val="none"/>
          <w:lang w:val="en-US" w:eastAsia="zh-CN"/>
        </w:rPr>
        <w:t>6</w:t>
      </w:r>
      <w:r>
        <w:rPr>
          <w:rFonts w:hint="eastAsia" w:ascii="宋体" w:hAnsi="宋体" w:cs="宋体"/>
          <w:b/>
          <w:color w:val="auto"/>
          <w:szCs w:val="21"/>
          <w:highlight w:val="none"/>
        </w:rPr>
        <w:t>. 开标</w:t>
      </w:r>
    </w:p>
    <w:p w14:paraId="305E570E">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.1  开标的时间和地点</w:t>
      </w:r>
    </w:p>
    <w:p w14:paraId="389E8B2D">
      <w:pPr>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.1.1</w:t>
      </w:r>
      <w:r>
        <w:rPr>
          <w:rFonts w:hint="eastAsia" w:ascii="宋体" w:hAnsi="宋体" w:eastAsia="宋体" w:cs="宋体"/>
          <w:color w:val="auto"/>
          <w:kern w:val="2"/>
          <w:sz w:val="21"/>
          <w:szCs w:val="21"/>
          <w:highlight w:val="none"/>
          <w:lang w:val="en-US" w:eastAsia="zh-CN" w:bidi="ar-SA"/>
        </w:rPr>
        <w:t>招标人在第一章“招标公告”规定的投标截止时间前（开标时间）和地点通过电子交易系统公开开标。</w:t>
      </w:r>
    </w:p>
    <w:p w14:paraId="543B5AE4">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 xml:space="preserve">.2  </w:t>
      </w:r>
      <w:r>
        <w:rPr>
          <w:rFonts w:hint="eastAsia" w:ascii="宋体" w:hAnsi="宋体" w:cs="宋体"/>
          <w:color w:val="auto"/>
          <w:szCs w:val="21"/>
          <w:highlight w:val="none"/>
          <w:lang w:val="en-US" w:eastAsia="zh-CN"/>
        </w:rPr>
        <w:t>开标程序</w:t>
      </w:r>
    </w:p>
    <w:p w14:paraId="4F31F572">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主持人按下列程序进行开标：</w:t>
      </w:r>
    </w:p>
    <w:p w14:paraId="046E0887">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（1）公布在投标截止时间前通过电子交易系统完成投标文件递交的投标人名称；</w:t>
      </w:r>
    </w:p>
    <w:p w14:paraId="6D3FFED7">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 （2）投标人在投标截止时间后在投标人须知前附表规定的解密时间内完成投标文件的解密工作；</w:t>
      </w:r>
    </w:p>
    <w:p w14:paraId="5919E1C1">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（3）招标人或招标代理机构完成解密工作，导入并读取所有成功解密的投标文件；</w:t>
      </w:r>
    </w:p>
    <w:p w14:paraId="3292AFC0">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（4）按投标人须知前附表规定公布投标人名称、标段名称、投标报价、工期及其他内容；</w:t>
      </w:r>
    </w:p>
    <w:p w14:paraId="678DD48F">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（5）开标结束。</w:t>
      </w:r>
    </w:p>
    <w:p w14:paraId="7E535077">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.4开标疑义</w:t>
      </w:r>
    </w:p>
    <w:p w14:paraId="7BCDDD9C">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投标人对开标有异议的，应当在开标过程中提出，招标人在开标过程中作出答复，并制作记录。异议与答复应通过电子交易系统进行。</w:t>
      </w:r>
    </w:p>
    <w:p w14:paraId="51D057A6">
      <w:pPr>
        <w:spacing w:line="440" w:lineRule="exact"/>
        <w:ind w:firstLine="421"/>
        <w:jc w:val="left"/>
        <w:rPr>
          <w:rFonts w:hint="eastAsia" w:ascii="宋体" w:hAnsi="宋体" w:cs="宋体"/>
          <w:b/>
          <w:color w:val="auto"/>
          <w:szCs w:val="21"/>
          <w:highlight w:val="none"/>
        </w:rPr>
      </w:pPr>
      <w:bookmarkStart w:id="40" w:name="_Toc449028873"/>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7</w:t>
      </w:r>
      <w:r>
        <w:rPr>
          <w:rFonts w:hint="eastAsia" w:ascii="宋体" w:hAnsi="宋体" w:cs="宋体"/>
          <w:b/>
          <w:color w:val="auto"/>
          <w:szCs w:val="21"/>
          <w:highlight w:val="none"/>
        </w:rPr>
        <w:t>.评标委员会</w:t>
      </w:r>
    </w:p>
    <w:p w14:paraId="23F54807">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.1  评标委员会的组成</w:t>
      </w:r>
    </w:p>
    <w:p w14:paraId="34A543F0">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.1.1评标由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依法组建的评标委员会负责。</w:t>
      </w:r>
    </w:p>
    <w:p w14:paraId="1E389BE0">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.1.2评标委员会负责人依法推荐或确定。</w:t>
      </w:r>
    </w:p>
    <w:p w14:paraId="7E64B60B">
      <w:pPr>
        <w:keepNext w:val="0"/>
        <w:keepLines w:val="0"/>
        <w:pageBreakBefore w:val="0"/>
        <w:widowControl w:val="0"/>
        <w:kinsoku/>
        <w:wordWrap/>
        <w:overflowPunct/>
        <w:topLinePunct w:val="0"/>
        <w:autoSpaceDE/>
        <w:autoSpaceDN/>
        <w:bidi w:val="0"/>
        <w:spacing w:line="500" w:lineRule="exact"/>
        <w:ind w:firstLine="210" w:firstLineChars="100"/>
        <w:jc w:val="left"/>
        <w:textAlignment w:val="auto"/>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27.2</w:t>
      </w:r>
      <w:r>
        <w:rPr>
          <w:rFonts w:hint="eastAsia" w:ascii="宋体" w:hAnsi="宋体" w:eastAsia="宋体" w:cs="宋体"/>
          <w:color w:val="auto"/>
          <w:sz w:val="21"/>
          <w:szCs w:val="21"/>
          <w:highlight w:val="none"/>
        </w:rPr>
        <w:t>评标委员会成员名单在中标结果确定前应当保密。</w:t>
      </w:r>
    </w:p>
    <w:p w14:paraId="4B33CFD6">
      <w:pPr>
        <w:keepNext w:val="0"/>
        <w:keepLines w:val="0"/>
        <w:pageBreakBefore w:val="0"/>
        <w:widowControl w:val="0"/>
        <w:kinsoku/>
        <w:wordWrap/>
        <w:overflowPunct/>
        <w:topLinePunct w:val="0"/>
        <w:autoSpaceDE/>
        <w:autoSpaceDN/>
        <w:bidi w:val="0"/>
        <w:spacing w:line="500" w:lineRule="exact"/>
        <w:ind w:firstLine="210" w:firstLineChars="1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27.3</w:t>
      </w:r>
      <w:r>
        <w:rPr>
          <w:rFonts w:hint="eastAsia" w:ascii="宋体" w:hAnsi="宋体" w:eastAsia="宋体" w:cs="宋体"/>
          <w:color w:val="auto"/>
          <w:sz w:val="21"/>
          <w:szCs w:val="21"/>
          <w:highlight w:val="none"/>
        </w:rPr>
        <w:t>评标委员会成员有下述情形的，应当主动提出回避：</w:t>
      </w:r>
    </w:p>
    <w:p w14:paraId="35F7FDBC">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（1）供应商或供应商主要负责人的近亲属；</w:t>
      </w:r>
    </w:p>
    <w:p w14:paraId="399C6763">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（2）项目主管部门或者行政监督部门的人员；</w:t>
      </w:r>
    </w:p>
    <w:p w14:paraId="316EA378">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（3）与供应商有经济利益关系；</w:t>
      </w:r>
    </w:p>
    <w:p w14:paraId="5D6A0B5C">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（4）曾因在招标、评标以及其他与招标投标有关活动中从事违法行为而受过行政处罚或刑事处罚的；</w:t>
      </w:r>
    </w:p>
    <w:p w14:paraId="66E347F7">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（5）与供应商有其他利害关系。</w:t>
      </w:r>
    </w:p>
    <w:p w14:paraId="02FFF5CE">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27.4</w:t>
      </w:r>
      <w:r>
        <w:rPr>
          <w:rFonts w:hint="eastAsia" w:ascii="宋体" w:hAnsi="宋体" w:eastAsia="宋体" w:cs="宋体"/>
          <w:color w:val="auto"/>
          <w:sz w:val="21"/>
          <w:szCs w:val="21"/>
          <w:highlight w:val="none"/>
        </w:rPr>
        <w:t>评标委员会应当向</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提出书面评标报告，并抄送有关行政监督部门。评标报告应当如实记载以下内容：</w:t>
      </w:r>
    </w:p>
    <w:p w14:paraId="278132FB">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（1）基本情况和数据表；</w:t>
      </w:r>
    </w:p>
    <w:p w14:paraId="45C6D2B0">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（2）评标委员会成员名单；</w:t>
      </w:r>
    </w:p>
    <w:p w14:paraId="03C4C779">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（3）开标记录；</w:t>
      </w:r>
    </w:p>
    <w:p w14:paraId="79BBDDCE">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（4）符合要求的供应商一览表；</w:t>
      </w:r>
    </w:p>
    <w:p w14:paraId="6137CF09">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（5）无效情况说明；</w:t>
      </w:r>
    </w:p>
    <w:p w14:paraId="6806827E">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（6）评标标准、评标方法或者评标因素一览表；</w:t>
      </w:r>
    </w:p>
    <w:p w14:paraId="67CA8C16">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（7）经评审的价格或者评分比较一览表；</w:t>
      </w:r>
    </w:p>
    <w:p w14:paraId="0B99038A">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（8）供应商串标、围标等违规行为的确认报告；</w:t>
      </w:r>
    </w:p>
    <w:p w14:paraId="16195BE2">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（9）经评审的供应商排序；</w:t>
      </w:r>
    </w:p>
    <w:p w14:paraId="7B708267">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（10）推荐的中标候选人名单；</w:t>
      </w:r>
    </w:p>
    <w:p w14:paraId="00A44750">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（11）澄清、说明、补正事项纪要。</w:t>
      </w:r>
    </w:p>
    <w:p w14:paraId="4F3F49C8">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27</w:t>
      </w:r>
      <w:r>
        <w:rPr>
          <w:rFonts w:hint="eastAsia" w:ascii="宋体" w:hAnsi="宋体" w:eastAsia="宋体" w:cs="宋体"/>
          <w:color w:val="auto"/>
          <w:sz w:val="21"/>
          <w:szCs w:val="21"/>
          <w:highlight w:val="none"/>
        </w:rPr>
        <w:t>.5评标委员会接受</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授权对供应商资格进行审查。</w:t>
      </w:r>
    </w:p>
    <w:p w14:paraId="3ADDDFB7">
      <w:pPr>
        <w:keepNext w:val="0"/>
        <w:keepLines w:val="0"/>
        <w:pageBreakBefore w:val="0"/>
        <w:widowControl w:val="0"/>
        <w:tabs>
          <w:tab w:val="left" w:pos="720"/>
        </w:tabs>
        <w:kinsoku/>
        <w:wordWrap/>
        <w:overflowPunct/>
        <w:topLinePunct w:val="0"/>
        <w:autoSpaceDE/>
        <w:autoSpaceDN/>
        <w:bidi w:val="0"/>
        <w:spacing w:line="500" w:lineRule="exact"/>
        <w:ind w:firstLine="420" w:firstLineChars="200"/>
        <w:jc w:val="left"/>
        <w:textAlignment w:val="auto"/>
        <w:rPr>
          <w:rFonts w:hint="eastAsia" w:ascii="宋体" w:hAnsi="宋体" w:cs="宋体"/>
          <w:b/>
          <w:color w:val="auto"/>
          <w:szCs w:val="21"/>
          <w:highlight w:val="none"/>
        </w:rPr>
      </w:pPr>
      <w:r>
        <w:rPr>
          <w:rFonts w:hint="eastAsia" w:ascii="宋体" w:hAnsi="宋体" w:cs="宋体"/>
          <w:color w:val="auto"/>
          <w:sz w:val="21"/>
          <w:szCs w:val="21"/>
          <w:highlight w:val="none"/>
          <w:lang w:val="en-US" w:eastAsia="zh-CN"/>
        </w:rPr>
        <w:t>27</w:t>
      </w:r>
      <w:r>
        <w:rPr>
          <w:rFonts w:hint="eastAsia" w:ascii="宋体" w:hAnsi="宋体" w:eastAsia="宋体" w:cs="宋体"/>
          <w:color w:val="auto"/>
          <w:sz w:val="21"/>
          <w:szCs w:val="21"/>
          <w:highlight w:val="none"/>
        </w:rPr>
        <w:t>.6评标委员会应自觉接受有关监督管理部门的现场监督，评标委员会成</w:t>
      </w:r>
      <w:r>
        <w:rPr>
          <w:rFonts w:hint="eastAsia" w:ascii="宋体" w:hAnsi="宋体" w:eastAsia="宋体" w:cs="宋体"/>
          <w:color w:val="auto"/>
          <w:sz w:val="21"/>
          <w:szCs w:val="21"/>
          <w:highlight w:val="none"/>
          <w:lang w:eastAsia="zh-CN"/>
        </w:rPr>
        <w:t>员和</w:t>
      </w:r>
      <w:r>
        <w:rPr>
          <w:rFonts w:hint="eastAsia" w:ascii="宋体" w:hAnsi="宋体" w:eastAsia="宋体" w:cs="宋体"/>
          <w:color w:val="auto"/>
          <w:sz w:val="21"/>
          <w:szCs w:val="21"/>
          <w:highlight w:val="none"/>
        </w:rPr>
        <w:t>与评标活动有关的工作人员和监督人员不得向他人透露对投标文件的评审和比较、中标候选人的推荐以及与评标有关的其他情况。投标文件及与评标有关的资料应当保密。</w:t>
      </w:r>
    </w:p>
    <w:p w14:paraId="48E5985A">
      <w:pPr>
        <w:spacing w:line="420" w:lineRule="exact"/>
        <w:ind w:firstLine="421"/>
        <w:jc w:val="left"/>
        <w:rPr>
          <w:rFonts w:hint="eastAsia" w:ascii="宋体"/>
          <w:b/>
          <w:color w:val="auto"/>
          <w:szCs w:val="21"/>
          <w:highlight w:val="none"/>
        </w:rPr>
      </w:pPr>
      <w:r>
        <w:rPr>
          <w:rFonts w:hint="eastAsia" w:ascii="宋体"/>
          <w:b/>
          <w:color w:val="auto"/>
          <w:szCs w:val="21"/>
          <w:highlight w:val="none"/>
          <w:lang w:val="en-US" w:eastAsia="zh-CN"/>
        </w:rPr>
        <w:t>28</w:t>
      </w:r>
      <w:r>
        <w:rPr>
          <w:rFonts w:hint="eastAsia" w:ascii="宋体"/>
          <w:b/>
          <w:color w:val="auto"/>
          <w:szCs w:val="21"/>
          <w:highlight w:val="none"/>
        </w:rPr>
        <w:t>.评标</w:t>
      </w:r>
    </w:p>
    <w:p w14:paraId="67F8E77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7B4D58D3">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110F7DD1">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.3评标原则：遵循公平、公正、科学和择优的原则。</w:t>
      </w:r>
    </w:p>
    <w:p w14:paraId="18F0738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.4投标文件的澄清</w:t>
      </w:r>
    </w:p>
    <w:p w14:paraId="5E923D77">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.4.1在评标过程中，评标委员会认为需要，在</w:t>
      </w:r>
      <w:r>
        <w:rPr>
          <w:rFonts w:hint="eastAsia" w:ascii="宋体"/>
          <w:color w:val="auto"/>
          <w:szCs w:val="21"/>
          <w:highlight w:val="none"/>
          <w:lang w:val="en-US" w:eastAsia="zh-CN"/>
        </w:rPr>
        <w:t>招标人</w:t>
      </w:r>
      <w:r>
        <w:rPr>
          <w:rFonts w:hint="eastAsia" w:ascii="宋体"/>
          <w:color w:val="auto"/>
          <w:szCs w:val="21"/>
          <w:highlight w:val="none"/>
        </w:rPr>
        <w:t>的监督下，可要求投标人对投标文件中的有关问题进行澄清或提供补充说明及有关资料，投标人应做出书面答复。</w:t>
      </w:r>
    </w:p>
    <w:p w14:paraId="4FDAEBE8">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.4.2书面答复须经投标人法定代表人或其委托代理人签字或盖章，签字或盖章的书面答复将被视为投标文件的组成部分。</w:t>
      </w:r>
    </w:p>
    <w:p w14:paraId="3C80268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.5报价合理性的判断</w:t>
      </w:r>
    </w:p>
    <w:p w14:paraId="54EC7AC8">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8F01DF8">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.6评审意见分歧的处理办法</w:t>
      </w:r>
    </w:p>
    <w:p w14:paraId="6B09FEAA">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0CB74925">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w:t>
      </w:r>
      <w:r>
        <w:rPr>
          <w:rFonts w:hint="eastAsia" w:ascii="宋体"/>
          <w:color w:val="auto"/>
          <w:szCs w:val="21"/>
          <w:highlight w:val="none"/>
          <w:lang w:val="en-US" w:eastAsia="zh-CN"/>
        </w:rPr>
        <w:t>招标人</w:t>
      </w:r>
      <w:r>
        <w:rPr>
          <w:rFonts w:hint="eastAsia" w:ascii="宋体"/>
          <w:color w:val="auto"/>
          <w:szCs w:val="21"/>
          <w:highlight w:val="none"/>
        </w:rPr>
        <w:t>认为需要重新进行评标的，评标委员会成员应当按照</w:t>
      </w:r>
      <w:r>
        <w:rPr>
          <w:rFonts w:hint="eastAsia" w:ascii="宋体"/>
          <w:color w:val="auto"/>
          <w:szCs w:val="21"/>
          <w:highlight w:val="none"/>
          <w:lang w:val="en-US" w:eastAsia="zh-CN"/>
        </w:rPr>
        <w:t>招标人</w:t>
      </w:r>
      <w:r>
        <w:rPr>
          <w:rFonts w:hint="eastAsia" w:ascii="宋体"/>
          <w:color w:val="auto"/>
          <w:szCs w:val="21"/>
          <w:highlight w:val="none"/>
        </w:rPr>
        <w:t>要求重新评标。</w:t>
      </w:r>
    </w:p>
    <w:p w14:paraId="3696B11C">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.7评标报告的签署</w:t>
      </w:r>
    </w:p>
    <w:p w14:paraId="27CC50AF">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144225C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.8评标过程的保密</w:t>
      </w:r>
    </w:p>
    <w:p w14:paraId="177C2081">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1BD44A53">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.9评标结果公告</w:t>
      </w:r>
    </w:p>
    <w:p w14:paraId="0232DA4F">
      <w:pPr>
        <w:tabs>
          <w:tab w:val="left" w:pos="720"/>
        </w:tabs>
        <w:spacing w:line="420" w:lineRule="exact"/>
        <w:ind w:right="-313" w:rightChars="-149" w:firstLine="420" w:firstLineChars="200"/>
        <w:jc w:val="left"/>
        <w:rPr>
          <w:color w:val="auto"/>
          <w:highlight w:val="none"/>
        </w:rPr>
      </w:pPr>
      <w:r>
        <w:rPr>
          <w:rFonts w:hint="eastAsia" w:ascii="宋体"/>
          <w:color w:val="auto"/>
          <w:szCs w:val="21"/>
          <w:highlight w:val="none"/>
        </w:rPr>
        <w:t>招标人应将中标人的情况在</w:t>
      </w:r>
      <w:r>
        <w:rPr>
          <w:rFonts w:hint="eastAsia" w:ascii="宋体" w:hAnsi="宋体" w:cs="宋体"/>
          <w:color w:val="auto"/>
          <w:sz w:val="21"/>
          <w:szCs w:val="21"/>
          <w:highlight w:val="none"/>
          <w:lang w:val="en-US" w:eastAsia="zh-CN"/>
        </w:rPr>
        <w:t>滁州市</w:t>
      </w:r>
      <w:r>
        <w:rPr>
          <w:rFonts w:hint="eastAsia" w:ascii="宋体" w:hAnsi="宋体" w:eastAsia="宋体" w:cs="宋体"/>
          <w:color w:val="auto"/>
          <w:sz w:val="21"/>
          <w:szCs w:val="21"/>
          <w:highlight w:val="none"/>
          <w:lang w:val="en-US" w:eastAsia="zh-CN"/>
        </w:rPr>
        <w:t>扬子工业投资集团有限公司官网（https://czyzgtjt.com/）、滁州市城投工程咨询管理有限公司（https://www.czctgczx.com/）</w:t>
      </w:r>
      <w:r>
        <w:rPr>
          <w:rFonts w:hint="eastAsia" w:ascii="宋体"/>
          <w:color w:val="auto"/>
          <w:szCs w:val="21"/>
          <w:highlight w:val="none"/>
        </w:rPr>
        <w:t>予以公告，公告期为3日。投标人或其他利害关系人对评标结果有异议的，应在中标候选人公示期内提出。招标人将在收到异议之日起 3 日内作出答复；作出答复前，将暂停招标投标活动。</w:t>
      </w:r>
    </w:p>
    <w:p w14:paraId="70A50A44">
      <w:pPr>
        <w:spacing w:line="420" w:lineRule="exact"/>
        <w:ind w:firstLine="421"/>
        <w:jc w:val="left"/>
        <w:rPr>
          <w:rFonts w:hint="eastAsia" w:ascii="宋体"/>
          <w:b/>
          <w:color w:val="auto"/>
          <w:szCs w:val="21"/>
          <w:highlight w:val="none"/>
        </w:rPr>
      </w:pPr>
      <w:r>
        <w:rPr>
          <w:rFonts w:hint="eastAsia" w:ascii="宋体"/>
          <w:b/>
          <w:color w:val="auto"/>
          <w:szCs w:val="21"/>
          <w:highlight w:val="none"/>
          <w:lang w:val="en-US" w:eastAsia="zh-CN"/>
        </w:rPr>
        <w:t>29</w:t>
      </w:r>
      <w:r>
        <w:rPr>
          <w:rFonts w:hint="eastAsia" w:ascii="宋体"/>
          <w:b/>
          <w:color w:val="auto"/>
          <w:szCs w:val="21"/>
          <w:highlight w:val="none"/>
        </w:rPr>
        <w:t>.定标</w:t>
      </w:r>
    </w:p>
    <w:p w14:paraId="0CE2AB4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.1 中标人的确定</w:t>
      </w:r>
    </w:p>
    <w:p w14:paraId="34022E65">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.1.1招标人</w:t>
      </w:r>
      <w:r>
        <w:rPr>
          <w:rFonts w:hint="eastAsia" w:ascii="宋体"/>
          <w:color w:val="auto"/>
          <w:szCs w:val="21"/>
          <w:highlight w:val="none"/>
          <w:lang w:val="en-US" w:eastAsia="zh-CN"/>
        </w:rPr>
        <w:t>确定排名第一的中标候选人为</w:t>
      </w:r>
      <w:r>
        <w:rPr>
          <w:rFonts w:hint="eastAsia" w:ascii="宋体"/>
          <w:color w:val="auto"/>
          <w:szCs w:val="21"/>
          <w:highlight w:val="none"/>
        </w:rPr>
        <w:t>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0ABDAF4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.1.2中标人确定后，招标人应将中标信息在</w:t>
      </w:r>
      <w:r>
        <w:rPr>
          <w:rFonts w:hint="eastAsia" w:ascii="宋体" w:hAnsi="宋体" w:cs="宋体"/>
          <w:color w:val="auto"/>
          <w:sz w:val="21"/>
          <w:szCs w:val="21"/>
          <w:highlight w:val="none"/>
          <w:lang w:val="en-US" w:eastAsia="zh-CN"/>
        </w:rPr>
        <w:t>滁州市</w:t>
      </w:r>
      <w:r>
        <w:rPr>
          <w:rFonts w:hint="eastAsia" w:ascii="宋体" w:hAnsi="宋体" w:eastAsia="宋体" w:cs="宋体"/>
          <w:color w:val="auto"/>
          <w:sz w:val="21"/>
          <w:szCs w:val="21"/>
          <w:highlight w:val="none"/>
          <w:lang w:val="en-US" w:eastAsia="zh-CN"/>
        </w:rPr>
        <w:t>扬子工业投资集团有限公司官网（https://czyzgtjt.com/）、滁州市城投工程咨询管理有限公司（https://www.czctgczx.com/）予以</w:t>
      </w:r>
      <w:r>
        <w:rPr>
          <w:rFonts w:hint="eastAsia" w:ascii="宋体"/>
          <w:color w:val="auto"/>
          <w:szCs w:val="21"/>
          <w:highlight w:val="none"/>
        </w:rPr>
        <w:t>公告。</w:t>
      </w:r>
    </w:p>
    <w:p w14:paraId="7FDF404D">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.2 中标通知书</w:t>
      </w:r>
    </w:p>
    <w:p w14:paraId="0C30C0A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.2.1招标人或代理机构应在中标人确定之日起2个工作日内向中标人发出中标通知书。</w:t>
      </w:r>
    </w:p>
    <w:p w14:paraId="0F3E21DD">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.2.2中标通知书须加盖招标人、代理机构公章后，方可发出。</w:t>
      </w:r>
    </w:p>
    <w:p w14:paraId="3FAD0F9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.2.3招标人将在发出中标通知书的同时，向未通过资格审查的投标人告知其未通过的原因。</w:t>
      </w:r>
    </w:p>
    <w:p w14:paraId="73868C18">
      <w:pPr>
        <w:spacing w:line="420" w:lineRule="exact"/>
        <w:ind w:firstLine="421"/>
        <w:jc w:val="left"/>
        <w:rPr>
          <w:rFonts w:hint="eastAsia" w:ascii="宋体"/>
          <w:b/>
          <w:color w:val="auto"/>
          <w:szCs w:val="21"/>
          <w:highlight w:val="none"/>
        </w:rPr>
      </w:pPr>
      <w:r>
        <w:rPr>
          <w:rFonts w:hint="eastAsia" w:ascii="宋体"/>
          <w:b/>
          <w:color w:val="auto"/>
          <w:szCs w:val="21"/>
          <w:highlight w:val="none"/>
        </w:rPr>
        <w:t>3</w:t>
      </w:r>
      <w:r>
        <w:rPr>
          <w:rFonts w:hint="eastAsia" w:ascii="宋体"/>
          <w:b/>
          <w:color w:val="auto"/>
          <w:szCs w:val="21"/>
          <w:highlight w:val="none"/>
          <w:lang w:val="en-US" w:eastAsia="zh-CN"/>
        </w:rPr>
        <w:t>0</w:t>
      </w:r>
      <w:r>
        <w:rPr>
          <w:rFonts w:hint="eastAsia" w:ascii="宋体"/>
          <w:b/>
          <w:color w:val="auto"/>
          <w:szCs w:val="21"/>
          <w:highlight w:val="none"/>
        </w:rPr>
        <w:t>.开评标异常情况处理</w:t>
      </w:r>
    </w:p>
    <w:p w14:paraId="34372725">
      <w:pPr>
        <w:spacing w:line="420" w:lineRule="exact"/>
        <w:ind w:firstLine="421"/>
        <w:jc w:val="left"/>
        <w:rPr>
          <w:rFonts w:hint="eastAsia" w:ascii="宋体"/>
          <w:b/>
          <w:color w:val="auto"/>
          <w:szCs w:val="21"/>
          <w:highlight w:val="none"/>
        </w:rPr>
      </w:pPr>
      <w:r>
        <w:rPr>
          <w:rFonts w:hint="eastAsia" w:ascii="宋体"/>
          <w:color w:val="auto"/>
          <w:kern w:val="10"/>
          <w:szCs w:val="21"/>
          <w:highlight w:val="none"/>
        </w:rPr>
        <w:t>3</w:t>
      </w:r>
      <w:r>
        <w:rPr>
          <w:rFonts w:hint="eastAsia" w:ascii="宋体"/>
          <w:color w:val="auto"/>
          <w:kern w:val="10"/>
          <w:szCs w:val="21"/>
          <w:highlight w:val="none"/>
          <w:lang w:val="en-US" w:eastAsia="zh-CN"/>
        </w:rPr>
        <w:t>0</w:t>
      </w:r>
      <w:r>
        <w:rPr>
          <w:rFonts w:hint="eastAsia" w:ascii="宋体"/>
          <w:color w:val="auto"/>
          <w:kern w:val="10"/>
          <w:szCs w:val="21"/>
          <w:highlight w:val="none"/>
        </w:rPr>
        <w:t>.1</w:t>
      </w:r>
      <w:r>
        <w:rPr>
          <w:rFonts w:hint="eastAsia" w:ascii="宋体"/>
          <w:b/>
          <w:color w:val="auto"/>
          <w:szCs w:val="21"/>
          <w:highlight w:val="none"/>
        </w:rPr>
        <w:t xml:space="preserve">重新招标 </w:t>
      </w:r>
    </w:p>
    <w:p w14:paraId="5537DBC8">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项目有下列情形之一的，招标人将重新招标：</w:t>
      </w:r>
    </w:p>
    <w:p w14:paraId="4B3EE50C">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 xml:space="preserve">(1)投标截止时间止，投标人少于三个的； </w:t>
      </w:r>
    </w:p>
    <w:p w14:paraId="3013C075">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(2)符合专业条件的供应商或者对招标文件作实质响应的供应商不足三家的；</w:t>
      </w:r>
    </w:p>
    <w:p w14:paraId="2127AD9B">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(3)出现影响招标公正的违法、违规行为的；</w:t>
      </w:r>
    </w:p>
    <w:p w14:paraId="4B474937">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(4)投标人的报价均脱离实际且无充分证据的；</w:t>
      </w:r>
    </w:p>
    <w:p w14:paraId="03EA4801">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w:t>
      </w:r>
      <w:r>
        <w:rPr>
          <w:rFonts w:hint="eastAsia" w:ascii="宋体"/>
          <w:color w:val="auto"/>
          <w:kern w:val="10"/>
          <w:szCs w:val="21"/>
          <w:highlight w:val="none"/>
          <w:lang w:val="en-US" w:eastAsia="zh-CN"/>
        </w:rPr>
        <w:t>5</w:t>
      </w:r>
      <w:r>
        <w:rPr>
          <w:rFonts w:hint="eastAsia" w:ascii="宋体"/>
          <w:color w:val="auto"/>
          <w:kern w:val="10"/>
          <w:szCs w:val="21"/>
          <w:highlight w:val="none"/>
        </w:rPr>
        <w:t>)因重大变故，采购任务取消的。</w:t>
      </w:r>
    </w:p>
    <w:p w14:paraId="5117F1F3">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3</w:t>
      </w:r>
      <w:r>
        <w:rPr>
          <w:rFonts w:hint="eastAsia" w:ascii="宋体"/>
          <w:color w:val="auto"/>
          <w:kern w:val="10"/>
          <w:szCs w:val="21"/>
          <w:highlight w:val="none"/>
          <w:lang w:val="en-US" w:eastAsia="zh-CN"/>
        </w:rPr>
        <w:t>0.</w:t>
      </w:r>
      <w:r>
        <w:rPr>
          <w:rFonts w:hint="eastAsia" w:ascii="宋体"/>
          <w:color w:val="auto"/>
          <w:kern w:val="10"/>
          <w:szCs w:val="21"/>
          <w:highlight w:val="none"/>
        </w:rPr>
        <w:t>2变更采购方式</w:t>
      </w:r>
    </w:p>
    <w:p w14:paraId="46976AC6">
      <w:pPr>
        <w:adjustRightInd w:val="0"/>
        <w:snapToGrid w:val="0"/>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lang w:val="en-US" w:eastAsia="zh-CN"/>
        </w:rPr>
        <w:t>.2.1</w:t>
      </w:r>
      <w:bookmarkStart w:id="41" w:name="_Toc449028872"/>
      <w:r>
        <w:rPr>
          <w:rFonts w:hint="eastAsia" w:ascii="宋体"/>
          <w:color w:val="auto"/>
          <w:szCs w:val="21"/>
          <w:highlight w:val="none"/>
        </w:rPr>
        <w:t>按照滁州市公管局相关规定执行。</w:t>
      </w:r>
      <w:bookmarkEnd w:id="41"/>
    </w:p>
    <w:p w14:paraId="423966B4">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0"/>
    </w:p>
    <w:p w14:paraId="24E82BB2">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1</w:t>
      </w:r>
      <w:r>
        <w:rPr>
          <w:rFonts w:hint="eastAsia" w:ascii="宋体" w:hAnsi="宋体" w:cs="宋体"/>
          <w:b/>
          <w:color w:val="auto"/>
          <w:szCs w:val="21"/>
          <w:highlight w:val="none"/>
        </w:rPr>
        <w:t>.合同授予标准</w:t>
      </w:r>
    </w:p>
    <w:p w14:paraId="5270CBF1">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.1本招标项目的合同将授予按本投标须知第</w:t>
      </w: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 xml:space="preserve">条规定所确定的中标人。 </w:t>
      </w:r>
    </w:p>
    <w:p w14:paraId="623B4E71">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.合同协议书的签订</w:t>
      </w:r>
    </w:p>
    <w:p w14:paraId="7F5554AF">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1招标人与中标人将于中标通知书发出之日起30日内，按照招标文件和中标人的投标文件订立书面采购合同。中标人无正当理由拒签合同的，在签订合同时向招标人提出附加条件，或不按照招标文件要求提交履约保证金的，招标人取消其中标资格，其投标保证金不予退还；给招标人造成的损失超过投标保证金数额的，中标人还应当对超过部分予以赔偿。</w:t>
      </w:r>
    </w:p>
    <w:p w14:paraId="3AB5DE87">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发出中标通知书后，招标人无正当理由拒签合同的，招标人向中标人退还投标保证金；给中标人造成损失的，还应当赔偿损失。</w:t>
      </w:r>
    </w:p>
    <w:p w14:paraId="43DB83A8">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依法必须进行招标的项目，除中标人以外的其他投标人存在串通投标、弄虚作假、行贿情形且在评标过程中未被发现的，视为对中标结果没有造成实质性影响，招标人可以依法继续开展招标活动。</w:t>
      </w:r>
    </w:p>
    <w:p w14:paraId="38083277">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bookmarkStart w:id="42" w:name="_Toc217446068"/>
      <w:r>
        <w:rPr>
          <w:rFonts w:hint="eastAsia" w:ascii="宋体" w:hAnsi="宋体" w:cs="宋体"/>
          <w:b/>
          <w:color w:val="auto"/>
          <w:szCs w:val="21"/>
          <w:highlight w:val="none"/>
        </w:rPr>
        <w:t>履约保证金</w:t>
      </w:r>
      <w:bookmarkEnd w:id="42"/>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007D37B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0E4AFC1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.2中标人不能按本章第3</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69ACA1B5">
      <w:pPr>
        <w:spacing w:before="312" w:beforeLines="100" w:after="312" w:afterLines="100" w:line="440" w:lineRule="exact"/>
        <w:jc w:val="center"/>
        <w:rPr>
          <w:rFonts w:hint="eastAsia" w:ascii="宋体" w:hAnsi="宋体" w:eastAsia="宋体" w:cs="宋体"/>
          <w:b/>
          <w:color w:val="auto"/>
          <w:sz w:val="28"/>
          <w:szCs w:val="28"/>
          <w:highlight w:val="none"/>
        </w:rPr>
      </w:pPr>
      <w:bookmarkStart w:id="43" w:name="_Toc449028874"/>
      <w:r>
        <w:rPr>
          <w:rFonts w:hint="eastAsia" w:ascii="宋体" w:hAnsi="宋体" w:eastAsia="宋体" w:cs="宋体"/>
          <w:b/>
          <w:color w:val="auto"/>
          <w:sz w:val="28"/>
          <w:szCs w:val="28"/>
          <w:highlight w:val="none"/>
        </w:rPr>
        <w:t>（七）纪律和监督</w:t>
      </w:r>
      <w:bookmarkEnd w:id="43"/>
    </w:p>
    <w:p w14:paraId="5AFC6D7B">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4</w:t>
      </w:r>
      <w:r>
        <w:rPr>
          <w:rFonts w:hint="eastAsia" w:ascii="宋体" w:hAnsi="宋体" w:cs="宋体"/>
          <w:b/>
          <w:color w:val="auto"/>
          <w:szCs w:val="21"/>
          <w:highlight w:val="none"/>
        </w:rPr>
        <w:t>.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57F24D26">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4</w:t>
      </w:r>
      <w:r>
        <w:rPr>
          <w:rFonts w:hint="eastAsia" w:ascii="宋体" w:hAnsi="宋体" w:cs="宋体"/>
          <w:color w:val="auto"/>
          <w:kern w:val="10"/>
          <w:szCs w:val="21"/>
          <w:highlight w:val="none"/>
        </w:rPr>
        <w:t>.1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14DE3FB3">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5</w:t>
      </w:r>
      <w:r>
        <w:rPr>
          <w:rFonts w:hint="eastAsia" w:ascii="宋体" w:hAnsi="宋体" w:cs="宋体"/>
          <w:b/>
          <w:color w:val="auto"/>
          <w:szCs w:val="21"/>
          <w:highlight w:val="none"/>
        </w:rPr>
        <w:t xml:space="preserve">. 对投标人的纪律要求 </w:t>
      </w:r>
    </w:p>
    <w:p w14:paraId="13EC5730">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5</w:t>
      </w:r>
      <w:r>
        <w:rPr>
          <w:rFonts w:hint="eastAsia" w:ascii="宋体" w:hAnsi="宋体" w:cs="宋体"/>
          <w:color w:val="auto"/>
          <w:kern w:val="10"/>
          <w:szCs w:val="21"/>
          <w:highlight w:val="none"/>
        </w:rPr>
        <w:t>.1投标人不得相互串通投标或者与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6F584934">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6.</w:t>
      </w:r>
      <w:r>
        <w:rPr>
          <w:rFonts w:hint="eastAsia" w:ascii="宋体" w:hAnsi="宋体" w:cs="宋体"/>
          <w:b/>
          <w:color w:val="auto"/>
          <w:szCs w:val="21"/>
          <w:highlight w:val="none"/>
        </w:rPr>
        <w:t xml:space="preserve"> 对评标委员会成员的纪律要求 </w:t>
      </w:r>
    </w:p>
    <w:p w14:paraId="454BFE52">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6</w:t>
      </w:r>
      <w:r>
        <w:rPr>
          <w:rFonts w:hint="eastAsia" w:ascii="宋体" w:hAnsi="宋体" w:cs="宋体"/>
          <w:color w:val="auto"/>
          <w:kern w:val="10"/>
          <w:szCs w:val="21"/>
          <w:highlight w:val="none"/>
        </w:rPr>
        <w:t>.1评标委员会成员不得收受他人的财物或者其他好处，不得向他人透漏对投标文件的评审和比较、中标候选人的推荐情况以及评标有关的其他情况。</w:t>
      </w:r>
    </w:p>
    <w:p w14:paraId="6F8159BA">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6</w:t>
      </w:r>
      <w:r>
        <w:rPr>
          <w:rFonts w:hint="eastAsia" w:ascii="宋体" w:hAnsi="宋体" w:cs="宋体"/>
          <w:color w:val="auto"/>
          <w:kern w:val="10"/>
          <w:szCs w:val="21"/>
          <w:highlight w:val="none"/>
        </w:rPr>
        <w:t xml:space="preserve">.2在评标活动中，评标委员会成员不得擅离职守，影响评标程序正常进行，不得使用第三章“评标办法”没有规定的评审因素和标准进行评标。 </w:t>
      </w:r>
    </w:p>
    <w:p w14:paraId="229B1ED3">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7</w:t>
      </w:r>
      <w:r>
        <w:rPr>
          <w:rFonts w:hint="eastAsia" w:ascii="宋体" w:hAnsi="宋体" w:cs="宋体"/>
          <w:b/>
          <w:color w:val="auto"/>
          <w:szCs w:val="21"/>
          <w:highlight w:val="none"/>
        </w:rPr>
        <w:t xml:space="preserve">. 对与评标活动有关的工作人员的纪律要求 </w:t>
      </w:r>
    </w:p>
    <w:p w14:paraId="373F90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7</w:t>
      </w:r>
      <w:r>
        <w:rPr>
          <w:rFonts w:hint="eastAsia" w:ascii="宋体" w:hAnsi="宋体" w:cs="宋体"/>
          <w:color w:val="auto"/>
          <w:kern w:val="10"/>
          <w:szCs w:val="21"/>
          <w:highlight w:val="none"/>
        </w:rPr>
        <w:t>.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215FB137">
      <w:pPr>
        <w:spacing w:before="312" w:beforeLines="100" w:after="312" w:afterLines="100" w:line="440" w:lineRule="exact"/>
        <w:jc w:val="center"/>
        <w:rPr>
          <w:rFonts w:hint="eastAsia" w:ascii="宋体" w:hAnsi="宋体" w:eastAsia="宋体" w:cs="宋体"/>
          <w:b/>
          <w:color w:val="auto"/>
          <w:sz w:val="28"/>
          <w:szCs w:val="28"/>
          <w:highlight w:val="none"/>
          <w:lang w:eastAsia="zh-CN"/>
        </w:rPr>
      </w:pPr>
      <w:bookmarkStart w:id="44" w:name="_Toc449028875"/>
      <w:r>
        <w:rPr>
          <w:rFonts w:hint="eastAsia" w:ascii="宋体" w:hAnsi="宋体" w:eastAsia="宋体" w:cs="宋体"/>
          <w:b/>
          <w:color w:val="auto"/>
          <w:sz w:val="28"/>
          <w:szCs w:val="28"/>
          <w:highlight w:val="none"/>
        </w:rPr>
        <w:t>（八）</w:t>
      </w:r>
      <w:bookmarkEnd w:id="44"/>
      <w:r>
        <w:rPr>
          <w:rFonts w:hint="eastAsia" w:ascii="宋体" w:hAnsi="宋体" w:cs="宋体"/>
          <w:b/>
          <w:color w:val="auto"/>
          <w:sz w:val="28"/>
          <w:szCs w:val="28"/>
          <w:highlight w:val="none"/>
          <w:lang w:val="en-US" w:eastAsia="zh-CN"/>
        </w:rPr>
        <w:t>投诉</w:t>
      </w:r>
    </w:p>
    <w:p w14:paraId="1A7ED3EA">
      <w:pPr>
        <w:spacing w:line="440" w:lineRule="exact"/>
        <w:ind w:firstLine="314" w:firstLineChars="149"/>
        <w:jc w:val="left"/>
        <w:rPr>
          <w:rFonts w:hint="eastAsia" w:ascii="宋体" w:hAnsi="宋体" w:eastAsia="宋体" w:cs="宋体"/>
          <w:b/>
          <w:color w:val="auto"/>
          <w:szCs w:val="21"/>
          <w:highlight w:val="none"/>
          <w:lang w:eastAsia="zh-CN"/>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8</w:t>
      </w:r>
      <w:r>
        <w:rPr>
          <w:rFonts w:hint="eastAsia" w:ascii="宋体" w:hAnsi="宋体" w:cs="宋体"/>
          <w:b/>
          <w:color w:val="auto"/>
          <w:szCs w:val="21"/>
          <w:highlight w:val="none"/>
        </w:rPr>
        <w:t xml:space="preserve">. </w:t>
      </w:r>
      <w:r>
        <w:rPr>
          <w:rFonts w:hint="eastAsia" w:ascii="宋体" w:hAnsi="宋体" w:cs="宋体"/>
          <w:b/>
          <w:color w:val="auto"/>
          <w:szCs w:val="21"/>
          <w:highlight w:val="none"/>
          <w:lang w:val="en-US" w:eastAsia="zh-CN"/>
        </w:rPr>
        <w:t>投诉</w:t>
      </w:r>
    </w:p>
    <w:p w14:paraId="61693C4A">
      <w:pPr>
        <w:adjustRightInd w:val="0"/>
        <w:snapToGrid w:val="0"/>
        <w:spacing w:line="420" w:lineRule="exact"/>
        <w:ind w:firstLine="315" w:firstLineChars="150"/>
        <w:rPr>
          <w:rFonts w:hint="eastAsia" w:ascii="宋体" w:hAnsi="Times New Roman" w:eastAsia="宋体" w:cs="Times New Roman"/>
          <w:color w:val="auto"/>
          <w:kern w:val="10"/>
          <w:szCs w:val="21"/>
          <w:highlight w:val="none"/>
        </w:rPr>
      </w:pPr>
      <w:bookmarkStart w:id="45" w:name="_Toc58430316"/>
      <w:r>
        <w:rPr>
          <w:rFonts w:hint="eastAsia" w:ascii="宋体" w:eastAsia="宋体" w:cs="Times New Roman"/>
          <w:color w:val="auto"/>
          <w:kern w:val="10"/>
          <w:szCs w:val="21"/>
          <w:highlight w:val="none"/>
          <w:lang w:val="en-US" w:eastAsia="zh-CN"/>
        </w:rPr>
        <w:t>3</w:t>
      </w:r>
      <w:r>
        <w:rPr>
          <w:rFonts w:hint="eastAsia" w:ascii="宋体" w:cs="Times New Roman"/>
          <w:color w:val="auto"/>
          <w:kern w:val="10"/>
          <w:szCs w:val="21"/>
          <w:highlight w:val="none"/>
          <w:lang w:val="en-US" w:eastAsia="zh-CN"/>
        </w:rPr>
        <w:t>8</w:t>
      </w:r>
      <w:r>
        <w:rPr>
          <w:rFonts w:hint="eastAsia" w:ascii="宋体" w:hAnsi="Times New Roman" w:eastAsia="宋体" w:cs="Times New Roman"/>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56B37E35">
      <w:pPr>
        <w:adjustRightInd w:val="0"/>
        <w:snapToGrid w:val="0"/>
        <w:spacing w:line="420" w:lineRule="exact"/>
        <w:ind w:firstLine="315" w:firstLineChars="150"/>
        <w:rPr>
          <w:rFonts w:hint="eastAsia" w:ascii="宋体" w:hAnsi="Times New Roman" w:eastAsia="宋体" w:cs="Times New Roman"/>
          <w:color w:val="auto"/>
          <w:kern w:val="10"/>
          <w:szCs w:val="21"/>
          <w:highlight w:val="none"/>
        </w:rPr>
      </w:pPr>
      <w:r>
        <w:rPr>
          <w:rFonts w:hint="eastAsia" w:ascii="宋体" w:eastAsia="宋体" w:cs="Times New Roman"/>
          <w:color w:val="auto"/>
          <w:kern w:val="10"/>
          <w:szCs w:val="21"/>
          <w:highlight w:val="none"/>
          <w:lang w:val="en-US" w:eastAsia="zh-CN"/>
        </w:rPr>
        <w:t>3</w:t>
      </w:r>
      <w:r>
        <w:rPr>
          <w:rFonts w:hint="eastAsia" w:ascii="宋体" w:cs="Times New Roman"/>
          <w:color w:val="auto"/>
          <w:kern w:val="10"/>
          <w:szCs w:val="21"/>
          <w:highlight w:val="none"/>
          <w:lang w:val="en-US" w:eastAsia="zh-CN"/>
        </w:rPr>
        <w:t>8</w:t>
      </w:r>
      <w:r>
        <w:rPr>
          <w:rFonts w:hint="eastAsia" w:ascii="宋体" w:hAnsi="Times New Roman" w:eastAsia="宋体" w:cs="Times New Roman"/>
          <w:color w:val="auto"/>
          <w:kern w:val="10"/>
          <w:szCs w:val="21"/>
          <w:highlight w:val="none"/>
        </w:rPr>
        <w:t>.2投标人和其他利害关系人对招标文件、开标和评标结果事项投诉的，应当按照投标人须知的规定先向招标人提出异议。</w:t>
      </w:r>
    </w:p>
    <w:p w14:paraId="44157927">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5"/>
    </w:p>
    <w:p w14:paraId="75D8E8E2">
      <w:pPr>
        <w:spacing w:before="156" w:beforeLines="50" w:after="156" w:afterLines="50" w:line="440" w:lineRule="exact"/>
        <w:jc w:val="center"/>
        <w:outlineLvl w:val="1"/>
        <w:rPr>
          <w:rFonts w:hint="eastAsia" w:ascii="宋体"/>
          <w:b/>
          <w:color w:val="auto"/>
          <w:sz w:val="28"/>
          <w:szCs w:val="28"/>
          <w:highlight w:val="none"/>
        </w:rPr>
      </w:pPr>
      <w:bookmarkStart w:id="46" w:name="_Toc58430317"/>
      <w:bookmarkStart w:id="47" w:name="_Toc449028877"/>
      <w:bookmarkStart w:id="48" w:name="_Toc362983801"/>
      <w:bookmarkStart w:id="49" w:name="_Toc267320058"/>
      <w:bookmarkStart w:id="50" w:name="_Toc363135205"/>
      <w:r>
        <w:rPr>
          <w:rFonts w:hint="eastAsia" w:ascii="宋体"/>
          <w:b/>
          <w:color w:val="auto"/>
          <w:sz w:val="28"/>
          <w:szCs w:val="28"/>
          <w:highlight w:val="none"/>
        </w:rPr>
        <w:t>一、总则</w:t>
      </w:r>
      <w:bookmarkEnd w:id="46"/>
      <w:bookmarkEnd w:id="47"/>
      <w:bookmarkEnd w:id="48"/>
    </w:p>
    <w:p w14:paraId="42F719D3">
      <w:pPr>
        <w:keepNext w:val="0"/>
        <w:keepLines w:val="0"/>
        <w:pageBreakBefore w:val="0"/>
        <w:kinsoku/>
        <w:overflowPunct/>
        <w:topLinePunct w:val="0"/>
        <w:autoSpaceDE/>
        <w:autoSpaceDN/>
        <w:bidi w:val="0"/>
        <w:adjustRightInd/>
        <w:snapToGrid/>
        <w:spacing w:line="500" w:lineRule="exact"/>
        <w:ind w:firstLine="316" w:firstLineChars="150"/>
        <w:jc w:val="left"/>
        <w:textAlignment w:val="auto"/>
        <w:rPr>
          <w:rFonts w:hint="eastAsia" w:ascii="宋体" w:hAnsi="宋体" w:eastAsia="宋体" w:cs="宋体"/>
          <w:b/>
          <w:color w:val="auto"/>
          <w:szCs w:val="21"/>
          <w:highlight w:val="none"/>
        </w:rPr>
      </w:pPr>
      <w:bookmarkStart w:id="51" w:name="_Toc362983802"/>
      <w:r>
        <w:rPr>
          <w:rFonts w:hint="eastAsia" w:ascii="宋体" w:hAnsi="宋体" w:eastAsia="宋体" w:cs="宋体"/>
          <w:b/>
          <w:color w:val="auto"/>
          <w:szCs w:val="21"/>
          <w:highlight w:val="none"/>
        </w:rPr>
        <w:t xml:space="preserve"> 1. 本次评标采用综合评分法</w:t>
      </w:r>
    </w:p>
    <w:p w14:paraId="6455993B">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1.1综合评分法是指投标文件满足招标文件全部实质性要求且按照评审因素的量化指标评审总得分从高到低的供应商为中标候选人的评标方法。</w:t>
      </w:r>
    </w:p>
    <w:p w14:paraId="3312F8A7">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1.2综合评分法一般适用于较为复杂、评价指标难以量化且价格为非主要因素的非标准定制商品和非通用服务项目的项目评审。</w:t>
      </w:r>
    </w:p>
    <w:p w14:paraId="5F4E0477">
      <w:pPr>
        <w:keepNext w:val="0"/>
        <w:keepLines w:val="0"/>
        <w:pageBreakBefore w:val="0"/>
        <w:kinsoku/>
        <w:overflowPunct/>
        <w:topLinePunct w:val="0"/>
        <w:autoSpaceDE/>
        <w:autoSpaceDN/>
        <w:bidi w:val="0"/>
        <w:adjustRightInd/>
        <w:snapToGrid/>
        <w:spacing w:line="500" w:lineRule="exact"/>
        <w:ind w:firstLine="422" w:firstLineChars="200"/>
        <w:jc w:val="left"/>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2．评标程序</w:t>
      </w:r>
    </w:p>
    <w:p w14:paraId="2F374524">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2.1投标文件的初审</w:t>
      </w:r>
    </w:p>
    <w:p w14:paraId="164C3FAD">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2.1.1资格性检查。依据法律法规和招标文件的规定，对投标文件中的资格证明、投标保证金等进行审查，以确定投标人是否具备投标资格。 </w:t>
      </w:r>
    </w:p>
    <w:p w14:paraId="112D1BDE">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2.1.2符合性检查。依据招标文件的规定，从投标文件的有效性、完整性和对招标文件的响应程度进行审查，以确定投标人是否对招标文件的实质性要求作出响应。</w:t>
      </w:r>
    </w:p>
    <w:p w14:paraId="4AC687F0">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2.2投标文件的澄清</w:t>
      </w:r>
    </w:p>
    <w:p w14:paraId="48BE3D38">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2.2.1在评标过程中，评标委员会认为需要，可要求投标人对投标文件中的有关问题进行澄清或提供补充说明及有关资料，投标人应做出书面答复。书面答复中不得变更价格、供货期、自报质量等实质性内容。</w:t>
      </w:r>
    </w:p>
    <w:p w14:paraId="4B04A490">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14:paraId="27BA1BBE">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2.2.3 招标人不接受投标人主动提出的澄清。</w:t>
      </w:r>
    </w:p>
    <w:p w14:paraId="5FC4DEB9">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2.3比较与评价</w:t>
      </w:r>
    </w:p>
    <w:p w14:paraId="5C618DDC">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2．3.1按招标文件中规定的评标方法和标准，对资格性检查和符合性检查合格的投标文件进行资信、商务和技术评估，综合比较与评价。 </w:t>
      </w:r>
    </w:p>
    <w:p w14:paraId="52F42E4F">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2.4推荐中标候选人名单</w:t>
      </w:r>
    </w:p>
    <w:p w14:paraId="3CF64B2B">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2.4.1中标候选人数量应当根据采购需要确定，但必须按顺序排列中标候选人。</w:t>
      </w:r>
    </w:p>
    <w:p w14:paraId="14173CC0">
      <w:pPr>
        <w:keepNext w:val="0"/>
        <w:keepLines w:val="0"/>
        <w:pageBreakBefore w:val="0"/>
        <w:kinsoku/>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2.5在投标文件的审查、澄清、评价和比较以及授予合同过程中，投标人对招标人和评标委员会成员施加影响的任何行为，都将导致取消其中标资格。</w:t>
      </w:r>
      <w:bookmarkStart w:id="52" w:name="_Toc449028878"/>
      <w:bookmarkStart w:id="53" w:name="_Toc58430318"/>
    </w:p>
    <w:p w14:paraId="0B35F66E">
      <w:pPr>
        <w:spacing w:before="156" w:beforeLines="50" w:after="156" w:afterLines="50" w:line="440" w:lineRule="exact"/>
        <w:jc w:val="center"/>
        <w:outlineLvl w:val="1"/>
        <w:rPr>
          <w:rFonts w:hint="eastAsia" w:ascii="宋体" w:eastAsia="宋体"/>
          <w:b/>
          <w:color w:val="auto"/>
          <w:sz w:val="28"/>
          <w:szCs w:val="28"/>
          <w:highlight w:val="none"/>
        </w:rPr>
      </w:pPr>
      <w:r>
        <w:rPr>
          <w:rFonts w:hint="eastAsia" w:ascii="宋体" w:eastAsia="宋体"/>
          <w:b/>
          <w:color w:val="auto"/>
          <w:sz w:val="28"/>
          <w:szCs w:val="28"/>
          <w:highlight w:val="none"/>
        </w:rPr>
        <w:t>二、投标文件初审</w:t>
      </w:r>
      <w:bookmarkEnd w:id="51"/>
      <w:bookmarkEnd w:id="52"/>
      <w:bookmarkEnd w:id="53"/>
    </w:p>
    <w:p w14:paraId="5534C6B9">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542D6066">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7"/>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6C236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0F421018">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28D3D2CA">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2620839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202F6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3C288E02">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5B0ECB7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6EBF0385">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7084E209">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2E1D9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795" w:type="dxa"/>
            <w:vMerge w:val="restart"/>
            <w:noWrap w:val="0"/>
            <w:vAlign w:val="center"/>
          </w:tcPr>
          <w:p w14:paraId="662F924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3878F20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03AF52D4">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47E91753">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049F3E9C">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w:t>
            </w:r>
          </w:p>
        </w:tc>
      </w:tr>
      <w:tr w14:paraId="1539A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17EC704D">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138BDE61">
            <w:pPr>
              <w:spacing w:line="440" w:lineRule="exact"/>
              <w:rPr>
                <w:rFonts w:hint="eastAsia" w:ascii="宋体" w:hAnsi="宋体" w:cs="宋体"/>
                <w:color w:val="auto"/>
                <w:szCs w:val="21"/>
                <w:highlight w:val="none"/>
              </w:rPr>
            </w:pPr>
          </w:p>
        </w:tc>
        <w:tc>
          <w:tcPr>
            <w:tcW w:w="3368" w:type="dxa"/>
            <w:noWrap w:val="0"/>
            <w:vAlign w:val="top"/>
          </w:tcPr>
          <w:p w14:paraId="7F33D4A4">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）诚信投标承诺书</w:t>
            </w:r>
          </w:p>
        </w:tc>
        <w:tc>
          <w:tcPr>
            <w:tcW w:w="4492" w:type="dxa"/>
            <w:noWrap w:val="0"/>
            <w:vAlign w:val="top"/>
          </w:tcPr>
          <w:p w14:paraId="086EEE4E">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1D13B5D8">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检验电子</w:t>
      </w:r>
      <w:r>
        <w:rPr>
          <w:rFonts w:hint="eastAsia" w:ascii="宋体" w:hAnsi="宋体" w:cs="宋体"/>
          <w:b/>
          <w:color w:val="auto"/>
          <w:szCs w:val="21"/>
          <w:highlight w:val="none"/>
        </w:rPr>
        <w:t>投标文件过程中，如果由于投标人自身原因导致评标专家无法查看并检验</w:t>
      </w:r>
      <w:r>
        <w:rPr>
          <w:rFonts w:hint="eastAsia" w:ascii="宋体" w:hAnsi="宋体" w:cs="宋体"/>
          <w:b/>
          <w:color w:val="auto"/>
          <w:szCs w:val="21"/>
          <w:highlight w:val="none"/>
          <w:lang w:val="en-US" w:eastAsia="zh-CN"/>
        </w:rPr>
        <w:t>电子</w:t>
      </w:r>
      <w:r>
        <w:rPr>
          <w:rFonts w:hint="eastAsia" w:ascii="宋体" w:hAnsi="宋体" w:cs="宋体"/>
          <w:b/>
          <w:color w:val="auto"/>
          <w:szCs w:val="21"/>
          <w:highlight w:val="none"/>
        </w:rPr>
        <w:t>投标文件中相关资料的，否决其投标。即使投标人将原件携带至现场的，同样按否决投标处理。</w:t>
      </w:r>
    </w:p>
    <w:p w14:paraId="23C4CE0C">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0272B7F7">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6D0FC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0B277332">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34A043A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7A32455F">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164E9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1AD39EB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511055F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2342B75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3F454FF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29E88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626937F2">
            <w:pPr>
              <w:spacing w:line="440" w:lineRule="exact"/>
              <w:rPr>
                <w:rFonts w:hint="eastAsia" w:ascii="宋体" w:hAnsi="宋体" w:cs="宋体"/>
                <w:color w:val="auto"/>
                <w:szCs w:val="21"/>
                <w:highlight w:val="none"/>
              </w:rPr>
            </w:pPr>
          </w:p>
        </w:tc>
        <w:tc>
          <w:tcPr>
            <w:tcW w:w="1204" w:type="dxa"/>
            <w:vMerge w:val="continue"/>
            <w:noWrap w:val="0"/>
            <w:vAlign w:val="center"/>
          </w:tcPr>
          <w:p w14:paraId="3AF2561A">
            <w:pPr>
              <w:spacing w:line="440" w:lineRule="exact"/>
              <w:rPr>
                <w:rFonts w:hint="eastAsia" w:ascii="宋体" w:hAnsi="宋体" w:cs="宋体"/>
                <w:color w:val="auto"/>
                <w:szCs w:val="21"/>
                <w:highlight w:val="none"/>
              </w:rPr>
            </w:pPr>
          </w:p>
        </w:tc>
        <w:tc>
          <w:tcPr>
            <w:tcW w:w="2931" w:type="dxa"/>
            <w:noWrap w:val="0"/>
            <w:vAlign w:val="center"/>
          </w:tcPr>
          <w:p w14:paraId="655B4AC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1E57FA08">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0FFA8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27200CFF">
            <w:pPr>
              <w:spacing w:line="440" w:lineRule="exact"/>
              <w:rPr>
                <w:rFonts w:hint="eastAsia" w:ascii="宋体" w:hAnsi="宋体" w:cs="宋体"/>
                <w:color w:val="auto"/>
                <w:szCs w:val="21"/>
                <w:highlight w:val="none"/>
              </w:rPr>
            </w:pPr>
          </w:p>
        </w:tc>
        <w:tc>
          <w:tcPr>
            <w:tcW w:w="1204" w:type="dxa"/>
            <w:vMerge w:val="continue"/>
            <w:noWrap w:val="0"/>
            <w:vAlign w:val="center"/>
          </w:tcPr>
          <w:p w14:paraId="1CE6AE82">
            <w:pPr>
              <w:spacing w:line="440" w:lineRule="exact"/>
              <w:rPr>
                <w:rFonts w:hint="eastAsia" w:ascii="宋体" w:hAnsi="宋体" w:cs="宋体"/>
                <w:color w:val="auto"/>
                <w:szCs w:val="21"/>
                <w:highlight w:val="none"/>
              </w:rPr>
            </w:pPr>
          </w:p>
        </w:tc>
        <w:tc>
          <w:tcPr>
            <w:tcW w:w="2931" w:type="dxa"/>
            <w:noWrap w:val="0"/>
            <w:vAlign w:val="center"/>
          </w:tcPr>
          <w:p w14:paraId="47AF47F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498F9B00">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25659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36C33C73">
            <w:pPr>
              <w:spacing w:line="440" w:lineRule="exact"/>
              <w:rPr>
                <w:rFonts w:hint="eastAsia" w:ascii="宋体" w:hAnsi="宋体" w:cs="宋体"/>
                <w:color w:val="auto"/>
                <w:szCs w:val="21"/>
                <w:highlight w:val="none"/>
              </w:rPr>
            </w:pPr>
          </w:p>
        </w:tc>
        <w:tc>
          <w:tcPr>
            <w:tcW w:w="1204" w:type="dxa"/>
            <w:vMerge w:val="continue"/>
            <w:noWrap w:val="0"/>
            <w:vAlign w:val="center"/>
          </w:tcPr>
          <w:p w14:paraId="3E033FB6">
            <w:pPr>
              <w:spacing w:line="440" w:lineRule="exact"/>
              <w:rPr>
                <w:rFonts w:hint="eastAsia" w:ascii="宋体" w:hAnsi="宋体" w:cs="宋体"/>
                <w:color w:val="auto"/>
                <w:szCs w:val="21"/>
                <w:highlight w:val="none"/>
              </w:rPr>
            </w:pPr>
          </w:p>
        </w:tc>
        <w:tc>
          <w:tcPr>
            <w:tcW w:w="2931" w:type="dxa"/>
            <w:noWrap w:val="0"/>
            <w:vAlign w:val="center"/>
          </w:tcPr>
          <w:p w14:paraId="329BD3FB">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44882B0B">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112E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0E66DC8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1638699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76F8D189">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08B01365">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网上递交的电子投标文件：一份。 </w:t>
            </w:r>
          </w:p>
        </w:tc>
      </w:tr>
      <w:tr w14:paraId="6A12E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6C2542B1">
            <w:pPr>
              <w:spacing w:line="440" w:lineRule="exact"/>
              <w:rPr>
                <w:rFonts w:hint="eastAsia" w:ascii="宋体" w:hAnsi="宋体" w:cs="宋体"/>
                <w:color w:val="auto"/>
                <w:szCs w:val="21"/>
                <w:highlight w:val="none"/>
              </w:rPr>
            </w:pPr>
          </w:p>
        </w:tc>
        <w:tc>
          <w:tcPr>
            <w:tcW w:w="1204" w:type="dxa"/>
            <w:vMerge w:val="continue"/>
            <w:noWrap w:val="0"/>
            <w:vAlign w:val="center"/>
          </w:tcPr>
          <w:p w14:paraId="45BF5F3C">
            <w:pPr>
              <w:spacing w:line="440" w:lineRule="exact"/>
              <w:rPr>
                <w:rFonts w:hint="eastAsia" w:ascii="宋体" w:hAnsi="宋体" w:cs="宋体"/>
                <w:color w:val="auto"/>
                <w:szCs w:val="21"/>
                <w:highlight w:val="none"/>
              </w:rPr>
            </w:pPr>
          </w:p>
        </w:tc>
        <w:tc>
          <w:tcPr>
            <w:tcW w:w="2931" w:type="dxa"/>
            <w:noWrap w:val="0"/>
            <w:vAlign w:val="center"/>
          </w:tcPr>
          <w:p w14:paraId="4033609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7B334A4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3E165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464FD1B7">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29266C82">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3BE672D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7DF9D5F1">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693FF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0275A35F">
            <w:pPr>
              <w:spacing w:line="440" w:lineRule="exact"/>
              <w:rPr>
                <w:rFonts w:hint="eastAsia" w:ascii="宋体" w:hAnsi="宋体" w:cs="宋体"/>
                <w:color w:val="auto"/>
                <w:szCs w:val="21"/>
                <w:highlight w:val="none"/>
              </w:rPr>
            </w:pPr>
          </w:p>
        </w:tc>
        <w:tc>
          <w:tcPr>
            <w:tcW w:w="1204" w:type="dxa"/>
            <w:vMerge w:val="continue"/>
            <w:noWrap w:val="0"/>
            <w:vAlign w:val="center"/>
          </w:tcPr>
          <w:p w14:paraId="167951BA">
            <w:pPr>
              <w:spacing w:line="440" w:lineRule="exact"/>
              <w:rPr>
                <w:rFonts w:hint="eastAsia" w:ascii="宋体" w:hAnsi="宋体" w:cs="宋体"/>
                <w:color w:val="auto"/>
                <w:szCs w:val="21"/>
                <w:highlight w:val="none"/>
              </w:rPr>
            </w:pPr>
          </w:p>
        </w:tc>
        <w:tc>
          <w:tcPr>
            <w:tcW w:w="2931" w:type="dxa"/>
            <w:noWrap w:val="0"/>
            <w:vAlign w:val="center"/>
          </w:tcPr>
          <w:p w14:paraId="66E5B7D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（8）商务条款响应程度（包括售后服务、</w:t>
            </w:r>
            <w:r>
              <w:rPr>
                <w:rFonts w:hint="eastAsia" w:ascii="宋体" w:hAnsi="宋体" w:cs="宋体"/>
                <w:color w:val="auto"/>
                <w:szCs w:val="21"/>
                <w:highlight w:val="none"/>
                <w:lang w:val="en-US" w:eastAsia="zh-CN"/>
              </w:rPr>
              <w:t>岗前</w:t>
            </w:r>
            <w:r>
              <w:rPr>
                <w:rFonts w:hint="eastAsia" w:ascii="宋体" w:hAnsi="宋体" w:cs="宋体"/>
                <w:color w:val="auto"/>
                <w:szCs w:val="21"/>
                <w:highlight w:val="none"/>
                <w:lang w:val="zh-CN"/>
              </w:rPr>
              <w:t>培训等）</w:t>
            </w:r>
          </w:p>
        </w:tc>
        <w:tc>
          <w:tcPr>
            <w:tcW w:w="4173" w:type="dxa"/>
            <w:noWrap w:val="0"/>
            <w:vAlign w:val="center"/>
          </w:tcPr>
          <w:p w14:paraId="4CF6FE23">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047734D9">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w:t>
      </w:r>
      <w:r>
        <w:rPr>
          <w:rFonts w:hint="eastAsia" w:ascii="宋体" w:hAnsi="宋体" w:cs="宋体"/>
          <w:color w:val="auto"/>
          <w:szCs w:val="21"/>
          <w:highlight w:val="none"/>
          <w:lang w:val="en-US" w:eastAsia="zh-CN"/>
        </w:rPr>
        <w:t>审</w:t>
      </w:r>
      <w:r>
        <w:rPr>
          <w:rFonts w:hint="eastAsia" w:ascii="宋体" w:hAnsi="宋体" w:cs="宋体"/>
          <w:color w:val="auto"/>
          <w:szCs w:val="21"/>
          <w:highlight w:val="none"/>
        </w:rPr>
        <w:t>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74E8712E">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1B2790A9">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51559265">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26AFF1F7">
      <w:pPr>
        <w:jc w:val="center"/>
        <w:outlineLvl w:val="1"/>
        <w:rPr>
          <w:rFonts w:hint="eastAsia" w:ascii="宋体" w:hAnsi="Times New Roman" w:eastAsia="宋体" w:cs="Times New Roman"/>
          <w:b/>
          <w:color w:val="auto"/>
          <w:sz w:val="28"/>
          <w:szCs w:val="28"/>
          <w:highlight w:val="none"/>
        </w:rPr>
      </w:pPr>
      <w:bookmarkStart w:id="54" w:name="_Toc362983803"/>
      <w:bookmarkStart w:id="55" w:name="_Toc449028879"/>
      <w:bookmarkStart w:id="56" w:name="_Toc58430319"/>
      <w:r>
        <w:rPr>
          <w:rFonts w:hint="eastAsia" w:ascii="宋体" w:hAnsi="Times New Roman" w:eastAsia="宋体" w:cs="Times New Roman"/>
          <w:b/>
          <w:color w:val="auto"/>
          <w:sz w:val="28"/>
          <w:szCs w:val="28"/>
          <w:highlight w:val="none"/>
        </w:rPr>
        <w:t>三、投标文件的澄清和补正</w:t>
      </w:r>
      <w:bookmarkEnd w:id="54"/>
      <w:bookmarkEnd w:id="55"/>
      <w:bookmarkEnd w:id="56"/>
    </w:p>
    <w:p w14:paraId="3A50F91C">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4F50C5A7">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6CD75983">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077BC2AB">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68C1681B">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1882661">
      <w:pPr>
        <w:spacing w:line="440" w:lineRule="exact"/>
        <w:ind w:firstLine="403" w:firstLineChars="192"/>
        <w:jc w:val="left"/>
        <w:rPr>
          <w:rFonts w:hint="eastAsia" w:ascii="宋体"/>
          <w:b/>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5.4评委会将按上述修正错误的方法调整投标文件中的投标报价，调整后的价格应对投标人具有约束力。无论投标人是接受或是拒绝调整后的价格，都应当由投标人在系统中确认。</w:t>
      </w:r>
      <w:r>
        <w:rPr>
          <w:rFonts w:hint="eastAsia" w:ascii="宋体"/>
          <w:b/>
          <w:bCs/>
          <w:color w:val="auto"/>
          <w:szCs w:val="21"/>
          <w:highlight w:val="none"/>
        </w:rPr>
        <w:t>投标人拒绝对投标文件出现的错漏按上述原则进行修正、澄清、说明，评标委员会应当否决其投标。</w:t>
      </w:r>
      <w:bookmarkStart w:id="57" w:name="_Toc449028880"/>
      <w:bookmarkStart w:id="58" w:name="_Toc58430320"/>
    </w:p>
    <w:p w14:paraId="46942CFE">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57"/>
      <w:bookmarkEnd w:id="58"/>
    </w:p>
    <w:p w14:paraId="5F755D29">
      <w:pPr>
        <w:spacing w:line="440" w:lineRule="exact"/>
        <w:ind w:right="36" w:rightChars="17" w:firstLine="417" w:firstLineChars="198"/>
        <w:jc w:val="left"/>
        <w:rPr>
          <w:rFonts w:ascii="宋体" w:hAnsi="宋体" w:cs="宋体"/>
          <w:b/>
          <w:color w:val="auto"/>
          <w:szCs w:val="21"/>
          <w:highlight w:val="none"/>
        </w:rPr>
      </w:pPr>
      <w:r>
        <w:rPr>
          <w:rFonts w:hint="eastAsia" w:ascii="宋体" w:hAnsi="宋体" w:eastAsia="宋体" w:cs="宋体"/>
          <w:b/>
          <w:color w:val="auto"/>
          <w:sz w:val="21"/>
          <w:szCs w:val="21"/>
          <w:highlight w:val="none"/>
        </w:rPr>
        <w:t xml:space="preserve"> </w:t>
      </w:r>
      <w:bookmarkStart w:id="59" w:name="_Toc449028881"/>
      <w:bookmarkStart w:id="60" w:name="_Toc362983805"/>
      <w:r>
        <w:rPr>
          <w:rFonts w:hint="eastAsia" w:ascii="宋体" w:hAnsi="宋体" w:cs="宋体"/>
          <w:b/>
          <w:color w:val="auto"/>
          <w:szCs w:val="21"/>
          <w:highlight w:val="none"/>
        </w:rPr>
        <w:t>6.详细评审即按招标文件中规定的评标方法和标准，评标委员会将对通过初审的投标文件，进行综合比较与评价。</w:t>
      </w:r>
    </w:p>
    <w:p w14:paraId="6C018262">
      <w:pPr>
        <w:keepNext w:val="0"/>
        <w:keepLines w:val="0"/>
        <w:pageBreakBefore w:val="0"/>
        <w:kinsoku/>
        <w:wordWrap/>
        <w:overflowPunct/>
        <w:topLinePunct w:val="0"/>
        <w:autoSpaceDE/>
        <w:autoSpaceDN/>
        <w:bidi w:val="0"/>
        <w:spacing w:line="500" w:lineRule="exact"/>
        <w:ind w:firstLine="422" w:firstLineChars="200"/>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6.1评</w:t>
      </w:r>
      <w:r>
        <w:rPr>
          <w:rFonts w:hint="eastAsia" w:ascii="宋体" w:hAnsi="宋体" w:eastAsia="宋体" w:cs="宋体"/>
          <w:b/>
          <w:bCs/>
          <w:color w:val="auto"/>
          <w:szCs w:val="21"/>
          <w:highlight w:val="none"/>
          <w:lang w:val="en-US" w:eastAsia="zh-CN"/>
        </w:rPr>
        <w:t>分</w:t>
      </w:r>
      <w:r>
        <w:rPr>
          <w:rFonts w:hint="eastAsia" w:ascii="宋体" w:hAnsi="宋体" w:eastAsia="宋体" w:cs="宋体"/>
          <w:b/>
          <w:bCs/>
          <w:color w:val="auto"/>
          <w:szCs w:val="21"/>
          <w:highlight w:val="none"/>
        </w:rPr>
        <w:t>细则（</w:t>
      </w:r>
      <w:r>
        <w:rPr>
          <w:rFonts w:hint="eastAsia" w:ascii="宋体" w:hAnsi="宋体" w:eastAsia="宋体" w:cs="宋体"/>
          <w:b/>
          <w:bCs/>
          <w:color w:val="auto"/>
          <w:szCs w:val="21"/>
          <w:highlight w:val="none"/>
          <w:lang w:val="en-US" w:eastAsia="zh-CN"/>
        </w:rPr>
        <w:t>100</w:t>
      </w:r>
      <w:r>
        <w:rPr>
          <w:rFonts w:hint="eastAsia" w:ascii="宋体" w:hAnsi="宋体" w:eastAsia="宋体" w:cs="宋体"/>
          <w:b/>
          <w:bCs/>
          <w:color w:val="auto"/>
          <w:szCs w:val="21"/>
          <w:highlight w:val="none"/>
        </w:rPr>
        <w:t>分）</w:t>
      </w:r>
    </w:p>
    <w:tbl>
      <w:tblPr>
        <w:tblStyle w:val="37"/>
        <w:tblW w:w="101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245"/>
        <w:gridCol w:w="900"/>
        <w:gridCol w:w="7350"/>
      </w:tblGrid>
      <w:tr w14:paraId="2AC25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97" w:type="dxa"/>
            <w:noWrap w:val="0"/>
            <w:vAlign w:val="center"/>
          </w:tcPr>
          <w:p w14:paraId="4907A915">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245" w:type="dxa"/>
            <w:noWrap w:val="0"/>
            <w:vAlign w:val="center"/>
          </w:tcPr>
          <w:p w14:paraId="5C8A87BA">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评分因素</w:t>
            </w:r>
          </w:p>
        </w:tc>
        <w:tc>
          <w:tcPr>
            <w:tcW w:w="900" w:type="dxa"/>
            <w:noWrap w:val="0"/>
            <w:vAlign w:val="center"/>
          </w:tcPr>
          <w:p w14:paraId="620DC900">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分值</w:t>
            </w:r>
          </w:p>
        </w:tc>
        <w:tc>
          <w:tcPr>
            <w:tcW w:w="7350" w:type="dxa"/>
            <w:noWrap w:val="0"/>
            <w:vAlign w:val="center"/>
          </w:tcPr>
          <w:p w14:paraId="3BB10525">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评审细则</w:t>
            </w:r>
          </w:p>
        </w:tc>
      </w:tr>
      <w:tr w14:paraId="6486A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97" w:type="dxa"/>
            <w:noWrap w:val="0"/>
            <w:vAlign w:val="center"/>
          </w:tcPr>
          <w:p w14:paraId="00E716FF">
            <w:pPr>
              <w:pStyle w:val="16"/>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1</w:t>
            </w:r>
          </w:p>
        </w:tc>
        <w:tc>
          <w:tcPr>
            <w:tcW w:w="1245" w:type="dxa"/>
            <w:noWrap w:val="0"/>
            <w:vAlign w:val="center"/>
          </w:tcPr>
          <w:p w14:paraId="4BAAA2D9">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企业业绩</w:t>
            </w:r>
          </w:p>
        </w:tc>
        <w:tc>
          <w:tcPr>
            <w:tcW w:w="900" w:type="dxa"/>
            <w:noWrap w:val="0"/>
            <w:vAlign w:val="center"/>
          </w:tcPr>
          <w:p w14:paraId="64AB3C49">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Cs w:val="21"/>
                <w:highlight w:val="none"/>
                <w:lang w:val="en-US" w:eastAsia="zh-CN"/>
              </w:rPr>
            </w:pPr>
            <w:r>
              <w:rPr>
                <w:rFonts w:hint="eastAsia" w:ascii="宋体" w:hAnsi="宋体" w:cs="宋体"/>
                <w:b/>
                <w:bCs/>
                <w:color w:val="auto"/>
                <w:szCs w:val="21"/>
                <w:highlight w:val="none"/>
                <w:lang w:val="en-US" w:eastAsia="zh-CN"/>
              </w:rPr>
              <w:t>10</w:t>
            </w:r>
            <w:r>
              <w:rPr>
                <w:rFonts w:hint="eastAsia" w:ascii="宋体" w:hAnsi="宋体" w:eastAsia="宋体" w:cs="宋体"/>
                <w:b/>
                <w:bCs/>
                <w:color w:val="auto"/>
                <w:szCs w:val="21"/>
                <w:highlight w:val="none"/>
                <w:lang w:val="en-US" w:eastAsia="zh-CN"/>
              </w:rPr>
              <w:t>分</w:t>
            </w:r>
          </w:p>
        </w:tc>
        <w:tc>
          <w:tcPr>
            <w:tcW w:w="7350" w:type="dxa"/>
            <w:noWrap w:val="0"/>
            <w:vAlign w:val="center"/>
          </w:tcPr>
          <w:p w14:paraId="5AC82F76">
            <w:pPr>
              <w:keepNext w:val="0"/>
              <w:keepLines w:val="0"/>
              <w:pageBreakBefore w:val="0"/>
              <w:kinsoku/>
              <w:wordWrap/>
              <w:overflowPunct/>
              <w:topLinePunct w:val="0"/>
              <w:autoSpaceDE/>
              <w:autoSpaceDN/>
              <w:bidi w:val="0"/>
              <w:spacing w:line="500" w:lineRule="exact"/>
              <w:ind w:hanging="1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2022</w:t>
            </w:r>
            <w:r>
              <w:rPr>
                <w:rFonts w:hint="eastAsia" w:ascii="宋体" w:hAnsi="宋体" w:eastAsia="宋体" w:cs="宋体"/>
                <w:color w:val="auto"/>
                <w:szCs w:val="21"/>
                <w:highlight w:val="none"/>
              </w:rPr>
              <w:t>年1月1日至投标截止时间，投标人具有</w:t>
            </w:r>
            <w:r>
              <w:rPr>
                <w:rFonts w:hint="eastAsia" w:ascii="宋体" w:hAnsi="宋体" w:eastAsia="宋体" w:cs="宋体"/>
                <w:color w:val="auto"/>
                <w:szCs w:val="21"/>
                <w:highlight w:val="none"/>
                <w:lang w:val="en-US" w:eastAsia="zh-CN"/>
              </w:rPr>
              <w:t>保洁服务</w:t>
            </w:r>
            <w:r>
              <w:rPr>
                <w:rFonts w:hint="eastAsia" w:ascii="宋体" w:hAnsi="宋体" w:eastAsia="宋体" w:cs="宋体"/>
                <w:color w:val="auto"/>
                <w:szCs w:val="21"/>
                <w:highlight w:val="none"/>
              </w:rPr>
              <w:t>业绩，每提供1项得</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分，满分为</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7BAD3E58">
            <w:pPr>
              <w:keepNext w:val="0"/>
              <w:keepLines w:val="0"/>
              <w:pageBreakBefore w:val="0"/>
              <w:kinsoku/>
              <w:wordWrap/>
              <w:overflowPunct/>
              <w:topLinePunct w:val="0"/>
              <w:autoSpaceDE/>
              <w:autoSpaceDN/>
              <w:bidi w:val="0"/>
              <w:spacing w:line="500" w:lineRule="exact"/>
              <w:jc w:val="lef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rPr>
              <w:t>注：同时提供</w:t>
            </w:r>
            <w:r>
              <w:rPr>
                <w:rFonts w:hint="eastAsia" w:ascii="宋体" w:hAnsi="宋体" w:eastAsia="宋体" w:cs="宋体"/>
                <w:b/>
                <w:bCs/>
                <w:color w:val="auto"/>
                <w:highlight w:val="none"/>
                <w:lang w:val="en-US" w:eastAsia="zh-CN"/>
              </w:rPr>
              <w:t>合同（合同内容中须体现至少包含保洁服务内容）</w:t>
            </w:r>
            <w:r>
              <w:rPr>
                <w:rFonts w:hint="eastAsia" w:ascii="宋体" w:hAnsi="宋体" w:eastAsia="宋体" w:cs="宋体"/>
                <w:b/>
                <w:bCs/>
                <w:color w:val="auto"/>
                <w:highlight w:val="none"/>
              </w:rPr>
              <w:t>。业绩有效时间以合同为准。</w:t>
            </w:r>
          </w:p>
        </w:tc>
      </w:tr>
      <w:tr w14:paraId="50F22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97" w:type="dxa"/>
            <w:noWrap w:val="0"/>
            <w:vAlign w:val="center"/>
          </w:tcPr>
          <w:p w14:paraId="35243A9E">
            <w:pPr>
              <w:pStyle w:val="16"/>
              <w:keepNext w:val="0"/>
              <w:keepLines w:val="0"/>
              <w:pageBreakBefore w:val="0"/>
              <w:kinsoku/>
              <w:wordWrap/>
              <w:overflowPunct/>
              <w:topLinePunct w:val="0"/>
              <w:autoSpaceDE/>
              <w:autoSpaceDN/>
              <w:bidi w:val="0"/>
              <w:spacing w:line="500" w:lineRule="exact"/>
              <w:jc w:val="center"/>
              <w:textAlignment w:val="auto"/>
              <w:rPr>
                <w:rFonts w:hint="default" w:ascii="宋体" w:hAnsi="宋体" w:eastAsia="宋体" w:cs="宋体"/>
                <w:b/>
                <w:bCs/>
                <w:color w:val="auto"/>
                <w:highlight w:val="none"/>
                <w:lang w:val="en-US" w:eastAsia="zh-CN"/>
              </w:rPr>
            </w:pPr>
            <w:r>
              <w:rPr>
                <w:rFonts w:hint="eastAsia" w:ascii="宋体" w:hAnsi="宋体" w:cs="宋体"/>
                <w:b/>
                <w:bCs/>
                <w:color w:val="auto"/>
                <w:highlight w:val="none"/>
                <w:lang w:val="en-US" w:eastAsia="zh-CN"/>
              </w:rPr>
              <w:t>2</w:t>
            </w:r>
          </w:p>
        </w:tc>
        <w:tc>
          <w:tcPr>
            <w:tcW w:w="1245" w:type="dxa"/>
            <w:noWrap w:val="0"/>
            <w:vAlign w:val="center"/>
          </w:tcPr>
          <w:p w14:paraId="69AAFA31">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保洁服务方案</w:t>
            </w:r>
          </w:p>
        </w:tc>
        <w:tc>
          <w:tcPr>
            <w:tcW w:w="900" w:type="dxa"/>
            <w:noWrap w:val="0"/>
            <w:vAlign w:val="center"/>
          </w:tcPr>
          <w:p w14:paraId="17C3F5BD">
            <w:pPr>
              <w:keepNext w:val="0"/>
              <w:keepLines w:val="0"/>
              <w:pageBreakBefore w:val="0"/>
              <w:kinsoku/>
              <w:wordWrap/>
              <w:overflowPunct/>
              <w:topLinePunct w:val="0"/>
              <w:autoSpaceDE/>
              <w:autoSpaceDN/>
              <w:bidi w:val="0"/>
              <w:spacing w:line="500" w:lineRule="exact"/>
              <w:jc w:val="center"/>
              <w:textAlignment w:val="auto"/>
              <w:rPr>
                <w:rFonts w:hint="default" w:ascii="宋体" w:hAnsi="宋体" w:cs="宋体"/>
                <w:b/>
                <w:bCs/>
                <w:color w:val="auto"/>
                <w:szCs w:val="21"/>
                <w:highlight w:val="none"/>
                <w:lang w:val="en-US" w:eastAsia="zh-CN"/>
              </w:rPr>
            </w:pPr>
            <w:r>
              <w:rPr>
                <w:rFonts w:hint="eastAsia" w:ascii="宋体" w:hAnsi="宋体" w:cs="宋体"/>
                <w:b/>
                <w:bCs/>
                <w:color w:val="auto"/>
                <w:szCs w:val="21"/>
                <w:highlight w:val="none"/>
                <w:lang w:val="en-US" w:eastAsia="zh-CN"/>
              </w:rPr>
              <w:t>20分</w:t>
            </w:r>
          </w:p>
        </w:tc>
        <w:tc>
          <w:tcPr>
            <w:tcW w:w="7350" w:type="dxa"/>
            <w:noWrap w:val="0"/>
            <w:vAlign w:val="center"/>
          </w:tcPr>
          <w:p w14:paraId="0E83707E">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针对本项目的工作特点提供日常保洁服务方案内容。</w:t>
            </w:r>
          </w:p>
          <w:p w14:paraId="37795819">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1.服务方案全面、完整、详尽、各项服务措施完善，充分考虑各岗位日常人员配合、工作安排实施方案等因素，可实施性突出，充分满足项目实施要求，得20分；</w:t>
            </w:r>
          </w:p>
          <w:p w14:paraId="248004B3">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2.服务方案有各项服务措施，各岗位日常人员配合、工作安排具有实施性，满足项目实施要求得18分；</w:t>
            </w:r>
          </w:p>
          <w:p w14:paraId="2CCF00FF">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3.服务方案简单，服务措施及服务安排存在不足的得16分；</w:t>
            </w:r>
          </w:p>
          <w:p w14:paraId="3F2EEFA9">
            <w:pPr>
              <w:keepNext w:val="0"/>
              <w:keepLines w:val="0"/>
              <w:pageBreakBefore w:val="0"/>
              <w:kinsoku/>
              <w:wordWrap/>
              <w:overflowPunct/>
              <w:topLinePunct w:val="0"/>
              <w:autoSpaceDE/>
              <w:autoSpaceDN/>
              <w:bidi w:val="0"/>
              <w:spacing w:line="500" w:lineRule="exact"/>
              <w:jc w:val="left"/>
              <w:textAlignment w:val="auto"/>
              <w:rPr>
                <w:rFonts w:hint="eastAsia" w:ascii="宋体" w:hAnsi="宋体" w:eastAsia="宋体" w:cs="宋体"/>
                <w:b/>
                <w:bCs/>
                <w:color w:val="auto"/>
                <w:highlight w:val="none"/>
              </w:rPr>
            </w:pPr>
            <w:r>
              <w:rPr>
                <w:rFonts w:hint="eastAsia" w:ascii="宋体" w:hAnsi="宋体" w:eastAsia="宋体" w:cs="宋体"/>
                <w:color w:val="auto"/>
                <w:sz w:val="21"/>
                <w:szCs w:val="21"/>
                <w:highlight w:val="none"/>
                <w:lang w:val="en-US" w:eastAsia="zh-CN"/>
              </w:rPr>
              <w:t>4.未提供的不得分。</w:t>
            </w:r>
          </w:p>
        </w:tc>
      </w:tr>
      <w:tr w14:paraId="7ED44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97" w:type="dxa"/>
            <w:noWrap w:val="0"/>
            <w:vAlign w:val="center"/>
          </w:tcPr>
          <w:p w14:paraId="77AE55ED">
            <w:pPr>
              <w:pStyle w:val="16"/>
              <w:keepNext w:val="0"/>
              <w:keepLines w:val="0"/>
              <w:pageBreakBefore w:val="0"/>
              <w:kinsoku/>
              <w:wordWrap/>
              <w:overflowPunct/>
              <w:topLinePunct w:val="0"/>
              <w:autoSpaceDE/>
              <w:autoSpaceDN/>
              <w:bidi w:val="0"/>
              <w:spacing w:line="500" w:lineRule="exact"/>
              <w:jc w:val="center"/>
              <w:textAlignment w:val="auto"/>
              <w:rPr>
                <w:rFonts w:hint="default" w:ascii="宋体" w:hAnsi="宋体" w:cs="宋体"/>
                <w:b/>
                <w:bCs/>
                <w:color w:val="auto"/>
                <w:highlight w:val="none"/>
                <w:lang w:val="en-US" w:eastAsia="zh-CN"/>
              </w:rPr>
            </w:pPr>
            <w:r>
              <w:rPr>
                <w:rFonts w:hint="eastAsia" w:ascii="宋体" w:hAnsi="宋体" w:cs="宋体"/>
                <w:b/>
                <w:bCs/>
                <w:color w:val="auto"/>
                <w:highlight w:val="none"/>
                <w:lang w:val="en-US" w:eastAsia="zh-CN"/>
              </w:rPr>
              <w:t>3</w:t>
            </w:r>
          </w:p>
        </w:tc>
        <w:tc>
          <w:tcPr>
            <w:tcW w:w="1245" w:type="dxa"/>
            <w:noWrap w:val="0"/>
            <w:vAlign w:val="center"/>
          </w:tcPr>
          <w:p w14:paraId="09117AFB">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绿化修剪方案</w:t>
            </w:r>
          </w:p>
        </w:tc>
        <w:tc>
          <w:tcPr>
            <w:tcW w:w="900" w:type="dxa"/>
            <w:noWrap w:val="0"/>
            <w:vAlign w:val="center"/>
          </w:tcPr>
          <w:p w14:paraId="1CE60562">
            <w:pPr>
              <w:keepNext w:val="0"/>
              <w:keepLines w:val="0"/>
              <w:pageBreakBefore w:val="0"/>
              <w:kinsoku/>
              <w:wordWrap/>
              <w:overflowPunct/>
              <w:topLinePunct w:val="0"/>
              <w:autoSpaceDE/>
              <w:autoSpaceDN/>
              <w:bidi w:val="0"/>
              <w:spacing w:line="500" w:lineRule="exact"/>
              <w:jc w:val="center"/>
              <w:textAlignment w:val="auto"/>
              <w:rPr>
                <w:rFonts w:hint="default" w:ascii="宋体" w:hAnsi="宋体" w:cs="宋体"/>
                <w:b/>
                <w:bCs/>
                <w:color w:val="auto"/>
                <w:szCs w:val="21"/>
                <w:highlight w:val="none"/>
                <w:lang w:val="en-US" w:eastAsia="zh-CN"/>
              </w:rPr>
            </w:pPr>
            <w:r>
              <w:rPr>
                <w:rFonts w:hint="eastAsia" w:ascii="宋体" w:hAnsi="宋体" w:cs="宋体"/>
                <w:b/>
                <w:bCs/>
                <w:color w:val="auto"/>
                <w:szCs w:val="21"/>
                <w:highlight w:val="none"/>
                <w:lang w:val="en-US" w:eastAsia="zh-CN"/>
              </w:rPr>
              <w:t>20分</w:t>
            </w:r>
          </w:p>
        </w:tc>
        <w:tc>
          <w:tcPr>
            <w:tcW w:w="7350" w:type="dxa"/>
            <w:noWrap w:val="0"/>
            <w:vAlign w:val="center"/>
          </w:tcPr>
          <w:p w14:paraId="690FBDAC">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针对本项目的工作特点提供日常绿化修剪方案。由评标委员会根据响应文件以上内容进行综合评审：</w:t>
            </w:r>
          </w:p>
          <w:p w14:paraId="7F34F400">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1.服务方案全面、完整、详尽、各项服务措施完善，充分考虑各岗位日常人员配合、工作安排实施方案等因素，可实施性突出，充分满足项目实施要求得</w:t>
            </w:r>
            <w:r>
              <w:rPr>
                <w:rFonts w:hint="eastAsia" w:ascii="宋体" w:hAnsi="宋体" w:cs="宋体"/>
                <w:color w:val="auto"/>
                <w:sz w:val="21"/>
                <w:szCs w:val="21"/>
                <w:highlight w:val="none"/>
                <w:lang w:val="en-US" w:eastAsia="zh-CN"/>
              </w:rPr>
              <w:t>20</w:t>
            </w:r>
            <w:r>
              <w:rPr>
                <w:rFonts w:hint="eastAsia" w:ascii="宋体" w:hAnsi="宋体" w:eastAsia="宋体" w:cs="宋体"/>
                <w:color w:val="auto"/>
                <w:sz w:val="21"/>
                <w:szCs w:val="21"/>
                <w:highlight w:val="none"/>
                <w:lang w:val="en-US" w:eastAsia="zh-CN"/>
              </w:rPr>
              <w:t>分；</w:t>
            </w:r>
          </w:p>
          <w:p w14:paraId="385F0B5A">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2.服务方案有各项服务措施，各岗位日常人员配合、工作安排具有实施性，满足项目实施要求得</w:t>
            </w:r>
            <w:r>
              <w:rPr>
                <w:rFonts w:hint="eastAsia" w:ascii="宋体" w:hAnsi="宋体" w:cs="宋体"/>
                <w:color w:val="auto"/>
                <w:sz w:val="21"/>
                <w:szCs w:val="21"/>
                <w:highlight w:val="none"/>
                <w:lang w:val="en-US" w:eastAsia="zh-CN"/>
              </w:rPr>
              <w:t>18</w:t>
            </w:r>
            <w:r>
              <w:rPr>
                <w:rFonts w:hint="eastAsia" w:ascii="宋体" w:hAnsi="宋体" w:eastAsia="宋体" w:cs="宋体"/>
                <w:color w:val="auto"/>
                <w:sz w:val="21"/>
                <w:szCs w:val="21"/>
                <w:highlight w:val="none"/>
                <w:lang w:val="en-US" w:eastAsia="zh-CN"/>
              </w:rPr>
              <w:t>分；</w:t>
            </w:r>
          </w:p>
          <w:p w14:paraId="7D2799F5">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3.服务方案简单，服务措施及服务安排存在不足得</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6分；</w:t>
            </w:r>
          </w:p>
          <w:p w14:paraId="3115FB67">
            <w:pPr>
              <w:keepNext w:val="0"/>
              <w:keepLines w:val="0"/>
              <w:pageBreakBefore w:val="0"/>
              <w:kinsoku/>
              <w:wordWrap/>
              <w:overflowPunct/>
              <w:topLinePunct w:val="0"/>
              <w:autoSpaceDE/>
              <w:autoSpaceDN/>
              <w:bidi w:val="0"/>
              <w:spacing w:line="500" w:lineRule="exact"/>
              <w:jc w:val="left"/>
              <w:textAlignment w:val="auto"/>
              <w:rPr>
                <w:rFonts w:hint="eastAsia" w:ascii="宋体" w:hAnsi="宋体" w:eastAsia="宋体" w:cs="宋体"/>
                <w:b/>
                <w:bCs/>
                <w:color w:val="auto"/>
                <w:highlight w:val="none"/>
              </w:rPr>
            </w:pPr>
            <w:r>
              <w:rPr>
                <w:rFonts w:hint="eastAsia" w:ascii="宋体" w:hAnsi="宋体" w:eastAsia="宋体" w:cs="宋体"/>
                <w:color w:val="auto"/>
                <w:sz w:val="21"/>
                <w:szCs w:val="21"/>
                <w:highlight w:val="none"/>
                <w:lang w:val="en-US" w:eastAsia="zh-CN"/>
              </w:rPr>
              <w:t>4.未提供的不得分。</w:t>
            </w:r>
          </w:p>
        </w:tc>
      </w:tr>
      <w:tr w14:paraId="668B3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97" w:type="dxa"/>
            <w:noWrap w:val="0"/>
            <w:vAlign w:val="center"/>
          </w:tcPr>
          <w:p w14:paraId="386F4112">
            <w:pPr>
              <w:pStyle w:val="16"/>
              <w:keepNext w:val="0"/>
              <w:keepLines w:val="0"/>
              <w:pageBreakBefore w:val="0"/>
              <w:kinsoku/>
              <w:wordWrap/>
              <w:overflowPunct/>
              <w:topLinePunct w:val="0"/>
              <w:autoSpaceDE/>
              <w:autoSpaceDN/>
              <w:bidi w:val="0"/>
              <w:spacing w:line="500" w:lineRule="exact"/>
              <w:jc w:val="center"/>
              <w:textAlignment w:val="auto"/>
              <w:rPr>
                <w:rFonts w:hint="default" w:ascii="宋体" w:hAnsi="宋体" w:cs="宋体"/>
                <w:b/>
                <w:bCs/>
                <w:color w:val="auto"/>
                <w:highlight w:val="none"/>
                <w:lang w:val="en-US" w:eastAsia="zh-CN"/>
              </w:rPr>
            </w:pPr>
            <w:r>
              <w:rPr>
                <w:rFonts w:hint="eastAsia" w:ascii="宋体" w:hAnsi="宋体" w:cs="宋体"/>
                <w:b/>
                <w:bCs/>
                <w:color w:val="auto"/>
                <w:highlight w:val="none"/>
                <w:lang w:val="en-US" w:eastAsia="zh-CN"/>
              </w:rPr>
              <w:t>4</w:t>
            </w:r>
          </w:p>
        </w:tc>
        <w:tc>
          <w:tcPr>
            <w:tcW w:w="1245" w:type="dxa"/>
            <w:noWrap w:val="0"/>
            <w:vAlign w:val="center"/>
          </w:tcPr>
          <w:p w14:paraId="5524AFC5">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人员配备、培训及管理</w:t>
            </w:r>
          </w:p>
        </w:tc>
        <w:tc>
          <w:tcPr>
            <w:tcW w:w="900" w:type="dxa"/>
            <w:noWrap w:val="0"/>
            <w:vAlign w:val="center"/>
          </w:tcPr>
          <w:p w14:paraId="2986190A">
            <w:pPr>
              <w:keepNext w:val="0"/>
              <w:keepLines w:val="0"/>
              <w:pageBreakBefore w:val="0"/>
              <w:kinsoku/>
              <w:wordWrap/>
              <w:overflowPunct/>
              <w:topLinePunct w:val="0"/>
              <w:autoSpaceDE/>
              <w:autoSpaceDN/>
              <w:bidi w:val="0"/>
              <w:spacing w:line="500" w:lineRule="exact"/>
              <w:jc w:val="center"/>
              <w:textAlignment w:val="auto"/>
              <w:rPr>
                <w:rFonts w:hint="default" w:ascii="宋体" w:hAnsi="宋体" w:cs="宋体"/>
                <w:b/>
                <w:bCs/>
                <w:color w:val="auto"/>
                <w:szCs w:val="21"/>
                <w:highlight w:val="none"/>
                <w:lang w:val="en-US" w:eastAsia="zh-CN"/>
              </w:rPr>
            </w:pPr>
            <w:r>
              <w:rPr>
                <w:rFonts w:hint="eastAsia" w:ascii="宋体" w:hAnsi="宋体" w:cs="宋体"/>
                <w:b/>
                <w:bCs/>
                <w:color w:val="auto"/>
                <w:szCs w:val="21"/>
                <w:highlight w:val="none"/>
                <w:lang w:val="en-US" w:eastAsia="zh-CN"/>
              </w:rPr>
              <w:t>10分</w:t>
            </w:r>
          </w:p>
        </w:tc>
        <w:tc>
          <w:tcPr>
            <w:tcW w:w="7350" w:type="dxa"/>
            <w:noWrap w:val="0"/>
            <w:vAlign w:val="center"/>
          </w:tcPr>
          <w:p w14:paraId="75C72101">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项目特点提供整体的人员配备、培训方案，包括：人员培训计划、方式、目标及行为规范的培训等；人员的管理：录用与考核、淘汰机制、奖罚、协调关系、服务意识、量化管理及标准运作等。由评标委员会根据投标文件以上内容进行综合评审：</w:t>
            </w:r>
          </w:p>
          <w:p w14:paraId="3A83D825">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1.方案切合实际情况，各部分有深入的表述，解决方案合理、有具体切实可行的保障措施的得</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w:t>
            </w:r>
          </w:p>
          <w:p w14:paraId="4A70204C">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2.方案符合实际情况，内容完整、表述清晰，有保障措施，措施实施内容具体可行的得8分；</w:t>
            </w:r>
          </w:p>
          <w:p w14:paraId="2F0D15DA">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3.方案满足项目要求，内容完整，考虑了保障措施，保障措施及解决方案出现非专门针对本项目内容的得6分；</w:t>
            </w:r>
          </w:p>
          <w:p w14:paraId="61C8662D">
            <w:pPr>
              <w:keepNext w:val="0"/>
              <w:keepLines w:val="0"/>
              <w:pageBreakBefore w:val="0"/>
              <w:kinsoku/>
              <w:wordWrap/>
              <w:overflowPunct/>
              <w:topLinePunct w:val="0"/>
              <w:autoSpaceDE/>
              <w:autoSpaceDN/>
              <w:bidi w:val="0"/>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4.未提供的不得分。</w:t>
            </w:r>
          </w:p>
        </w:tc>
      </w:tr>
      <w:tr w14:paraId="56B6C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97" w:type="dxa"/>
            <w:noWrap w:val="0"/>
            <w:vAlign w:val="center"/>
          </w:tcPr>
          <w:p w14:paraId="5795F1BB">
            <w:pPr>
              <w:pStyle w:val="16"/>
              <w:keepNext w:val="0"/>
              <w:keepLines w:val="0"/>
              <w:pageBreakBefore w:val="0"/>
              <w:kinsoku/>
              <w:wordWrap/>
              <w:overflowPunct/>
              <w:topLinePunct w:val="0"/>
              <w:autoSpaceDE/>
              <w:autoSpaceDN/>
              <w:bidi w:val="0"/>
              <w:spacing w:line="500" w:lineRule="exact"/>
              <w:jc w:val="center"/>
              <w:textAlignment w:val="auto"/>
              <w:rPr>
                <w:rFonts w:hint="default" w:ascii="宋体" w:hAnsi="宋体" w:cs="宋体"/>
                <w:b/>
                <w:bCs/>
                <w:color w:val="auto"/>
                <w:highlight w:val="none"/>
                <w:lang w:val="en-US" w:eastAsia="zh-CN"/>
              </w:rPr>
            </w:pPr>
            <w:r>
              <w:rPr>
                <w:rFonts w:hint="eastAsia" w:ascii="宋体" w:hAnsi="宋体" w:cs="宋体"/>
                <w:b/>
                <w:bCs/>
                <w:color w:val="auto"/>
                <w:highlight w:val="none"/>
                <w:lang w:val="en-US" w:eastAsia="zh-CN"/>
              </w:rPr>
              <w:t>5</w:t>
            </w:r>
          </w:p>
        </w:tc>
        <w:tc>
          <w:tcPr>
            <w:tcW w:w="1245" w:type="dxa"/>
            <w:noWrap w:val="0"/>
            <w:vAlign w:val="center"/>
          </w:tcPr>
          <w:p w14:paraId="1E3942CB">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应急处理预案</w:t>
            </w:r>
          </w:p>
        </w:tc>
        <w:tc>
          <w:tcPr>
            <w:tcW w:w="900" w:type="dxa"/>
            <w:noWrap w:val="0"/>
            <w:vAlign w:val="center"/>
          </w:tcPr>
          <w:p w14:paraId="477FFA8A">
            <w:pPr>
              <w:keepNext w:val="0"/>
              <w:keepLines w:val="0"/>
              <w:pageBreakBefore w:val="0"/>
              <w:kinsoku/>
              <w:wordWrap/>
              <w:overflowPunct/>
              <w:topLinePunct w:val="0"/>
              <w:autoSpaceDE/>
              <w:autoSpaceDN/>
              <w:bidi w:val="0"/>
              <w:spacing w:line="500" w:lineRule="exact"/>
              <w:jc w:val="center"/>
              <w:textAlignment w:val="auto"/>
              <w:rPr>
                <w:rFonts w:hint="default" w:ascii="宋体" w:hAnsi="宋体" w:cs="宋体"/>
                <w:b/>
                <w:bCs/>
                <w:color w:val="auto"/>
                <w:szCs w:val="21"/>
                <w:highlight w:val="none"/>
                <w:lang w:val="en-US" w:eastAsia="zh-CN"/>
              </w:rPr>
            </w:pPr>
            <w:r>
              <w:rPr>
                <w:rFonts w:hint="eastAsia" w:ascii="宋体" w:hAnsi="宋体" w:cs="宋体"/>
                <w:b/>
                <w:bCs/>
                <w:color w:val="auto"/>
                <w:szCs w:val="21"/>
                <w:highlight w:val="none"/>
                <w:lang w:val="en-US" w:eastAsia="zh-CN"/>
              </w:rPr>
              <w:t>10分</w:t>
            </w:r>
          </w:p>
        </w:tc>
        <w:tc>
          <w:tcPr>
            <w:tcW w:w="7350" w:type="dxa"/>
            <w:noWrap w:val="0"/>
            <w:vAlign w:val="center"/>
          </w:tcPr>
          <w:p w14:paraId="4E98812B">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针对本项目的实际情况制定的应急预案方案，对突发事件雨雪恶劣天气等事项能安排专人负责，有详细的应急预案，评标委员会根据供应商提供的以上内容综合评分：</w:t>
            </w:r>
          </w:p>
          <w:p w14:paraId="2E0197ED">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1.方案完善，应急响应时间安排合理，应急设备及应急服务人员配备充足，突发情况应急处理控制措施完整可行得</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0分；</w:t>
            </w:r>
          </w:p>
          <w:p w14:paraId="584BB6B3">
            <w:pPr>
              <w:keepNext w:val="0"/>
              <w:keepLines w:val="0"/>
              <w:pageBreakBefore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2.方案合理，应急响应时间安排合理，应急设备及应急服务人员配备可行，可以完成突发情况应急处理得8分；</w:t>
            </w:r>
          </w:p>
          <w:p w14:paraId="71D3DD32">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3.方案简单，应急响应时间、应急设备及应急服务人员配备勉强满足项目需求且出现非专门针对本项目特性内容，方案有待改善得6分；</w:t>
            </w:r>
          </w:p>
          <w:p w14:paraId="257E9B88">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b/>
                <w:bCs/>
                <w:color w:val="auto"/>
                <w:highlight w:val="none"/>
              </w:rPr>
            </w:pPr>
            <w:r>
              <w:rPr>
                <w:rFonts w:hint="eastAsia" w:ascii="宋体" w:hAnsi="宋体" w:eastAsia="宋体" w:cs="宋体"/>
                <w:color w:val="auto"/>
                <w:sz w:val="21"/>
                <w:szCs w:val="21"/>
                <w:highlight w:val="none"/>
                <w:lang w:val="en-US" w:eastAsia="zh-CN"/>
              </w:rPr>
              <w:t>4.未提供的不得分。</w:t>
            </w:r>
          </w:p>
        </w:tc>
      </w:tr>
      <w:tr w14:paraId="2C941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97" w:type="dxa"/>
            <w:noWrap w:val="0"/>
            <w:vAlign w:val="center"/>
          </w:tcPr>
          <w:p w14:paraId="1B45EF8F">
            <w:pPr>
              <w:pStyle w:val="16"/>
              <w:keepNext w:val="0"/>
              <w:keepLines w:val="0"/>
              <w:pageBreakBefore w:val="0"/>
              <w:kinsoku/>
              <w:wordWrap/>
              <w:overflowPunct/>
              <w:topLinePunct w:val="0"/>
              <w:autoSpaceDE/>
              <w:autoSpaceDN/>
              <w:bidi w:val="0"/>
              <w:spacing w:line="500" w:lineRule="exact"/>
              <w:jc w:val="center"/>
              <w:textAlignment w:val="auto"/>
              <w:rPr>
                <w:rFonts w:hint="default" w:ascii="宋体" w:hAnsi="宋体" w:eastAsia="宋体" w:cs="宋体"/>
                <w:b/>
                <w:bCs/>
                <w:color w:val="auto"/>
                <w:highlight w:val="none"/>
                <w:lang w:val="en-US" w:eastAsia="zh-CN"/>
              </w:rPr>
            </w:pPr>
            <w:r>
              <w:rPr>
                <w:rFonts w:hint="eastAsia" w:ascii="宋体" w:hAnsi="宋体" w:cs="宋体"/>
                <w:b/>
                <w:bCs/>
                <w:color w:val="auto"/>
                <w:highlight w:val="none"/>
                <w:lang w:val="en-US" w:eastAsia="zh-CN"/>
              </w:rPr>
              <w:t>6</w:t>
            </w:r>
          </w:p>
        </w:tc>
        <w:tc>
          <w:tcPr>
            <w:tcW w:w="1245" w:type="dxa"/>
            <w:noWrap w:val="0"/>
            <w:vAlign w:val="center"/>
          </w:tcPr>
          <w:p w14:paraId="4A60372F">
            <w:pPr>
              <w:keepNext w:val="0"/>
              <w:keepLines w:val="0"/>
              <w:pageBreakBefore w:val="0"/>
              <w:kinsoku/>
              <w:wordWrap/>
              <w:overflowPunct/>
              <w:topLinePunct w:val="0"/>
              <w:autoSpaceDE/>
              <w:autoSpaceDN/>
              <w:bidi w:val="0"/>
              <w:spacing w:line="500" w:lineRule="exact"/>
              <w:jc w:val="center"/>
              <w:textAlignment w:val="auto"/>
              <w:rPr>
                <w:rFonts w:hint="default"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投标报价</w:t>
            </w:r>
          </w:p>
        </w:tc>
        <w:tc>
          <w:tcPr>
            <w:tcW w:w="900" w:type="dxa"/>
            <w:noWrap w:val="0"/>
            <w:vAlign w:val="center"/>
          </w:tcPr>
          <w:p w14:paraId="5CC629B1">
            <w:pPr>
              <w:keepNext w:val="0"/>
              <w:keepLines w:val="0"/>
              <w:pageBreakBefore w:val="0"/>
              <w:kinsoku/>
              <w:wordWrap/>
              <w:overflowPunct/>
              <w:topLinePunct w:val="0"/>
              <w:autoSpaceDE/>
              <w:autoSpaceDN/>
              <w:bidi w:val="0"/>
              <w:spacing w:line="500" w:lineRule="exact"/>
              <w:jc w:val="center"/>
              <w:textAlignment w:val="auto"/>
              <w:rPr>
                <w:rFonts w:hint="default" w:ascii="宋体" w:hAnsi="宋体" w:cs="宋体"/>
                <w:b/>
                <w:bCs/>
                <w:color w:val="auto"/>
                <w:szCs w:val="21"/>
                <w:highlight w:val="none"/>
                <w:lang w:val="en-US" w:eastAsia="zh-CN"/>
              </w:rPr>
            </w:pPr>
            <w:r>
              <w:rPr>
                <w:rFonts w:hint="eastAsia" w:ascii="宋体" w:hAnsi="宋体" w:cs="宋体"/>
                <w:b/>
                <w:bCs/>
                <w:color w:val="auto"/>
                <w:szCs w:val="21"/>
                <w:highlight w:val="none"/>
                <w:lang w:val="en-US" w:eastAsia="zh-CN"/>
              </w:rPr>
              <w:t>30分</w:t>
            </w:r>
          </w:p>
        </w:tc>
        <w:tc>
          <w:tcPr>
            <w:tcW w:w="7350" w:type="dxa"/>
            <w:noWrap w:val="0"/>
            <w:vAlign w:val="center"/>
          </w:tcPr>
          <w:p w14:paraId="45E5E997">
            <w:pPr>
              <w:keepNext w:val="0"/>
              <w:keepLines w:val="0"/>
              <w:pageBreakBefore w:val="0"/>
              <w:widowControl w:val="0"/>
              <w:tabs>
                <w:tab w:val="left" w:pos="1080"/>
              </w:tabs>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Cs w:val="21"/>
                <w:highlight w:val="none"/>
              </w:rPr>
              <w:t>设置投标报价最高限价，各</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有效报价不得高于最高限价，否则，其</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文件按</w:t>
            </w:r>
            <w:r>
              <w:rPr>
                <w:rFonts w:hint="eastAsia" w:ascii="宋体" w:hAnsi="宋体" w:eastAsia="宋体" w:cs="宋体"/>
                <w:color w:val="auto"/>
                <w:szCs w:val="21"/>
                <w:highlight w:val="none"/>
                <w:lang w:val="en-US" w:eastAsia="zh-CN"/>
              </w:rPr>
              <w:t>无效标</w:t>
            </w:r>
            <w:r>
              <w:rPr>
                <w:rFonts w:hint="eastAsia" w:ascii="宋体" w:hAnsi="宋体" w:eastAsia="宋体" w:cs="宋体"/>
                <w:color w:val="auto"/>
                <w:szCs w:val="21"/>
                <w:highlight w:val="none"/>
              </w:rPr>
              <w:t>处理。</w:t>
            </w:r>
          </w:p>
          <w:p w14:paraId="059B75FA">
            <w:pPr>
              <w:keepNext w:val="0"/>
              <w:keepLines w:val="0"/>
              <w:pageBreakBefore w:val="0"/>
              <w:widowControl w:val="0"/>
              <w:tabs>
                <w:tab w:val="left" w:pos="1080"/>
              </w:tabs>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评审基准价=</w:t>
            </w:r>
            <w:r>
              <w:rPr>
                <w:rFonts w:hint="eastAsia" w:ascii="宋体" w:hAnsi="宋体" w:eastAsia="宋体" w:cs="宋体"/>
                <w:color w:val="auto"/>
                <w:szCs w:val="21"/>
                <w:highlight w:val="none"/>
                <w:lang w:val="en-US" w:eastAsia="zh-CN"/>
              </w:rPr>
              <w:t>所有</w:t>
            </w:r>
            <w:r>
              <w:rPr>
                <w:rFonts w:hint="eastAsia" w:ascii="宋体" w:hAnsi="宋体" w:eastAsia="宋体"/>
                <w:color w:val="auto"/>
                <w:sz w:val="21"/>
                <w:szCs w:val="21"/>
                <w:highlight w:val="none"/>
                <w:lang w:val="en-US" w:eastAsia="zh-CN"/>
              </w:rPr>
              <w:t>有效的扣除可抵扣进项税后</w:t>
            </w:r>
            <w:r>
              <w:rPr>
                <w:rFonts w:hint="eastAsia" w:ascii="宋体" w:hAnsi="宋体" w:eastAsia="宋体" w:cs="宋体"/>
                <w:color w:val="auto"/>
                <w:szCs w:val="21"/>
                <w:highlight w:val="none"/>
              </w:rPr>
              <w:t>的报价</w:t>
            </w:r>
            <w:r>
              <w:rPr>
                <w:rFonts w:hint="eastAsia" w:ascii="宋体" w:hAnsi="宋体" w:cs="宋体"/>
                <w:color w:val="auto"/>
                <w:szCs w:val="21"/>
                <w:highlight w:val="none"/>
                <w:lang w:val="en-US" w:eastAsia="zh-CN"/>
              </w:rPr>
              <w:t>的平均值</w:t>
            </w:r>
            <w:r>
              <w:rPr>
                <w:rFonts w:hint="eastAsia" w:ascii="宋体" w:hAnsi="宋体" w:eastAsia="宋体" w:cs="宋体"/>
                <w:color w:val="auto"/>
                <w:szCs w:val="21"/>
                <w:highlight w:val="none"/>
              </w:rPr>
              <w:t>；其得分为满分；</w:t>
            </w:r>
          </w:p>
          <w:p w14:paraId="4B9A1189">
            <w:pPr>
              <w:keepNext w:val="0"/>
              <w:keepLines w:val="0"/>
              <w:pageBreakBefore w:val="0"/>
              <w:widowControl w:val="0"/>
              <w:tabs>
                <w:tab w:val="left" w:pos="1080"/>
              </w:tabs>
              <w:kinsoku/>
              <w:wordWrap/>
              <w:overflowPunct/>
              <w:topLinePunct w:val="0"/>
              <w:autoSpaceDE/>
              <w:autoSpaceDN/>
              <w:bidi w:val="0"/>
              <w:adjustRightInd/>
              <w:snapToGrid/>
              <w:spacing w:line="500" w:lineRule="exact"/>
              <w:jc w:val="left"/>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2、偏差率=|（</w:t>
            </w:r>
            <w:r>
              <w:rPr>
                <w:rFonts w:hint="eastAsia" w:ascii="宋体" w:hAnsi="宋体" w:eastAsia="宋体"/>
                <w:color w:val="auto"/>
                <w:sz w:val="21"/>
                <w:szCs w:val="21"/>
                <w:highlight w:val="none"/>
                <w:lang w:val="en-US" w:eastAsia="zh-CN"/>
              </w:rPr>
              <w:t>扣除可抵扣进项税后</w:t>
            </w:r>
            <w:r>
              <w:rPr>
                <w:rFonts w:hint="eastAsia" w:ascii="宋体" w:hAnsi="宋体" w:eastAsia="宋体" w:cs="宋体"/>
                <w:color w:val="auto"/>
                <w:szCs w:val="21"/>
                <w:highlight w:val="none"/>
              </w:rPr>
              <w:t>的报价</w:t>
            </w:r>
            <w:r>
              <w:rPr>
                <w:rFonts w:hint="eastAsia" w:ascii="宋体" w:hAnsi="宋体" w:cs="宋体"/>
                <w:color w:val="auto"/>
                <w:szCs w:val="21"/>
                <w:highlight w:val="none"/>
                <w:lang w:val="en-US" w:eastAsia="zh-CN"/>
              </w:rPr>
              <w:t>-评标基准价）/评标基准价|×100%</w:t>
            </w:r>
          </w:p>
          <w:p w14:paraId="380C206F">
            <w:pPr>
              <w:keepNext w:val="0"/>
              <w:keepLines w:val="0"/>
              <w:pageBreakBefore w:val="0"/>
              <w:widowControl w:val="0"/>
              <w:tabs>
                <w:tab w:val="left" w:pos="1080"/>
              </w:tabs>
              <w:kinsoku/>
              <w:wordWrap/>
              <w:overflowPunct/>
              <w:topLinePunct w:val="0"/>
              <w:autoSpaceDE/>
              <w:autoSpaceDN/>
              <w:bidi w:val="0"/>
              <w:adjustRightInd/>
              <w:snapToGrid/>
              <w:spacing w:line="500" w:lineRule="exact"/>
              <w:jc w:val="left"/>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3、计算得分</w:t>
            </w:r>
          </w:p>
          <w:p w14:paraId="7ACF1F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宋体"/>
                <w:color w:val="auto"/>
                <w:szCs w:val="21"/>
                <w:highlight w:val="none"/>
              </w:rPr>
            </w:pPr>
            <w:r>
              <w:rPr>
                <w:rFonts w:hint="eastAsia" w:ascii="宋体" w:hAnsi="宋体" w:cs="宋体"/>
                <w:color w:val="auto"/>
                <w:szCs w:val="21"/>
                <w:highlight w:val="none"/>
              </w:rPr>
              <w:t>①</w:t>
            </w:r>
            <w:r>
              <w:rPr>
                <w:rFonts w:hint="eastAsia" w:ascii="宋体" w:hAnsi="宋体" w:eastAsia="宋体"/>
                <w:color w:val="auto"/>
                <w:sz w:val="21"/>
                <w:szCs w:val="21"/>
                <w:highlight w:val="none"/>
                <w:lang w:val="en-US" w:eastAsia="zh-CN"/>
              </w:rPr>
              <w:t>扣除可抵扣进项税后</w:t>
            </w:r>
            <w:r>
              <w:rPr>
                <w:rFonts w:hint="eastAsia" w:ascii="宋体" w:hAnsi="宋体" w:eastAsia="宋体" w:cs="宋体"/>
                <w:color w:val="auto"/>
                <w:szCs w:val="21"/>
                <w:highlight w:val="none"/>
              </w:rPr>
              <w:t>的报价</w:t>
            </w:r>
            <w:r>
              <w:rPr>
                <w:rFonts w:hint="eastAsia" w:ascii="宋体" w:hAnsi="宋体" w:cs="宋体"/>
                <w:color w:val="auto"/>
                <w:szCs w:val="21"/>
                <w:highlight w:val="none"/>
              </w:rPr>
              <w:t>等于评标基准价的得满分。</w:t>
            </w:r>
          </w:p>
          <w:p w14:paraId="4B548B8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宋体"/>
                <w:color w:val="auto"/>
                <w:szCs w:val="21"/>
                <w:highlight w:val="none"/>
              </w:rPr>
            </w:pPr>
            <w:r>
              <w:rPr>
                <w:rFonts w:hint="eastAsia" w:ascii="宋体" w:hAnsi="宋体" w:cs="宋体"/>
                <w:color w:val="auto"/>
                <w:szCs w:val="21"/>
                <w:highlight w:val="none"/>
              </w:rPr>
              <w:t>②</w:t>
            </w:r>
            <w:r>
              <w:rPr>
                <w:rFonts w:hint="eastAsia" w:ascii="宋体" w:hAnsi="宋体" w:eastAsia="宋体"/>
                <w:color w:val="auto"/>
                <w:sz w:val="21"/>
                <w:szCs w:val="21"/>
                <w:highlight w:val="none"/>
                <w:lang w:val="en-US" w:eastAsia="zh-CN"/>
              </w:rPr>
              <w:t>扣除可抵扣进项税后</w:t>
            </w:r>
            <w:r>
              <w:rPr>
                <w:rFonts w:hint="eastAsia" w:ascii="宋体" w:hAnsi="宋体" w:eastAsia="宋体" w:cs="宋体"/>
                <w:color w:val="auto"/>
                <w:szCs w:val="21"/>
                <w:highlight w:val="none"/>
              </w:rPr>
              <w:t>的报价</w:t>
            </w:r>
            <w:r>
              <w:rPr>
                <w:rFonts w:hint="eastAsia" w:ascii="宋体" w:hAnsi="宋体" w:cs="宋体"/>
                <w:color w:val="auto"/>
                <w:szCs w:val="21"/>
                <w:highlight w:val="none"/>
              </w:rPr>
              <w:t>高于评标基准价的，报价得分=报价满分值-偏差率×100×1</w:t>
            </w:r>
          </w:p>
          <w:p w14:paraId="1CC18F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宋体"/>
                <w:color w:val="auto"/>
                <w:szCs w:val="21"/>
                <w:highlight w:val="none"/>
              </w:rPr>
            </w:pPr>
            <w:r>
              <w:rPr>
                <w:rFonts w:hint="eastAsia" w:ascii="宋体" w:hAnsi="宋体" w:cs="宋体"/>
                <w:color w:val="auto"/>
                <w:szCs w:val="21"/>
                <w:highlight w:val="none"/>
              </w:rPr>
              <w:t>③</w:t>
            </w:r>
            <w:r>
              <w:rPr>
                <w:rFonts w:hint="eastAsia" w:ascii="宋体" w:hAnsi="宋体" w:eastAsia="宋体"/>
                <w:color w:val="auto"/>
                <w:sz w:val="21"/>
                <w:szCs w:val="21"/>
                <w:highlight w:val="none"/>
                <w:lang w:val="en-US" w:eastAsia="zh-CN"/>
              </w:rPr>
              <w:t>扣除可抵扣进项税后</w:t>
            </w:r>
            <w:r>
              <w:rPr>
                <w:rFonts w:hint="eastAsia" w:ascii="宋体" w:hAnsi="宋体" w:eastAsia="宋体" w:cs="宋体"/>
                <w:color w:val="auto"/>
                <w:szCs w:val="21"/>
                <w:highlight w:val="none"/>
              </w:rPr>
              <w:t>的报价</w:t>
            </w:r>
            <w:r>
              <w:rPr>
                <w:rFonts w:hint="eastAsia" w:ascii="宋体" w:hAnsi="宋体" w:cs="宋体"/>
                <w:color w:val="auto"/>
                <w:szCs w:val="21"/>
                <w:highlight w:val="none"/>
              </w:rPr>
              <w:t>低于评标基准价的，投标报价得分=报价满分值-偏差率×100×0.5</w:t>
            </w:r>
          </w:p>
          <w:p w14:paraId="64DCB69D">
            <w:pPr>
              <w:keepNext w:val="0"/>
              <w:keepLines w:val="0"/>
              <w:pageBreakBefore w:val="0"/>
              <w:widowControl w:val="0"/>
              <w:tabs>
                <w:tab w:val="left" w:pos="1080"/>
              </w:tabs>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Cs w:val="21"/>
                <w:highlight w:val="none"/>
              </w:rPr>
            </w:pPr>
            <w:r>
              <w:rPr>
                <w:rFonts w:hint="eastAsia" w:ascii="宋体" w:hAnsi="宋体" w:cs="宋体"/>
                <w:b/>
                <w:color w:val="auto"/>
                <w:szCs w:val="21"/>
                <w:highlight w:val="none"/>
              </w:rPr>
              <w:t>注：计算过程中，评标基准价、偏差率、报价得分均保留两位小数，小数点后第三位四舍五入。</w:t>
            </w:r>
          </w:p>
        </w:tc>
      </w:tr>
      <w:tr w14:paraId="7D131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0192" w:type="dxa"/>
            <w:gridSpan w:val="4"/>
            <w:noWrap w:val="0"/>
            <w:vAlign w:val="center"/>
          </w:tcPr>
          <w:p w14:paraId="033F9511">
            <w:pPr>
              <w:keepNext w:val="0"/>
              <w:keepLines w:val="0"/>
              <w:pageBreakBefore w:val="0"/>
              <w:widowControl w:val="0"/>
              <w:tabs>
                <w:tab w:val="left" w:pos="1080"/>
              </w:tabs>
              <w:kinsoku/>
              <w:wordWrap/>
              <w:overflowPunct/>
              <w:topLinePunct w:val="0"/>
              <w:autoSpaceDE/>
              <w:autoSpaceDN/>
              <w:bidi w:val="0"/>
              <w:adjustRightInd/>
              <w:snapToGrid/>
              <w:spacing w:line="500" w:lineRule="exact"/>
              <w:jc w:val="left"/>
              <w:textAlignment w:val="auto"/>
              <w:rPr>
                <w:rFonts w:hint="default" w:ascii="宋体" w:hAnsi="宋体" w:eastAsia="宋体" w:cs="宋体"/>
                <w:b/>
                <w:color w:val="auto"/>
                <w:szCs w:val="21"/>
                <w:highlight w:val="none"/>
                <w:lang w:val="en-US" w:eastAsia="zh-CN"/>
              </w:rPr>
            </w:pPr>
            <w:bookmarkStart w:id="61" w:name="_Toc58430321"/>
            <w:r>
              <w:rPr>
                <w:rFonts w:hint="eastAsia" w:ascii="宋体" w:hAnsi="宋体" w:cs="宋体"/>
                <w:b/>
                <w:color w:val="auto"/>
                <w:szCs w:val="21"/>
                <w:highlight w:val="none"/>
                <w:lang w:val="en-US" w:eastAsia="zh-CN"/>
              </w:rPr>
              <w:t>注：服务期内，中标人必须严格按照投标时所提供上述服务方案及招标人的服务需求提供保洁服务，若未执行，每发现一次扣1000元，直接从当月服务费中扣除。</w:t>
            </w:r>
          </w:p>
        </w:tc>
      </w:tr>
    </w:tbl>
    <w:p w14:paraId="4CC13DBF">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五、推荐中标候选人</w:t>
      </w:r>
      <w:bookmarkEnd w:id="59"/>
      <w:bookmarkEnd w:id="60"/>
      <w:bookmarkEnd w:id="61"/>
    </w:p>
    <w:bookmarkEnd w:id="49"/>
    <w:p w14:paraId="0CF41F50">
      <w:pPr>
        <w:spacing w:line="440" w:lineRule="exact"/>
        <w:ind w:right="36" w:rightChars="17"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7.评标委员会</w:t>
      </w:r>
      <w:r>
        <w:rPr>
          <w:rFonts w:hint="eastAsia" w:ascii="宋体" w:hAnsi="宋体" w:cs="宋体"/>
          <w:color w:val="auto"/>
          <w:szCs w:val="21"/>
          <w:highlight w:val="none"/>
          <w:lang w:val="en-US" w:eastAsia="zh-CN"/>
        </w:rPr>
        <w:t>根据总得分由高到低推荐3名中标候选人</w:t>
      </w:r>
      <w:r>
        <w:rPr>
          <w:rFonts w:hint="eastAsia" w:ascii="宋体" w:hAnsi="宋体" w:eastAsia="宋体" w:cs="宋体"/>
          <w:color w:val="auto"/>
          <w:szCs w:val="21"/>
          <w:highlight w:val="none"/>
        </w:rPr>
        <w:t xml:space="preserve">，并标明排序。 </w:t>
      </w:r>
    </w:p>
    <w:p w14:paraId="7487F9BD">
      <w:pPr>
        <w:spacing w:line="440" w:lineRule="exact"/>
        <w:ind w:right="36" w:rightChars="17"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7.1如出现</w:t>
      </w:r>
      <w:r>
        <w:rPr>
          <w:rFonts w:hint="eastAsia" w:ascii="宋体" w:hAnsi="宋体" w:eastAsia="宋体"/>
          <w:color w:val="auto"/>
          <w:sz w:val="21"/>
          <w:szCs w:val="21"/>
          <w:highlight w:val="none"/>
          <w:lang w:val="en-US" w:eastAsia="zh-CN"/>
        </w:rPr>
        <w:t>扣除可抵扣进项税后</w:t>
      </w:r>
      <w:r>
        <w:rPr>
          <w:rFonts w:hint="eastAsia" w:ascii="宋体" w:hAnsi="宋体" w:eastAsia="宋体" w:cs="宋体"/>
          <w:color w:val="auto"/>
          <w:szCs w:val="21"/>
          <w:highlight w:val="none"/>
        </w:rPr>
        <w:t>的报价相同情况，则由</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Cs w:val="21"/>
          <w:highlight w:val="none"/>
        </w:rPr>
        <w:t>现场抽签确定中标候选人排名顺序。</w:t>
      </w:r>
    </w:p>
    <w:p w14:paraId="5EF8D237">
      <w:pPr>
        <w:snapToGrid w:val="0"/>
        <w:spacing w:line="440" w:lineRule="exact"/>
        <w:ind w:left="0" w:leftChars="0" w:firstLine="422" w:firstLineChars="20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2" w:name="_Hlk61815781"/>
      <w:r>
        <w:rPr>
          <w:rFonts w:hint="eastAsia" w:ascii="宋体" w:hAnsi="宋体" w:cs="宋体"/>
          <w:b/>
          <w:color w:val="auto"/>
          <w:szCs w:val="21"/>
          <w:highlight w:val="none"/>
        </w:rPr>
        <w:t>无效投标条款</w:t>
      </w:r>
    </w:p>
    <w:p w14:paraId="79AF61E1">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163E47C8">
      <w:pPr>
        <w:snapToGrid w:val="0"/>
        <w:spacing w:line="440" w:lineRule="exact"/>
        <w:ind w:left="0" w:leftChars="0"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 未在投标截止时间前通过网上招标投标系统递交有效电子投标文件的，开标系统不予接收，投标将被拒绝。</w:t>
      </w:r>
    </w:p>
    <w:p w14:paraId="6BF82DCD">
      <w:pPr>
        <w:snapToGrid w:val="0"/>
        <w:spacing w:line="440" w:lineRule="exact"/>
        <w:ind w:left="0" w:leftChars="0"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所有投标人应在规定时间里完成投标文件的解密工作（投标企业接到远程解密指令后，须在规定时间内解密（以网上开评标系统解密倒计时为准）。因投标人自身原因导致投标文件在规定时间内未能解密、解密失败或解密超时，投标文件无效；因招标人或代理公司原因或网上平台发生故障，导致无法按时完成投标文件解密的，经代理公司申请后可延迟解密时间）。</w:t>
      </w:r>
    </w:p>
    <w:p w14:paraId="0CADCB2F">
      <w:pPr>
        <w:snapToGrid w:val="0"/>
        <w:spacing w:line="440" w:lineRule="exact"/>
        <w:ind w:left="0" w:leftChars="0"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8.2投标人有下列情形之一的,资格审查后其投标作无效投标处理：</w:t>
      </w:r>
    </w:p>
    <w:p w14:paraId="6EC29814">
      <w:pPr>
        <w:snapToGrid w:val="0"/>
        <w:spacing w:line="440" w:lineRule="exact"/>
        <w:ind w:left="0" w:leftChars="0"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(1)投标人为本项目提供招标代理服务的；</w:t>
      </w:r>
    </w:p>
    <w:p w14:paraId="45B73800">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76D05872">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3AE6134F">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00CF82E0">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47EA05E0">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7DF27A4D">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21198368">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)其它情形，经评标委员会提出按无效投标处理的；</w:t>
      </w:r>
    </w:p>
    <w:p w14:paraId="487D7841">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600B9F0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8.3 投标人有下列情形之一的,符合性审查后其投标按无效投标处理：</w:t>
      </w:r>
    </w:p>
    <w:p w14:paraId="3505CE1A">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2B29D64A">
      <w:pPr>
        <w:snapToGrid w:val="0"/>
        <w:spacing w:line="440" w:lineRule="exact"/>
        <w:ind w:left="0" w:leftChars="0" w:firstLine="420" w:firstLineChars="20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4BE23D3A">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37627F5C">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028935BD">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76DA1E07">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7D06752B">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(7)其它情形，经评标委员会提出按无效投标处理的；</w:t>
      </w:r>
    </w:p>
    <w:p w14:paraId="2968E8AE">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08981EF4">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05A83447">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3576E863">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0CA23213">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4B91A6B5">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2DFA77A8">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2B99037E">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497CD867">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)其它情形，经评标委员会提出按无效投标处理的；</w:t>
      </w:r>
    </w:p>
    <w:p w14:paraId="72057F37">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2"/>
    <w:p w14:paraId="1FDC7C17">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宋体"/>
          <w:b/>
          <w:color w:val="auto"/>
          <w:sz w:val="32"/>
          <w:szCs w:val="32"/>
          <w:highlight w:val="none"/>
        </w:rPr>
      </w:pPr>
      <w:bookmarkStart w:id="63" w:name="_Toc58430328"/>
      <w:r>
        <w:rPr>
          <w:rFonts w:hint="eastAsia" w:ascii="宋体"/>
          <w:b/>
          <w:color w:val="auto"/>
          <w:sz w:val="32"/>
          <w:szCs w:val="32"/>
          <w:highlight w:val="none"/>
        </w:rPr>
        <w:br w:type="page"/>
      </w:r>
      <w:r>
        <w:rPr>
          <w:rFonts w:hint="eastAsia" w:ascii="宋体" w:hAnsi="Times New Roman" w:eastAsia="宋体" w:cs="Times New Roman"/>
          <w:b/>
          <w:color w:val="auto"/>
          <w:sz w:val="32"/>
          <w:szCs w:val="32"/>
          <w:highlight w:val="none"/>
        </w:rPr>
        <w:t>第四章  采购需求</w:t>
      </w:r>
    </w:p>
    <w:bookmarkEnd w:id="50"/>
    <w:bookmarkEnd w:id="63"/>
    <w:p w14:paraId="6F344827">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highlight w:val="none"/>
        </w:rPr>
      </w:pPr>
      <w:bookmarkStart w:id="64" w:name="_Toc666"/>
      <w:bookmarkStart w:id="65" w:name="_Toc58430329"/>
      <w:bookmarkStart w:id="66" w:name="_Toc449028945"/>
      <w:r>
        <w:rPr>
          <w:rFonts w:hint="eastAsia" w:ascii="宋体" w:hAnsi="宋体" w:eastAsia="宋体" w:cs="宋体"/>
          <w:b/>
          <w:bCs/>
          <w:color w:val="auto"/>
          <w:sz w:val="24"/>
          <w:szCs w:val="24"/>
          <w:highlight w:val="none"/>
        </w:rPr>
        <w:t>一、项目概况</w:t>
      </w:r>
      <w:bookmarkEnd w:id="64"/>
    </w:p>
    <w:p w14:paraId="0BB1C164">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（一）基本情况</w:t>
      </w:r>
    </w:p>
    <w:p w14:paraId="210DB72E">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该项目涉及市城泊公司管理的公共停车场、厕所和管理用房的卫生保洁服务，具体包括</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rPr>
        <w:t>个停车场、2间停车场厕所和</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套管理用房的卫生保洁服务。服务范围和内容包含停车场日常保洁服务、地面清扫、垃圾清运、房屋内设施卫生打扫和清洗。停车场情况见下表。</w:t>
      </w:r>
    </w:p>
    <w:tbl>
      <w:tblPr>
        <w:tblStyle w:val="37"/>
        <w:tblW w:w="9017" w:type="dxa"/>
        <w:tblInd w:w="-906" w:type="dxa"/>
        <w:tblLayout w:type="fixed"/>
        <w:tblCellMar>
          <w:top w:w="0" w:type="dxa"/>
          <w:left w:w="108" w:type="dxa"/>
          <w:bottom w:w="0" w:type="dxa"/>
          <w:right w:w="108" w:type="dxa"/>
        </w:tblCellMar>
      </w:tblPr>
      <w:tblGrid>
        <w:gridCol w:w="810"/>
        <w:gridCol w:w="1937"/>
        <w:gridCol w:w="1035"/>
        <w:gridCol w:w="3120"/>
        <w:gridCol w:w="2115"/>
      </w:tblGrid>
      <w:tr w14:paraId="58F8A24A">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03B41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34DDC7B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停车场</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037C513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泊位数</w:t>
            </w: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62692DFD">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位置</w:t>
            </w:r>
          </w:p>
        </w:tc>
        <w:tc>
          <w:tcPr>
            <w:tcW w:w="2115" w:type="dxa"/>
            <w:tcBorders>
              <w:top w:val="single" w:color="auto" w:sz="4" w:space="0"/>
              <w:left w:val="nil"/>
              <w:bottom w:val="single" w:color="auto" w:sz="4" w:space="0"/>
              <w:right w:val="single" w:color="auto" w:sz="4" w:space="0"/>
            </w:tcBorders>
            <w:shd w:val="clear" w:color="auto" w:fill="auto"/>
            <w:noWrap/>
            <w:vAlign w:val="center"/>
          </w:tcPr>
          <w:p w14:paraId="219B5D3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面积</w:t>
            </w:r>
          </w:p>
        </w:tc>
      </w:tr>
      <w:tr w14:paraId="2776A968">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1A64100">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937" w:type="dxa"/>
            <w:tcBorders>
              <w:top w:val="nil"/>
              <w:left w:val="nil"/>
              <w:bottom w:val="single" w:color="auto" w:sz="4" w:space="0"/>
              <w:right w:val="single" w:color="auto" w:sz="4" w:space="0"/>
            </w:tcBorders>
            <w:shd w:val="clear" w:color="auto" w:fill="auto"/>
            <w:noWrap/>
            <w:vAlign w:val="center"/>
          </w:tcPr>
          <w:p w14:paraId="618A277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育新西路</w:t>
            </w:r>
          </w:p>
        </w:tc>
        <w:tc>
          <w:tcPr>
            <w:tcW w:w="1035" w:type="dxa"/>
            <w:tcBorders>
              <w:top w:val="nil"/>
              <w:left w:val="nil"/>
              <w:bottom w:val="single" w:color="auto" w:sz="4" w:space="0"/>
              <w:right w:val="single" w:color="auto" w:sz="4" w:space="0"/>
            </w:tcBorders>
            <w:shd w:val="clear" w:color="auto" w:fill="auto"/>
            <w:noWrap/>
            <w:vAlign w:val="center"/>
          </w:tcPr>
          <w:p w14:paraId="084E7A6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86</w:t>
            </w:r>
          </w:p>
        </w:tc>
        <w:tc>
          <w:tcPr>
            <w:tcW w:w="3120" w:type="dxa"/>
            <w:tcBorders>
              <w:top w:val="nil"/>
              <w:left w:val="nil"/>
              <w:bottom w:val="single" w:color="auto" w:sz="4" w:space="0"/>
              <w:right w:val="single" w:color="auto" w:sz="4" w:space="0"/>
            </w:tcBorders>
            <w:shd w:val="clear" w:color="auto" w:fill="auto"/>
            <w:noWrap/>
            <w:vAlign w:val="center"/>
          </w:tcPr>
          <w:p w14:paraId="5AADA4E5">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丰乐大道与育新路交口东北角</w:t>
            </w:r>
          </w:p>
        </w:tc>
        <w:tc>
          <w:tcPr>
            <w:tcW w:w="2115" w:type="dxa"/>
            <w:tcBorders>
              <w:top w:val="nil"/>
              <w:left w:val="nil"/>
              <w:bottom w:val="single" w:color="auto" w:sz="4" w:space="0"/>
              <w:right w:val="single" w:color="auto" w:sz="4" w:space="0"/>
            </w:tcBorders>
            <w:shd w:val="clear" w:color="auto" w:fill="auto"/>
            <w:noWrap/>
            <w:vAlign w:val="center"/>
          </w:tcPr>
          <w:p w14:paraId="51284510">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约4000平方米</w:t>
            </w:r>
          </w:p>
        </w:tc>
      </w:tr>
      <w:tr w14:paraId="2C229B61">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67A61CF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937" w:type="dxa"/>
            <w:tcBorders>
              <w:top w:val="nil"/>
              <w:left w:val="nil"/>
              <w:bottom w:val="single" w:color="auto" w:sz="4" w:space="0"/>
              <w:right w:val="single" w:color="auto" w:sz="4" w:space="0"/>
            </w:tcBorders>
            <w:shd w:val="clear" w:color="auto" w:fill="auto"/>
            <w:noWrap/>
            <w:vAlign w:val="center"/>
          </w:tcPr>
          <w:p w14:paraId="1AB0B6D4">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明光路</w:t>
            </w:r>
          </w:p>
        </w:tc>
        <w:tc>
          <w:tcPr>
            <w:tcW w:w="1035" w:type="dxa"/>
            <w:tcBorders>
              <w:top w:val="nil"/>
              <w:left w:val="nil"/>
              <w:bottom w:val="single" w:color="auto" w:sz="4" w:space="0"/>
              <w:right w:val="single" w:color="auto" w:sz="4" w:space="0"/>
            </w:tcBorders>
            <w:shd w:val="clear" w:color="auto" w:fill="auto"/>
            <w:noWrap/>
            <w:vAlign w:val="center"/>
          </w:tcPr>
          <w:p w14:paraId="31429DB0">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152</w:t>
            </w:r>
          </w:p>
        </w:tc>
        <w:tc>
          <w:tcPr>
            <w:tcW w:w="3120" w:type="dxa"/>
            <w:tcBorders>
              <w:top w:val="nil"/>
              <w:left w:val="nil"/>
              <w:bottom w:val="single" w:color="auto" w:sz="4" w:space="0"/>
              <w:right w:val="single" w:color="auto" w:sz="4" w:space="0"/>
            </w:tcBorders>
            <w:shd w:val="clear" w:color="auto" w:fill="auto"/>
            <w:noWrap/>
            <w:vAlign w:val="center"/>
          </w:tcPr>
          <w:p w14:paraId="4912BFB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定远路与明光路交口西南角</w:t>
            </w:r>
          </w:p>
        </w:tc>
        <w:tc>
          <w:tcPr>
            <w:tcW w:w="2115" w:type="dxa"/>
            <w:tcBorders>
              <w:top w:val="nil"/>
              <w:left w:val="nil"/>
              <w:bottom w:val="single" w:color="auto" w:sz="4" w:space="0"/>
              <w:right w:val="single" w:color="auto" w:sz="4" w:space="0"/>
            </w:tcBorders>
            <w:shd w:val="clear" w:color="auto" w:fill="auto"/>
            <w:noWrap/>
            <w:vAlign w:val="center"/>
          </w:tcPr>
          <w:p w14:paraId="2F6BA1E0">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约5700平方米</w:t>
            </w:r>
          </w:p>
        </w:tc>
      </w:tr>
      <w:tr w14:paraId="6A4073C4">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3F212F1E">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937" w:type="dxa"/>
            <w:tcBorders>
              <w:top w:val="nil"/>
              <w:left w:val="nil"/>
              <w:bottom w:val="single" w:color="auto" w:sz="4" w:space="0"/>
              <w:right w:val="single" w:color="auto" w:sz="4" w:space="0"/>
            </w:tcBorders>
            <w:shd w:val="clear" w:color="auto" w:fill="auto"/>
            <w:noWrap/>
            <w:vAlign w:val="center"/>
          </w:tcPr>
          <w:p w14:paraId="03600B12">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怡景园</w:t>
            </w:r>
          </w:p>
        </w:tc>
        <w:tc>
          <w:tcPr>
            <w:tcW w:w="1035" w:type="dxa"/>
            <w:tcBorders>
              <w:top w:val="nil"/>
              <w:left w:val="nil"/>
              <w:bottom w:val="single" w:color="auto" w:sz="4" w:space="0"/>
              <w:right w:val="single" w:color="auto" w:sz="4" w:space="0"/>
            </w:tcBorders>
            <w:shd w:val="clear" w:color="auto" w:fill="auto"/>
            <w:noWrap/>
            <w:vAlign w:val="center"/>
          </w:tcPr>
          <w:p w14:paraId="0B9F8AD0">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26</w:t>
            </w:r>
          </w:p>
        </w:tc>
        <w:tc>
          <w:tcPr>
            <w:tcW w:w="3120" w:type="dxa"/>
            <w:tcBorders>
              <w:top w:val="nil"/>
              <w:left w:val="nil"/>
              <w:bottom w:val="single" w:color="auto" w:sz="4" w:space="0"/>
              <w:right w:val="single" w:color="auto" w:sz="4" w:space="0"/>
            </w:tcBorders>
            <w:shd w:val="clear" w:color="auto" w:fill="auto"/>
            <w:noWrap/>
            <w:vAlign w:val="center"/>
          </w:tcPr>
          <w:p w14:paraId="6B15664C">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丰乐大道与明光路交口东北角</w:t>
            </w:r>
          </w:p>
        </w:tc>
        <w:tc>
          <w:tcPr>
            <w:tcW w:w="2115" w:type="dxa"/>
            <w:tcBorders>
              <w:top w:val="nil"/>
              <w:left w:val="nil"/>
              <w:bottom w:val="single" w:color="auto" w:sz="4" w:space="0"/>
              <w:right w:val="single" w:color="auto" w:sz="4" w:space="0"/>
            </w:tcBorders>
            <w:shd w:val="clear" w:color="auto" w:fill="auto"/>
            <w:noWrap/>
            <w:vAlign w:val="center"/>
          </w:tcPr>
          <w:p w14:paraId="0E17AB39">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w:t>
            </w: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rPr>
              <w:t>00平方米</w:t>
            </w:r>
          </w:p>
        </w:tc>
      </w:tr>
      <w:tr w14:paraId="4F3718EC">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45104C4A">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937" w:type="dxa"/>
            <w:tcBorders>
              <w:top w:val="nil"/>
              <w:left w:val="nil"/>
              <w:bottom w:val="single" w:color="auto" w:sz="4" w:space="0"/>
              <w:right w:val="single" w:color="auto" w:sz="4" w:space="0"/>
            </w:tcBorders>
            <w:shd w:val="clear" w:color="auto" w:fill="auto"/>
            <w:noWrap/>
            <w:vAlign w:val="center"/>
          </w:tcPr>
          <w:p w14:paraId="63DDFA6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王桥</w:t>
            </w:r>
          </w:p>
        </w:tc>
        <w:tc>
          <w:tcPr>
            <w:tcW w:w="1035" w:type="dxa"/>
            <w:tcBorders>
              <w:top w:val="nil"/>
              <w:left w:val="nil"/>
              <w:bottom w:val="single" w:color="auto" w:sz="4" w:space="0"/>
              <w:right w:val="single" w:color="auto" w:sz="4" w:space="0"/>
            </w:tcBorders>
            <w:shd w:val="clear" w:color="auto" w:fill="auto"/>
            <w:noWrap/>
            <w:vAlign w:val="center"/>
          </w:tcPr>
          <w:p w14:paraId="714931D9">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97</w:t>
            </w:r>
          </w:p>
        </w:tc>
        <w:tc>
          <w:tcPr>
            <w:tcW w:w="3120" w:type="dxa"/>
            <w:tcBorders>
              <w:top w:val="nil"/>
              <w:left w:val="nil"/>
              <w:bottom w:val="single" w:color="auto" w:sz="4" w:space="0"/>
              <w:right w:val="single" w:color="auto" w:sz="4" w:space="0"/>
            </w:tcBorders>
            <w:shd w:val="clear" w:color="auto" w:fill="auto"/>
            <w:noWrap/>
            <w:vAlign w:val="center"/>
          </w:tcPr>
          <w:p w14:paraId="3898C3B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丰乐大道与天长路交口东南方向200米</w:t>
            </w:r>
          </w:p>
        </w:tc>
        <w:tc>
          <w:tcPr>
            <w:tcW w:w="2115" w:type="dxa"/>
            <w:tcBorders>
              <w:top w:val="nil"/>
              <w:left w:val="nil"/>
              <w:bottom w:val="single" w:color="auto" w:sz="4" w:space="0"/>
              <w:right w:val="single" w:color="auto" w:sz="4" w:space="0"/>
            </w:tcBorders>
            <w:shd w:val="clear" w:color="auto" w:fill="auto"/>
            <w:noWrap/>
            <w:vAlign w:val="center"/>
          </w:tcPr>
          <w:p w14:paraId="03666DF4">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约3200平方米</w:t>
            </w:r>
          </w:p>
        </w:tc>
      </w:tr>
      <w:tr w14:paraId="4009B3FE">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14183C3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937" w:type="dxa"/>
            <w:tcBorders>
              <w:top w:val="nil"/>
              <w:left w:val="nil"/>
              <w:bottom w:val="single" w:color="auto" w:sz="4" w:space="0"/>
              <w:right w:val="single" w:color="auto" w:sz="4" w:space="0"/>
            </w:tcBorders>
            <w:shd w:val="clear" w:color="auto" w:fill="auto"/>
            <w:noWrap/>
            <w:vAlign w:val="center"/>
          </w:tcPr>
          <w:p w14:paraId="42A77D0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小桥湖</w:t>
            </w:r>
          </w:p>
        </w:tc>
        <w:tc>
          <w:tcPr>
            <w:tcW w:w="1035" w:type="dxa"/>
            <w:tcBorders>
              <w:top w:val="nil"/>
              <w:left w:val="nil"/>
              <w:bottom w:val="single" w:color="auto" w:sz="4" w:space="0"/>
              <w:right w:val="single" w:color="auto" w:sz="4" w:space="0"/>
            </w:tcBorders>
            <w:shd w:val="clear" w:color="auto" w:fill="auto"/>
            <w:noWrap/>
            <w:vAlign w:val="center"/>
          </w:tcPr>
          <w:p w14:paraId="3313214B">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323</w:t>
            </w:r>
          </w:p>
        </w:tc>
        <w:tc>
          <w:tcPr>
            <w:tcW w:w="3120" w:type="dxa"/>
            <w:tcBorders>
              <w:top w:val="nil"/>
              <w:left w:val="nil"/>
              <w:bottom w:val="single" w:color="auto" w:sz="4" w:space="0"/>
              <w:right w:val="single" w:color="auto" w:sz="4" w:space="0"/>
            </w:tcBorders>
            <w:shd w:val="clear" w:color="auto" w:fill="auto"/>
            <w:noWrap/>
            <w:vAlign w:val="center"/>
          </w:tcPr>
          <w:p w14:paraId="5FCA252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丰乐大道与清流路交口东南方向200米</w:t>
            </w:r>
          </w:p>
        </w:tc>
        <w:tc>
          <w:tcPr>
            <w:tcW w:w="2115" w:type="dxa"/>
            <w:tcBorders>
              <w:top w:val="nil"/>
              <w:left w:val="nil"/>
              <w:bottom w:val="single" w:color="auto" w:sz="4" w:space="0"/>
              <w:right w:val="single" w:color="auto" w:sz="4" w:space="0"/>
            </w:tcBorders>
            <w:shd w:val="clear" w:color="auto" w:fill="auto"/>
            <w:noWrap/>
            <w:vAlign w:val="center"/>
          </w:tcPr>
          <w:p w14:paraId="5CE3C45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约15000平方米</w:t>
            </w:r>
          </w:p>
        </w:tc>
      </w:tr>
      <w:tr w14:paraId="008D15D9">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27DD436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937" w:type="dxa"/>
            <w:tcBorders>
              <w:top w:val="nil"/>
              <w:left w:val="nil"/>
              <w:bottom w:val="single" w:color="auto" w:sz="4" w:space="0"/>
              <w:right w:val="single" w:color="auto" w:sz="4" w:space="0"/>
            </w:tcBorders>
            <w:shd w:val="clear" w:color="auto" w:fill="auto"/>
            <w:noWrap/>
            <w:vAlign w:val="center"/>
          </w:tcPr>
          <w:p w14:paraId="212A053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明珠园</w:t>
            </w:r>
          </w:p>
        </w:tc>
        <w:tc>
          <w:tcPr>
            <w:tcW w:w="1035" w:type="dxa"/>
            <w:tcBorders>
              <w:top w:val="nil"/>
              <w:left w:val="nil"/>
              <w:bottom w:val="single" w:color="auto" w:sz="4" w:space="0"/>
              <w:right w:val="single" w:color="auto" w:sz="4" w:space="0"/>
            </w:tcBorders>
            <w:shd w:val="clear" w:color="auto" w:fill="auto"/>
            <w:noWrap/>
            <w:vAlign w:val="center"/>
          </w:tcPr>
          <w:p w14:paraId="0F34707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w:t>
            </w:r>
          </w:p>
        </w:tc>
        <w:tc>
          <w:tcPr>
            <w:tcW w:w="3120" w:type="dxa"/>
            <w:tcBorders>
              <w:top w:val="nil"/>
              <w:left w:val="nil"/>
              <w:bottom w:val="single" w:color="auto" w:sz="4" w:space="0"/>
              <w:right w:val="single" w:color="auto" w:sz="4" w:space="0"/>
            </w:tcBorders>
            <w:shd w:val="clear" w:color="auto" w:fill="auto"/>
            <w:noWrap/>
            <w:vAlign w:val="center"/>
          </w:tcPr>
          <w:p w14:paraId="16BEE29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南谯路与清流路交口西北角200米</w:t>
            </w:r>
          </w:p>
        </w:tc>
        <w:tc>
          <w:tcPr>
            <w:tcW w:w="2115" w:type="dxa"/>
            <w:tcBorders>
              <w:top w:val="nil"/>
              <w:left w:val="nil"/>
              <w:bottom w:val="single" w:color="auto" w:sz="4" w:space="0"/>
              <w:right w:val="single" w:color="auto" w:sz="4" w:space="0"/>
            </w:tcBorders>
            <w:shd w:val="clear" w:color="auto" w:fill="auto"/>
            <w:noWrap/>
            <w:vAlign w:val="center"/>
          </w:tcPr>
          <w:p w14:paraId="410CF4C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约1400平方米</w:t>
            </w:r>
          </w:p>
        </w:tc>
      </w:tr>
      <w:tr w14:paraId="1F3B5274">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3FC497B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937" w:type="dxa"/>
            <w:tcBorders>
              <w:top w:val="nil"/>
              <w:left w:val="nil"/>
              <w:bottom w:val="single" w:color="auto" w:sz="4" w:space="0"/>
              <w:right w:val="single" w:color="auto" w:sz="4" w:space="0"/>
            </w:tcBorders>
            <w:shd w:val="clear" w:color="auto" w:fill="auto"/>
            <w:noWrap/>
            <w:vAlign w:val="center"/>
          </w:tcPr>
          <w:p w14:paraId="243CA1C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三里亭</w:t>
            </w:r>
          </w:p>
        </w:tc>
        <w:tc>
          <w:tcPr>
            <w:tcW w:w="1035" w:type="dxa"/>
            <w:tcBorders>
              <w:top w:val="nil"/>
              <w:left w:val="nil"/>
              <w:bottom w:val="single" w:color="auto" w:sz="4" w:space="0"/>
              <w:right w:val="single" w:color="auto" w:sz="4" w:space="0"/>
            </w:tcBorders>
            <w:shd w:val="clear" w:color="auto" w:fill="auto"/>
            <w:noWrap/>
            <w:vAlign w:val="center"/>
          </w:tcPr>
          <w:p w14:paraId="3BFF1292">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29</w:t>
            </w:r>
          </w:p>
        </w:tc>
        <w:tc>
          <w:tcPr>
            <w:tcW w:w="3120" w:type="dxa"/>
            <w:tcBorders>
              <w:top w:val="nil"/>
              <w:left w:val="nil"/>
              <w:bottom w:val="single" w:color="auto" w:sz="4" w:space="0"/>
              <w:right w:val="single" w:color="auto" w:sz="4" w:space="0"/>
            </w:tcBorders>
            <w:shd w:val="clear" w:color="auto" w:fill="auto"/>
            <w:noWrap/>
            <w:vAlign w:val="center"/>
          </w:tcPr>
          <w:p w14:paraId="15E4D95F">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西涧路与琅琊路交口西北角100米</w:t>
            </w:r>
          </w:p>
        </w:tc>
        <w:tc>
          <w:tcPr>
            <w:tcW w:w="2115" w:type="dxa"/>
            <w:tcBorders>
              <w:top w:val="nil"/>
              <w:left w:val="nil"/>
              <w:bottom w:val="single" w:color="auto" w:sz="4" w:space="0"/>
              <w:right w:val="single" w:color="auto" w:sz="4" w:space="0"/>
            </w:tcBorders>
            <w:shd w:val="clear" w:color="auto" w:fill="auto"/>
            <w:noWrap/>
            <w:vAlign w:val="center"/>
          </w:tcPr>
          <w:p w14:paraId="4E7429AE">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约750平方米</w:t>
            </w:r>
          </w:p>
        </w:tc>
      </w:tr>
      <w:tr w14:paraId="2F9AD854">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4056F35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1937" w:type="dxa"/>
            <w:tcBorders>
              <w:top w:val="nil"/>
              <w:left w:val="nil"/>
              <w:bottom w:val="single" w:color="auto" w:sz="4" w:space="0"/>
              <w:right w:val="single" w:color="auto" w:sz="4" w:space="0"/>
            </w:tcBorders>
            <w:shd w:val="clear" w:color="auto" w:fill="auto"/>
            <w:noWrap/>
            <w:vAlign w:val="center"/>
          </w:tcPr>
          <w:p w14:paraId="0EEDB5DF">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一附小</w:t>
            </w:r>
          </w:p>
        </w:tc>
        <w:tc>
          <w:tcPr>
            <w:tcW w:w="1035" w:type="dxa"/>
            <w:tcBorders>
              <w:top w:val="nil"/>
              <w:left w:val="nil"/>
              <w:bottom w:val="single" w:color="auto" w:sz="4" w:space="0"/>
              <w:right w:val="single" w:color="auto" w:sz="4" w:space="0"/>
            </w:tcBorders>
            <w:shd w:val="clear" w:color="auto" w:fill="auto"/>
            <w:noWrap/>
            <w:vAlign w:val="center"/>
          </w:tcPr>
          <w:p w14:paraId="7E00851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w:t>
            </w:r>
          </w:p>
        </w:tc>
        <w:tc>
          <w:tcPr>
            <w:tcW w:w="3120" w:type="dxa"/>
            <w:tcBorders>
              <w:top w:val="nil"/>
              <w:left w:val="nil"/>
              <w:bottom w:val="single" w:color="auto" w:sz="4" w:space="0"/>
              <w:right w:val="single" w:color="auto" w:sz="4" w:space="0"/>
            </w:tcBorders>
            <w:shd w:val="clear" w:color="auto" w:fill="auto"/>
            <w:noWrap/>
            <w:vAlign w:val="center"/>
          </w:tcPr>
          <w:p w14:paraId="11506B2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四牌楼街一附小南侧</w:t>
            </w:r>
          </w:p>
        </w:tc>
        <w:tc>
          <w:tcPr>
            <w:tcW w:w="2115" w:type="dxa"/>
            <w:tcBorders>
              <w:top w:val="nil"/>
              <w:left w:val="nil"/>
              <w:bottom w:val="single" w:color="auto" w:sz="4" w:space="0"/>
              <w:right w:val="single" w:color="auto" w:sz="4" w:space="0"/>
            </w:tcBorders>
            <w:shd w:val="clear" w:color="auto" w:fill="auto"/>
            <w:noWrap/>
            <w:vAlign w:val="center"/>
          </w:tcPr>
          <w:p w14:paraId="5834461C">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约1900平方米</w:t>
            </w:r>
          </w:p>
        </w:tc>
      </w:tr>
      <w:tr w14:paraId="216EFFA6">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41B9C15C">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1937" w:type="dxa"/>
            <w:tcBorders>
              <w:top w:val="nil"/>
              <w:left w:val="nil"/>
              <w:bottom w:val="single" w:color="auto" w:sz="4" w:space="0"/>
              <w:right w:val="single" w:color="auto" w:sz="4" w:space="0"/>
            </w:tcBorders>
            <w:shd w:val="clear" w:color="auto" w:fill="auto"/>
            <w:noWrap/>
            <w:vAlign w:val="center"/>
          </w:tcPr>
          <w:p w14:paraId="24A75D5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青琅茶楼</w:t>
            </w:r>
          </w:p>
        </w:tc>
        <w:tc>
          <w:tcPr>
            <w:tcW w:w="1035" w:type="dxa"/>
            <w:tcBorders>
              <w:top w:val="nil"/>
              <w:left w:val="nil"/>
              <w:bottom w:val="single" w:color="auto" w:sz="4" w:space="0"/>
              <w:right w:val="single" w:color="auto" w:sz="4" w:space="0"/>
            </w:tcBorders>
            <w:shd w:val="clear" w:color="auto" w:fill="auto"/>
            <w:noWrap/>
            <w:vAlign w:val="center"/>
          </w:tcPr>
          <w:p w14:paraId="512EABA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w:t>
            </w:r>
          </w:p>
        </w:tc>
        <w:tc>
          <w:tcPr>
            <w:tcW w:w="3120" w:type="dxa"/>
            <w:tcBorders>
              <w:top w:val="nil"/>
              <w:left w:val="nil"/>
              <w:bottom w:val="single" w:color="auto" w:sz="4" w:space="0"/>
              <w:right w:val="single" w:color="auto" w:sz="4" w:space="0"/>
            </w:tcBorders>
            <w:shd w:val="clear" w:color="auto" w:fill="auto"/>
            <w:noWrap/>
            <w:vAlign w:val="center"/>
          </w:tcPr>
          <w:p w14:paraId="3715FFB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琅琊路与三里亭路交口西北侧</w:t>
            </w:r>
          </w:p>
        </w:tc>
        <w:tc>
          <w:tcPr>
            <w:tcW w:w="2115" w:type="dxa"/>
            <w:tcBorders>
              <w:top w:val="nil"/>
              <w:left w:val="nil"/>
              <w:bottom w:val="single" w:color="auto" w:sz="4" w:space="0"/>
              <w:right w:val="single" w:color="auto" w:sz="4" w:space="0"/>
            </w:tcBorders>
            <w:shd w:val="clear" w:color="auto" w:fill="auto"/>
            <w:noWrap/>
            <w:vAlign w:val="center"/>
          </w:tcPr>
          <w:p w14:paraId="6EE4B13F">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约1000平方米</w:t>
            </w:r>
          </w:p>
        </w:tc>
      </w:tr>
      <w:tr w14:paraId="21F8E7C6">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3E4AA7A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937" w:type="dxa"/>
            <w:tcBorders>
              <w:top w:val="nil"/>
              <w:left w:val="nil"/>
              <w:bottom w:val="single" w:color="auto" w:sz="4" w:space="0"/>
              <w:right w:val="single" w:color="auto" w:sz="4" w:space="0"/>
            </w:tcBorders>
            <w:shd w:val="clear" w:color="auto" w:fill="auto"/>
            <w:noWrap/>
            <w:vAlign w:val="center"/>
          </w:tcPr>
          <w:p w14:paraId="2529B3FF">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文德街</w:t>
            </w:r>
          </w:p>
        </w:tc>
        <w:tc>
          <w:tcPr>
            <w:tcW w:w="1035" w:type="dxa"/>
            <w:tcBorders>
              <w:top w:val="nil"/>
              <w:left w:val="nil"/>
              <w:bottom w:val="single" w:color="auto" w:sz="4" w:space="0"/>
              <w:right w:val="single" w:color="auto" w:sz="4" w:space="0"/>
            </w:tcBorders>
            <w:shd w:val="clear" w:color="auto" w:fill="auto"/>
            <w:noWrap/>
            <w:vAlign w:val="center"/>
          </w:tcPr>
          <w:p w14:paraId="3A02694E">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w:t>
            </w:r>
          </w:p>
        </w:tc>
        <w:tc>
          <w:tcPr>
            <w:tcW w:w="3120" w:type="dxa"/>
            <w:tcBorders>
              <w:top w:val="nil"/>
              <w:left w:val="nil"/>
              <w:bottom w:val="single" w:color="auto" w:sz="4" w:space="0"/>
              <w:right w:val="single" w:color="auto" w:sz="4" w:space="0"/>
            </w:tcBorders>
            <w:shd w:val="clear" w:color="auto" w:fill="auto"/>
            <w:noWrap/>
            <w:vAlign w:val="center"/>
          </w:tcPr>
          <w:p w14:paraId="540800EE">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文德街与长巷交口</w:t>
            </w:r>
          </w:p>
        </w:tc>
        <w:tc>
          <w:tcPr>
            <w:tcW w:w="2115" w:type="dxa"/>
            <w:tcBorders>
              <w:top w:val="nil"/>
              <w:left w:val="nil"/>
              <w:bottom w:val="nil"/>
              <w:right w:val="single" w:color="auto" w:sz="4" w:space="0"/>
            </w:tcBorders>
            <w:shd w:val="clear" w:color="auto" w:fill="auto"/>
            <w:noWrap/>
            <w:vAlign w:val="center"/>
          </w:tcPr>
          <w:p w14:paraId="28BC7F7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约1500平方米</w:t>
            </w:r>
          </w:p>
        </w:tc>
      </w:tr>
      <w:tr w14:paraId="1D8FBB06">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08B7298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1937" w:type="dxa"/>
            <w:tcBorders>
              <w:top w:val="nil"/>
              <w:left w:val="nil"/>
              <w:bottom w:val="single" w:color="auto" w:sz="4" w:space="0"/>
              <w:right w:val="single" w:color="auto" w:sz="4" w:space="0"/>
            </w:tcBorders>
            <w:shd w:val="clear" w:color="auto" w:fill="auto"/>
            <w:noWrap/>
            <w:vAlign w:val="center"/>
          </w:tcPr>
          <w:p w14:paraId="413A9272">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育新东路</w:t>
            </w:r>
          </w:p>
        </w:tc>
        <w:tc>
          <w:tcPr>
            <w:tcW w:w="1035" w:type="dxa"/>
            <w:tcBorders>
              <w:top w:val="nil"/>
              <w:left w:val="nil"/>
              <w:bottom w:val="single" w:color="auto" w:sz="4" w:space="0"/>
              <w:right w:val="single" w:color="auto" w:sz="4" w:space="0"/>
            </w:tcBorders>
            <w:shd w:val="clear" w:color="auto" w:fill="auto"/>
            <w:noWrap/>
            <w:vAlign w:val="center"/>
          </w:tcPr>
          <w:p w14:paraId="35480D84">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77</w:t>
            </w:r>
          </w:p>
        </w:tc>
        <w:tc>
          <w:tcPr>
            <w:tcW w:w="3120" w:type="dxa"/>
            <w:tcBorders>
              <w:top w:val="nil"/>
              <w:left w:val="nil"/>
              <w:bottom w:val="single" w:color="auto" w:sz="4" w:space="0"/>
              <w:right w:val="single" w:color="auto" w:sz="4" w:space="0"/>
            </w:tcBorders>
            <w:shd w:val="clear" w:color="auto" w:fill="auto"/>
            <w:noWrap/>
            <w:vAlign w:val="center"/>
          </w:tcPr>
          <w:p w14:paraId="2FB67AE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育新东路国际大酒店南侧</w:t>
            </w:r>
          </w:p>
        </w:tc>
        <w:tc>
          <w:tcPr>
            <w:tcW w:w="2115" w:type="dxa"/>
            <w:tcBorders>
              <w:top w:val="single" w:color="auto" w:sz="4" w:space="0"/>
              <w:left w:val="nil"/>
              <w:bottom w:val="single" w:color="auto" w:sz="4" w:space="0"/>
              <w:right w:val="single" w:color="auto" w:sz="4" w:space="0"/>
            </w:tcBorders>
            <w:shd w:val="clear" w:color="auto" w:fill="auto"/>
            <w:noWrap/>
            <w:vAlign w:val="center"/>
          </w:tcPr>
          <w:p w14:paraId="06AB9CDE">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约2800平方米</w:t>
            </w:r>
          </w:p>
        </w:tc>
      </w:tr>
      <w:tr w14:paraId="161D833B">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1BC5B9EC">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1937" w:type="dxa"/>
            <w:tcBorders>
              <w:top w:val="nil"/>
              <w:left w:val="nil"/>
              <w:bottom w:val="single" w:color="auto" w:sz="4" w:space="0"/>
              <w:right w:val="single" w:color="auto" w:sz="4" w:space="0"/>
            </w:tcBorders>
            <w:shd w:val="clear" w:color="auto" w:fill="auto"/>
            <w:noWrap/>
            <w:vAlign w:val="center"/>
          </w:tcPr>
          <w:p w14:paraId="5B823F7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西涧一村</w:t>
            </w:r>
          </w:p>
        </w:tc>
        <w:tc>
          <w:tcPr>
            <w:tcW w:w="1035" w:type="dxa"/>
            <w:tcBorders>
              <w:top w:val="nil"/>
              <w:left w:val="nil"/>
              <w:bottom w:val="single" w:color="auto" w:sz="4" w:space="0"/>
              <w:right w:val="single" w:color="auto" w:sz="4" w:space="0"/>
            </w:tcBorders>
            <w:shd w:val="clear" w:color="auto" w:fill="auto"/>
            <w:noWrap/>
            <w:vAlign w:val="center"/>
          </w:tcPr>
          <w:p w14:paraId="2A31B519">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3120" w:type="dxa"/>
            <w:tcBorders>
              <w:top w:val="nil"/>
              <w:left w:val="nil"/>
              <w:bottom w:val="single" w:color="auto" w:sz="4" w:space="0"/>
              <w:right w:val="single" w:color="auto" w:sz="4" w:space="0"/>
            </w:tcBorders>
            <w:shd w:val="clear" w:color="auto" w:fill="auto"/>
            <w:noWrap/>
            <w:vAlign w:val="center"/>
          </w:tcPr>
          <w:p w14:paraId="7F5142C9">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西涧路与明光路交界口西侧</w:t>
            </w:r>
          </w:p>
        </w:tc>
        <w:tc>
          <w:tcPr>
            <w:tcW w:w="2115" w:type="dxa"/>
            <w:tcBorders>
              <w:top w:val="nil"/>
              <w:left w:val="nil"/>
              <w:bottom w:val="single" w:color="auto" w:sz="4" w:space="0"/>
              <w:right w:val="single" w:color="auto" w:sz="4" w:space="0"/>
            </w:tcBorders>
            <w:shd w:val="clear" w:color="auto" w:fill="auto"/>
            <w:noWrap/>
            <w:vAlign w:val="center"/>
          </w:tcPr>
          <w:p w14:paraId="0CCE254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约1200平方米</w:t>
            </w:r>
          </w:p>
        </w:tc>
      </w:tr>
      <w:tr w14:paraId="0668C578">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3F32D184">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1937" w:type="dxa"/>
            <w:tcBorders>
              <w:top w:val="nil"/>
              <w:left w:val="nil"/>
              <w:bottom w:val="single" w:color="auto" w:sz="4" w:space="0"/>
              <w:right w:val="single" w:color="auto" w:sz="4" w:space="0"/>
            </w:tcBorders>
            <w:shd w:val="clear" w:color="auto" w:fill="auto"/>
            <w:noWrap/>
            <w:vAlign w:val="center"/>
          </w:tcPr>
          <w:p w14:paraId="488FF4BD">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扬子宾馆</w:t>
            </w:r>
          </w:p>
        </w:tc>
        <w:tc>
          <w:tcPr>
            <w:tcW w:w="1035" w:type="dxa"/>
            <w:tcBorders>
              <w:top w:val="nil"/>
              <w:left w:val="nil"/>
              <w:bottom w:val="single" w:color="auto" w:sz="4" w:space="0"/>
              <w:right w:val="single" w:color="auto" w:sz="4" w:space="0"/>
            </w:tcBorders>
            <w:shd w:val="clear" w:color="auto" w:fill="auto"/>
            <w:noWrap/>
            <w:vAlign w:val="center"/>
          </w:tcPr>
          <w:p w14:paraId="74F3FC5D">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403</w:t>
            </w:r>
          </w:p>
        </w:tc>
        <w:tc>
          <w:tcPr>
            <w:tcW w:w="3120" w:type="dxa"/>
            <w:tcBorders>
              <w:top w:val="nil"/>
              <w:left w:val="nil"/>
              <w:bottom w:val="single" w:color="auto" w:sz="4" w:space="0"/>
              <w:right w:val="single" w:color="auto" w:sz="4" w:space="0"/>
            </w:tcBorders>
            <w:shd w:val="clear" w:color="auto" w:fill="auto"/>
            <w:noWrap/>
            <w:vAlign w:val="center"/>
          </w:tcPr>
          <w:p w14:paraId="6B31C33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南谯路与清流路交口西侧200米</w:t>
            </w:r>
          </w:p>
        </w:tc>
        <w:tc>
          <w:tcPr>
            <w:tcW w:w="2115" w:type="dxa"/>
            <w:tcBorders>
              <w:top w:val="nil"/>
              <w:left w:val="nil"/>
              <w:bottom w:val="single" w:color="auto" w:sz="4" w:space="0"/>
              <w:right w:val="single" w:color="auto" w:sz="4" w:space="0"/>
            </w:tcBorders>
            <w:shd w:val="clear" w:color="auto" w:fill="auto"/>
            <w:noWrap/>
            <w:vAlign w:val="center"/>
          </w:tcPr>
          <w:p w14:paraId="2EBE2C14">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约16000平方米</w:t>
            </w:r>
          </w:p>
        </w:tc>
      </w:tr>
      <w:tr w14:paraId="0CAAFD33">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89BA015">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1937" w:type="dxa"/>
            <w:tcBorders>
              <w:top w:val="nil"/>
              <w:left w:val="nil"/>
              <w:bottom w:val="single" w:color="auto" w:sz="4" w:space="0"/>
              <w:right w:val="single" w:color="auto" w:sz="4" w:space="0"/>
            </w:tcBorders>
            <w:shd w:val="clear" w:color="auto" w:fill="auto"/>
            <w:noWrap/>
            <w:vAlign w:val="center"/>
          </w:tcPr>
          <w:p w14:paraId="5DF1E26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南小庄</w:t>
            </w:r>
          </w:p>
        </w:tc>
        <w:tc>
          <w:tcPr>
            <w:tcW w:w="1035" w:type="dxa"/>
            <w:tcBorders>
              <w:top w:val="nil"/>
              <w:left w:val="nil"/>
              <w:bottom w:val="single" w:color="auto" w:sz="4" w:space="0"/>
              <w:right w:val="single" w:color="auto" w:sz="4" w:space="0"/>
            </w:tcBorders>
            <w:shd w:val="clear" w:color="auto" w:fill="auto"/>
            <w:noWrap/>
            <w:vAlign w:val="center"/>
          </w:tcPr>
          <w:p w14:paraId="5EAE7D0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229</w:t>
            </w:r>
          </w:p>
        </w:tc>
        <w:tc>
          <w:tcPr>
            <w:tcW w:w="3120" w:type="dxa"/>
            <w:tcBorders>
              <w:top w:val="nil"/>
              <w:left w:val="nil"/>
              <w:bottom w:val="single" w:color="auto" w:sz="4" w:space="0"/>
              <w:right w:val="single" w:color="auto" w:sz="4" w:space="0"/>
            </w:tcBorders>
            <w:shd w:val="clear" w:color="auto" w:fill="auto"/>
            <w:noWrap/>
            <w:vAlign w:val="center"/>
          </w:tcPr>
          <w:p w14:paraId="6ABB3E1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南谯路与凤谯路交口西南角</w:t>
            </w:r>
          </w:p>
        </w:tc>
        <w:tc>
          <w:tcPr>
            <w:tcW w:w="2115" w:type="dxa"/>
            <w:tcBorders>
              <w:top w:val="nil"/>
              <w:left w:val="nil"/>
              <w:bottom w:val="single" w:color="auto" w:sz="4" w:space="0"/>
              <w:right w:val="single" w:color="auto" w:sz="4" w:space="0"/>
            </w:tcBorders>
            <w:shd w:val="clear" w:color="auto" w:fill="auto"/>
            <w:noWrap/>
            <w:vAlign w:val="center"/>
          </w:tcPr>
          <w:p w14:paraId="03597C9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约8200平方米</w:t>
            </w:r>
          </w:p>
        </w:tc>
      </w:tr>
      <w:tr w14:paraId="42D7669A">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4F88794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1937" w:type="dxa"/>
            <w:tcBorders>
              <w:top w:val="nil"/>
              <w:left w:val="nil"/>
              <w:bottom w:val="single" w:color="auto" w:sz="4" w:space="0"/>
              <w:right w:val="single" w:color="auto" w:sz="4" w:space="0"/>
            </w:tcBorders>
            <w:shd w:val="clear" w:color="auto" w:fill="auto"/>
            <w:noWrap/>
            <w:vAlign w:val="center"/>
          </w:tcPr>
          <w:p w14:paraId="602AE550">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紫西社区</w:t>
            </w:r>
          </w:p>
        </w:tc>
        <w:tc>
          <w:tcPr>
            <w:tcW w:w="1035" w:type="dxa"/>
            <w:tcBorders>
              <w:top w:val="nil"/>
              <w:left w:val="nil"/>
              <w:bottom w:val="single" w:color="auto" w:sz="4" w:space="0"/>
              <w:right w:val="single" w:color="auto" w:sz="4" w:space="0"/>
            </w:tcBorders>
            <w:shd w:val="clear" w:color="auto" w:fill="auto"/>
            <w:noWrap/>
            <w:vAlign w:val="center"/>
          </w:tcPr>
          <w:p w14:paraId="0A546B0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3120" w:type="dxa"/>
            <w:tcBorders>
              <w:top w:val="nil"/>
              <w:left w:val="nil"/>
              <w:bottom w:val="single" w:color="auto" w:sz="4" w:space="0"/>
              <w:right w:val="single" w:color="auto" w:sz="4" w:space="0"/>
            </w:tcBorders>
            <w:shd w:val="clear" w:color="auto" w:fill="auto"/>
            <w:noWrap/>
            <w:vAlign w:val="center"/>
          </w:tcPr>
          <w:p w14:paraId="2F8D1A30">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中都大道与清流路交口西北方向500米</w:t>
            </w:r>
          </w:p>
        </w:tc>
        <w:tc>
          <w:tcPr>
            <w:tcW w:w="2115" w:type="dxa"/>
            <w:tcBorders>
              <w:top w:val="nil"/>
              <w:left w:val="nil"/>
              <w:bottom w:val="single" w:color="auto" w:sz="4" w:space="0"/>
              <w:right w:val="single" w:color="auto" w:sz="4" w:space="0"/>
            </w:tcBorders>
            <w:shd w:val="clear" w:color="auto" w:fill="auto"/>
            <w:noWrap/>
            <w:vAlign w:val="center"/>
          </w:tcPr>
          <w:p w14:paraId="6D5DE17D">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约850平方米</w:t>
            </w:r>
          </w:p>
        </w:tc>
      </w:tr>
      <w:tr w14:paraId="0B40B396">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54C55AED">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1937" w:type="dxa"/>
            <w:tcBorders>
              <w:top w:val="nil"/>
              <w:left w:val="nil"/>
              <w:bottom w:val="single" w:color="auto" w:sz="4" w:space="0"/>
              <w:right w:val="single" w:color="auto" w:sz="4" w:space="0"/>
            </w:tcBorders>
            <w:shd w:val="clear" w:color="auto" w:fill="auto"/>
            <w:noWrap/>
            <w:vAlign w:val="center"/>
          </w:tcPr>
          <w:p w14:paraId="4B162F05">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金地大酒店东侧</w:t>
            </w:r>
          </w:p>
        </w:tc>
        <w:tc>
          <w:tcPr>
            <w:tcW w:w="1035" w:type="dxa"/>
            <w:tcBorders>
              <w:top w:val="nil"/>
              <w:left w:val="nil"/>
              <w:bottom w:val="single" w:color="auto" w:sz="4" w:space="0"/>
              <w:right w:val="single" w:color="auto" w:sz="4" w:space="0"/>
            </w:tcBorders>
            <w:shd w:val="clear" w:color="auto" w:fill="auto"/>
            <w:noWrap/>
            <w:vAlign w:val="center"/>
          </w:tcPr>
          <w:p w14:paraId="547915DC">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90</w:t>
            </w:r>
          </w:p>
        </w:tc>
        <w:tc>
          <w:tcPr>
            <w:tcW w:w="3120" w:type="dxa"/>
            <w:tcBorders>
              <w:top w:val="nil"/>
              <w:left w:val="nil"/>
              <w:bottom w:val="single" w:color="auto" w:sz="4" w:space="0"/>
              <w:right w:val="single" w:color="auto" w:sz="4" w:space="0"/>
            </w:tcBorders>
            <w:shd w:val="clear" w:color="auto" w:fill="auto"/>
            <w:noWrap/>
            <w:vAlign w:val="center"/>
          </w:tcPr>
          <w:p w14:paraId="71A74619">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中都大道与凤凰路交口东北角</w:t>
            </w:r>
          </w:p>
        </w:tc>
        <w:tc>
          <w:tcPr>
            <w:tcW w:w="2115" w:type="dxa"/>
            <w:tcBorders>
              <w:top w:val="nil"/>
              <w:left w:val="nil"/>
              <w:bottom w:val="single" w:color="auto" w:sz="4" w:space="0"/>
              <w:right w:val="single" w:color="auto" w:sz="4" w:space="0"/>
            </w:tcBorders>
            <w:shd w:val="clear" w:color="auto" w:fill="auto"/>
            <w:noWrap/>
            <w:vAlign w:val="center"/>
          </w:tcPr>
          <w:p w14:paraId="5FC9E022">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4435平方米</w:t>
            </w:r>
          </w:p>
        </w:tc>
      </w:tr>
      <w:tr w14:paraId="5EF7F950">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F99A9E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1937" w:type="dxa"/>
            <w:tcBorders>
              <w:top w:val="nil"/>
              <w:left w:val="nil"/>
              <w:bottom w:val="single" w:color="auto" w:sz="4" w:space="0"/>
              <w:right w:val="single" w:color="auto" w:sz="4" w:space="0"/>
            </w:tcBorders>
            <w:shd w:val="clear" w:color="auto" w:fill="auto"/>
            <w:noWrap/>
            <w:vAlign w:val="center"/>
          </w:tcPr>
          <w:p w14:paraId="2289EE1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定远路建行宿舍</w:t>
            </w:r>
          </w:p>
        </w:tc>
        <w:tc>
          <w:tcPr>
            <w:tcW w:w="1035" w:type="dxa"/>
            <w:tcBorders>
              <w:top w:val="nil"/>
              <w:left w:val="nil"/>
              <w:bottom w:val="single" w:color="auto" w:sz="4" w:space="0"/>
              <w:right w:val="single" w:color="auto" w:sz="4" w:space="0"/>
            </w:tcBorders>
            <w:shd w:val="clear" w:color="auto" w:fill="auto"/>
            <w:noWrap/>
            <w:vAlign w:val="center"/>
          </w:tcPr>
          <w:p w14:paraId="499140C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65</w:t>
            </w:r>
          </w:p>
        </w:tc>
        <w:tc>
          <w:tcPr>
            <w:tcW w:w="3120" w:type="dxa"/>
            <w:tcBorders>
              <w:top w:val="nil"/>
              <w:left w:val="nil"/>
              <w:bottom w:val="single" w:color="auto" w:sz="4" w:space="0"/>
              <w:right w:val="single" w:color="auto" w:sz="4" w:space="0"/>
            </w:tcBorders>
            <w:shd w:val="clear" w:color="auto" w:fill="auto"/>
            <w:noWrap/>
            <w:vAlign w:val="center"/>
          </w:tcPr>
          <w:p w14:paraId="4FEEA90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定远路与明光路交口西南方向500米</w:t>
            </w:r>
          </w:p>
        </w:tc>
        <w:tc>
          <w:tcPr>
            <w:tcW w:w="2115" w:type="dxa"/>
            <w:tcBorders>
              <w:top w:val="nil"/>
              <w:left w:val="nil"/>
              <w:bottom w:val="single" w:color="auto" w:sz="4" w:space="0"/>
              <w:right w:val="single" w:color="auto" w:sz="4" w:space="0"/>
            </w:tcBorders>
            <w:shd w:val="clear" w:color="auto" w:fill="auto"/>
            <w:noWrap/>
            <w:vAlign w:val="center"/>
          </w:tcPr>
          <w:p w14:paraId="6C31CAA2">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4713平方米</w:t>
            </w:r>
          </w:p>
        </w:tc>
      </w:tr>
      <w:tr w14:paraId="5E41A374">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2F8A14A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1937" w:type="dxa"/>
            <w:tcBorders>
              <w:top w:val="nil"/>
              <w:left w:val="nil"/>
              <w:bottom w:val="single" w:color="auto" w:sz="4" w:space="0"/>
              <w:right w:val="single" w:color="auto" w:sz="4" w:space="0"/>
            </w:tcBorders>
            <w:shd w:val="clear" w:color="auto" w:fill="auto"/>
            <w:noWrap/>
            <w:vAlign w:val="center"/>
          </w:tcPr>
          <w:p w14:paraId="3367CEF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新生路</w:t>
            </w:r>
          </w:p>
        </w:tc>
        <w:tc>
          <w:tcPr>
            <w:tcW w:w="1035" w:type="dxa"/>
            <w:tcBorders>
              <w:top w:val="nil"/>
              <w:left w:val="nil"/>
              <w:bottom w:val="single" w:color="auto" w:sz="4" w:space="0"/>
              <w:right w:val="single" w:color="auto" w:sz="4" w:space="0"/>
            </w:tcBorders>
            <w:shd w:val="clear" w:color="auto" w:fill="auto"/>
            <w:noWrap/>
            <w:vAlign w:val="center"/>
          </w:tcPr>
          <w:p w14:paraId="72A960D9">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80</w:t>
            </w:r>
          </w:p>
        </w:tc>
        <w:tc>
          <w:tcPr>
            <w:tcW w:w="3120" w:type="dxa"/>
            <w:tcBorders>
              <w:top w:val="nil"/>
              <w:left w:val="nil"/>
              <w:bottom w:val="single" w:color="auto" w:sz="4" w:space="0"/>
              <w:right w:val="single" w:color="auto" w:sz="4" w:space="0"/>
            </w:tcBorders>
            <w:shd w:val="clear" w:color="auto" w:fill="auto"/>
            <w:noWrap/>
            <w:vAlign w:val="center"/>
          </w:tcPr>
          <w:p w14:paraId="3E9DAE5A">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金陵北路与新生路交口西南角</w:t>
            </w:r>
          </w:p>
        </w:tc>
        <w:tc>
          <w:tcPr>
            <w:tcW w:w="2115" w:type="dxa"/>
            <w:tcBorders>
              <w:top w:val="nil"/>
              <w:left w:val="nil"/>
              <w:bottom w:val="single" w:color="auto" w:sz="4" w:space="0"/>
              <w:right w:val="single" w:color="auto" w:sz="4" w:space="0"/>
            </w:tcBorders>
            <w:shd w:val="clear" w:color="auto" w:fill="auto"/>
            <w:noWrap/>
            <w:vAlign w:val="center"/>
          </w:tcPr>
          <w:p w14:paraId="7914746B">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2925平方米</w:t>
            </w:r>
          </w:p>
        </w:tc>
      </w:tr>
      <w:tr w14:paraId="0B8D10A4">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2230AF8D">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w:t>
            </w:r>
          </w:p>
        </w:tc>
        <w:tc>
          <w:tcPr>
            <w:tcW w:w="1937" w:type="dxa"/>
            <w:tcBorders>
              <w:top w:val="nil"/>
              <w:left w:val="nil"/>
              <w:bottom w:val="single" w:color="auto" w:sz="4" w:space="0"/>
              <w:right w:val="single" w:color="auto" w:sz="4" w:space="0"/>
            </w:tcBorders>
            <w:shd w:val="clear" w:color="auto" w:fill="auto"/>
            <w:noWrap/>
            <w:vAlign w:val="center"/>
          </w:tcPr>
          <w:p w14:paraId="3750D7A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卫校巷</w:t>
            </w:r>
          </w:p>
        </w:tc>
        <w:tc>
          <w:tcPr>
            <w:tcW w:w="1035" w:type="dxa"/>
            <w:tcBorders>
              <w:top w:val="nil"/>
              <w:left w:val="nil"/>
              <w:bottom w:val="single" w:color="auto" w:sz="4" w:space="0"/>
              <w:right w:val="single" w:color="auto" w:sz="4" w:space="0"/>
            </w:tcBorders>
            <w:shd w:val="clear" w:color="auto" w:fill="auto"/>
            <w:noWrap/>
            <w:vAlign w:val="center"/>
          </w:tcPr>
          <w:p w14:paraId="1D7B555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280</w:t>
            </w:r>
          </w:p>
        </w:tc>
        <w:tc>
          <w:tcPr>
            <w:tcW w:w="3120" w:type="dxa"/>
            <w:tcBorders>
              <w:top w:val="nil"/>
              <w:left w:val="nil"/>
              <w:bottom w:val="single" w:color="auto" w:sz="4" w:space="0"/>
              <w:right w:val="single" w:color="auto" w:sz="4" w:space="0"/>
            </w:tcBorders>
            <w:shd w:val="clear" w:color="auto" w:fill="auto"/>
            <w:noWrap/>
            <w:vAlign w:val="center"/>
          </w:tcPr>
          <w:p w14:paraId="3645AEB2">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中都大道与琅琊路交口东南角</w:t>
            </w:r>
          </w:p>
        </w:tc>
        <w:tc>
          <w:tcPr>
            <w:tcW w:w="2115" w:type="dxa"/>
            <w:tcBorders>
              <w:top w:val="nil"/>
              <w:left w:val="nil"/>
              <w:bottom w:val="single" w:color="auto" w:sz="4" w:space="0"/>
              <w:right w:val="single" w:color="auto" w:sz="4" w:space="0"/>
            </w:tcBorders>
            <w:shd w:val="clear" w:color="auto" w:fill="auto"/>
            <w:noWrap/>
            <w:vAlign w:val="center"/>
          </w:tcPr>
          <w:p w14:paraId="07B5C91B">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10868平方米</w:t>
            </w:r>
          </w:p>
        </w:tc>
      </w:tr>
      <w:tr w14:paraId="2D6F796A">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414CC3B2">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1937" w:type="dxa"/>
            <w:tcBorders>
              <w:top w:val="nil"/>
              <w:left w:val="nil"/>
              <w:bottom w:val="single" w:color="auto" w:sz="4" w:space="0"/>
              <w:right w:val="single" w:color="auto" w:sz="4" w:space="0"/>
            </w:tcBorders>
            <w:shd w:val="clear" w:color="auto" w:fill="auto"/>
            <w:noWrap/>
            <w:vAlign w:val="center"/>
          </w:tcPr>
          <w:p w14:paraId="306ECB8B">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裕安园</w:t>
            </w:r>
          </w:p>
        </w:tc>
        <w:tc>
          <w:tcPr>
            <w:tcW w:w="1035" w:type="dxa"/>
            <w:tcBorders>
              <w:top w:val="nil"/>
              <w:left w:val="nil"/>
              <w:bottom w:val="single" w:color="auto" w:sz="4" w:space="0"/>
              <w:right w:val="single" w:color="auto" w:sz="4" w:space="0"/>
            </w:tcBorders>
            <w:shd w:val="clear" w:color="auto" w:fill="auto"/>
            <w:noWrap/>
            <w:vAlign w:val="center"/>
          </w:tcPr>
          <w:p w14:paraId="0205BF12">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50</w:t>
            </w:r>
          </w:p>
        </w:tc>
        <w:tc>
          <w:tcPr>
            <w:tcW w:w="3120" w:type="dxa"/>
            <w:tcBorders>
              <w:top w:val="nil"/>
              <w:left w:val="nil"/>
              <w:bottom w:val="single" w:color="auto" w:sz="4" w:space="0"/>
              <w:right w:val="single" w:color="auto" w:sz="4" w:space="0"/>
            </w:tcBorders>
            <w:shd w:val="clear" w:color="auto" w:fill="auto"/>
            <w:noWrap/>
            <w:vAlign w:val="center"/>
          </w:tcPr>
          <w:p w14:paraId="4A23292D">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紫薇北路与明光路交口西北角</w:t>
            </w:r>
          </w:p>
        </w:tc>
        <w:tc>
          <w:tcPr>
            <w:tcW w:w="2115" w:type="dxa"/>
            <w:tcBorders>
              <w:top w:val="nil"/>
              <w:left w:val="nil"/>
              <w:bottom w:val="single" w:color="auto" w:sz="4" w:space="0"/>
              <w:right w:val="single" w:color="auto" w:sz="4" w:space="0"/>
            </w:tcBorders>
            <w:shd w:val="clear" w:color="auto" w:fill="auto"/>
            <w:noWrap/>
            <w:vAlign w:val="center"/>
          </w:tcPr>
          <w:p w14:paraId="1D1DCB6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1933平方米</w:t>
            </w:r>
          </w:p>
        </w:tc>
      </w:tr>
      <w:tr w14:paraId="4E75BD4F">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2D82122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1937" w:type="dxa"/>
            <w:tcBorders>
              <w:top w:val="nil"/>
              <w:left w:val="nil"/>
              <w:bottom w:val="single" w:color="auto" w:sz="4" w:space="0"/>
              <w:right w:val="single" w:color="auto" w:sz="4" w:space="0"/>
            </w:tcBorders>
            <w:shd w:val="clear" w:color="auto" w:fill="auto"/>
            <w:noWrap/>
            <w:vAlign w:val="center"/>
          </w:tcPr>
          <w:p w14:paraId="18DE974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凤凰西路停车场</w:t>
            </w:r>
          </w:p>
        </w:tc>
        <w:tc>
          <w:tcPr>
            <w:tcW w:w="1035" w:type="dxa"/>
            <w:tcBorders>
              <w:top w:val="nil"/>
              <w:left w:val="nil"/>
              <w:bottom w:val="single" w:color="auto" w:sz="4" w:space="0"/>
              <w:right w:val="single" w:color="auto" w:sz="4" w:space="0"/>
            </w:tcBorders>
            <w:shd w:val="clear" w:color="auto" w:fill="auto"/>
            <w:noWrap/>
            <w:vAlign w:val="center"/>
          </w:tcPr>
          <w:p w14:paraId="6DED9B1B">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169</w:t>
            </w:r>
          </w:p>
        </w:tc>
        <w:tc>
          <w:tcPr>
            <w:tcW w:w="3120" w:type="dxa"/>
            <w:tcBorders>
              <w:top w:val="nil"/>
              <w:left w:val="nil"/>
              <w:bottom w:val="single" w:color="auto" w:sz="4" w:space="0"/>
              <w:right w:val="single" w:color="auto" w:sz="4" w:space="0"/>
            </w:tcBorders>
            <w:shd w:val="clear" w:color="auto" w:fill="auto"/>
            <w:noWrap/>
            <w:vAlign w:val="center"/>
          </w:tcPr>
          <w:p w14:paraId="2249D93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凤凰路凤凰菜场巷内</w:t>
            </w:r>
          </w:p>
        </w:tc>
        <w:tc>
          <w:tcPr>
            <w:tcW w:w="2115" w:type="dxa"/>
            <w:tcBorders>
              <w:top w:val="nil"/>
              <w:left w:val="nil"/>
              <w:bottom w:val="single" w:color="auto" w:sz="4" w:space="0"/>
              <w:right w:val="single" w:color="auto" w:sz="4" w:space="0"/>
            </w:tcBorders>
            <w:shd w:val="clear" w:color="auto" w:fill="auto"/>
            <w:noWrap/>
            <w:vAlign w:val="center"/>
          </w:tcPr>
          <w:p w14:paraId="04C80D0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8539平方米</w:t>
            </w:r>
          </w:p>
        </w:tc>
      </w:tr>
      <w:tr w14:paraId="2AD8226E">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14:paraId="1130DE4A">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p>
        </w:tc>
        <w:tc>
          <w:tcPr>
            <w:tcW w:w="1937" w:type="dxa"/>
            <w:tcBorders>
              <w:top w:val="nil"/>
              <w:left w:val="nil"/>
              <w:bottom w:val="single" w:color="auto" w:sz="4" w:space="0"/>
              <w:right w:val="single" w:color="auto" w:sz="4" w:space="0"/>
            </w:tcBorders>
            <w:shd w:val="clear" w:color="auto" w:fill="auto"/>
            <w:noWrap/>
            <w:vAlign w:val="center"/>
          </w:tcPr>
          <w:p w14:paraId="72C539B5">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丰乐大道与凤凰路交口</w:t>
            </w:r>
          </w:p>
        </w:tc>
        <w:tc>
          <w:tcPr>
            <w:tcW w:w="1035" w:type="dxa"/>
            <w:tcBorders>
              <w:top w:val="nil"/>
              <w:left w:val="nil"/>
              <w:bottom w:val="single" w:color="auto" w:sz="4" w:space="0"/>
              <w:right w:val="single" w:color="auto" w:sz="4" w:space="0"/>
            </w:tcBorders>
            <w:shd w:val="clear" w:color="auto" w:fill="auto"/>
            <w:noWrap/>
            <w:vAlign w:val="center"/>
          </w:tcPr>
          <w:p w14:paraId="4C05086F">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189</w:t>
            </w:r>
          </w:p>
        </w:tc>
        <w:tc>
          <w:tcPr>
            <w:tcW w:w="3120" w:type="dxa"/>
            <w:tcBorders>
              <w:top w:val="nil"/>
              <w:left w:val="nil"/>
              <w:bottom w:val="single" w:color="auto" w:sz="4" w:space="0"/>
              <w:right w:val="single" w:color="auto" w:sz="4" w:space="0"/>
            </w:tcBorders>
            <w:shd w:val="clear" w:color="auto" w:fill="auto"/>
            <w:noWrap/>
            <w:vAlign w:val="center"/>
          </w:tcPr>
          <w:p w14:paraId="311C84B0">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丰乐大道与凤凰路交口东南角</w:t>
            </w:r>
          </w:p>
        </w:tc>
        <w:tc>
          <w:tcPr>
            <w:tcW w:w="2115" w:type="dxa"/>
            <w:tcBorders>
              <w:top w:val="nil"/>
              <w:left w:val="nil"/>
              <w:bottom w:val="single" w:color="auto" w:sz="4" w:space="0"/>
              <w:right w:val="single" w:color="auto" w:sz="4" w:space="0"/>
            </w:tcBorders>
            <w:shd w:val="clear" w:color="auto" w:fill="auto"/>
            <w:noWrap/>
            <w:vAlign w:val="center"/>
          </w:tcPr>
          <w:p w14:paraId="52ADAC60">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10829平方米</w:t>
            </w:r>
          </w:p>
        </w:tc>
      </w:tr>
      <w:tr w14:paraId="0FC8BFD7">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A427E2">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5388DB9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琴轩路</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6F4399A5">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w:t>
            </w: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147FB72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琴轩东路与阳明路交口东北角</w:t>
            </w:r>
          </w:p>
        </w:tc>
        <w:tc>
          <w:tcPr>
            <w:tcW w:w="2115" w:type="dxa"/>
            <w:tcBorders>
              <w:top w:val="single" w:color="auto" w:sz="4" w:space="0"/>
              <w:left w:val="nil"/>
              <w:bottom w:val="single" w:color="auto" w:sz="4" w:space="0"/>
              <w:right w:val="single" w:color="auto" w:sz="4" w:space="0"/>
            </w:tcBorders>
            <w:shd w:val="clear" w:color="000000" w:fill="FFFFFF"/>
            <w:noWrap/>
            <w:vAlign w:val="center"/>
          </w:tcPr>
          <w:p w14:paraId="307DC92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约990平方米</w:t>
            </w:r>
          </w:p>
        </w:tc>
      </w:tr>
      <w:tr w14:paraId="08CA94ED">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375591">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24</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0542EF45">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老金煌菜场</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009EDDDE">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150</w:t>
            </w: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08CD7A5C">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清流街道紫薇北路第五人民医院</w:t>
            </w:r>
          </w:p>
        </w:tc>
        <w:tc>
          <w:tcPr>
            <w:tcW w:w="2115" w:type="dxa"/>
            <w:tcBorders>
              <w:top w:val="single" w:color="auto" w:sz="4" w:space="0"/>
              <w:left w:val="nil"/>
              <w:bottom w:val="single" w:color="auto" w:sz="4" w:space="0"/>
              <w:right w:val="single" w:color="auto" w:sz="4" w:space="0"/>
            </w:tcBorders>
            <w:shd w:val="clear" w:color="auto" w:fill="FFFFFF"/>
            <w:noWrap/>
            <w:vAlign w:val="center"/>
          </w:tcPr>
          <w:p w14:paraId="62C7BBAD">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4350</w:t>
            </w:r>
            <w:r>
              <w:rPr>
                <w:rFonts w:hint="eastAsia" w:ascii="宋体" w:hAnsi="宋体" w:cs="宋体"/>
                <w:i w:val="0"/>
                <w:iCs w:val="0"/>
                <w:color w:val="auto"/>
                <w:kern w:val="0"/>
                <w:sz w:val="21"/>
                <w:szCs w:val="21"/>
                <w:highlight w:val="none"/>
                <w:u w:val="none"/>
                <w:lang w:val="en-US" w:eastAsia="zh-CN" w:bidi="ar"/>
              </w:rPr>
              <w:t>平方米</w:t>
            </w:r>
          </w:p>
        </w:tc>
      </w:tr>
      <w:tr w14:paraId="366237E7">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60081D">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25</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488B9570">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来安路</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794A017A">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100</w:t>
            </w: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67CE615F">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清流街道来安路</w:t>
            </w:r>
          </w:p>
        </w:tc>
        <w:tc>
          <w:tcPr>
            <w:tcW w:w="2115" w:type="dxa"/>
            <w:tcBorders>
              <w:top w:val="single" w:color="auto" w:sz="4" w:space="0"/>
              <w:left w:val="nil"/>
              <w:bottom w:val="single" w:color="auto" w:sz="4" w:space="0"/>
              <w:right w:val="single" w:color="auto" w:sz="4" w:space="0"/>
            </w:tcBorders>
            <w:shd w:val="clear" w:color="auto" w:fill="FFFFFF"/>
            <w:noWrap/>
            <w:vAlign w:val="center"/>
          </w:tcPr>
          <w:p w14:paraId="25DC77BE">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3800</w:t>
            </w:r>
            <w:r>
              <w:rPr>
                <w:rFonts w:hint="eastAsia" w:ascii="宋体" w:hAnsi="宋体" w:cs="宋体"/>
                <w:i w:val="0"/>
                <w:iCs w:val="0"/>
                <w:color w:val="auto"/>
                <w:kern w:val="0"/>
                <w:sz w:val="21"/>
                <w:szCs w:val="21"/>
                <w:highlight w:val="none"/>
                <w:u w:val="none"/>
                <w:lang w:val="en-US" w:eastAsia="zh-CN" w:bidi="ar"/>
              </w:rPr>
              <w:t>平方米</w:t>
            </w:r>
          </w:p>
        </w:tc>
      </w:tr>
      <w:tr w14:paraId="7D90F061">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0297C2">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26</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6EF4B29B">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花博园城铁站</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7096D3B5">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253</w:t>
            </w: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442CCE3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南谯区腰铺镇敬梓路</w:t>
            </w:r>
          </w:p>
        </w:tc>
        <w:tc>
          <w:tcPr>
            <w:tcW w:w="2115" w:type="dxa"/>
            <w:tcBorders>
              <w:top w:val="single" w:color="auto" w:sz="4" w:space="0"/>
              <w:left w:val="nil"/>
              <w:bottom w:val="single" w:color="auto" w:sz="4" w:space="0"/>
              <w:right w:val="single" w:color="auto" w:sz="4" w:space="0"/>
            </w:tcBorders>
            <w:shd w:val="clear" w:color="auto" w:fill="auto"/>
            <w:noWrap/>
            <w:vAlign w:val="center"/>
          </w:tcPr>
          <w:p w14:paraId="7A3CA0A7">
            <w:pPr>
              <w:keepNext w:val="0"/>
              <w:keepLines w:val="0"/>
              <w:widowControl/>
              <w:suppressLineNumbers w:val="0"/>
              <w:jc w:val="center"/>
              <w:textAlignment w:val="center"/>
              <w:rPr>
                <w:rFonts w:hint="default" w:ascii="宋体" w:hAnsi="宋体" w:eastAsia="宋体" w:cs="宋体"/>
                <w:i w:val="0"/>
                <w:iCs w:val="0"/>
                <w:color w:val="auto"/>
                <w:kern w:val="2"/>
                <w:sz w:val="20"/>
                <w:szCs w:val="20"/>
                <w:highlight w:val="none"/>
                <w:u w:val="none"/>
                <w:lang w:val="en-US" w:eastAsia="zh-CN" w:bidi="ar-SA"/>
              </w:rPr>
            </w:pPr>
            <w:r>
              <w:rPr>
                <w:rFonts w:hint="eastAsia" w:ascii="宋体" w:hAnsi="宋体" w:eastAsia="宋体" w:cs="宋体"/>
                <w:i w:val="0"/>
                <w:iCs w:val="0"/>
                <w:color w:val="auto"/>
                <w:kern w:val="0"/>
                <w:sz w:val="20"/>
                <w:szCs w:val="20"/>
                <w:highlight w:val="none"/>
                <w:u w:val="none"/>
                <w:lang w:val="en-US" w:eastAsia="zh-CN" w:bidi="ar"/>
              </w:rPr>
              <w:t>17608</w:t>
            </w:r>
            <w:r>
              <w:rPr>
                <w:rFonts w:hint="eastAsia" w:ascii="宋体" w:hAnsi="宋体" w:cs="宋体"/>
                <w:i w:val="0"/>
                <w:iCs w:val="0"/>
                <w:color w:val="auto"/>
                <w:kern w:val="0"/>
                <w:sz w:val="20"/>
                <w:szCs w:val="20"/>
                <w:highlight w:val="none"/>
                <w:u w:val="none"/>
                <w:lang w:val="en-US" w:eastAsia="zh-CN" w:bidi="ar"/>
              </w:rPr>
              <w:t>平方米</w:t>
            </w:r>
          </w:p>
        </w:tc>
      </w:tr>
      <w:tr w14:paraId="58023B23">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C72E67">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27</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4DADBF05">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八中南侧</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17BA9F1E">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91</w:t>
            </w: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754C6D00">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银花街道凤阳北路悦孚石化滁州有限公司</w:t>
            </w:r>
            <w:r>
              <w:rPr>
                <w:rFonts w:hint="eastAsia" w:ascii="宋体" w:hAnsi="宋体" w:cs="宋体"/>
                <w:color w:val="auto"/>
                <w:sz w:val="21"/>
                <w:szCs w:val="21"/>
                <w:highlight w:val="none"/>
                <w:lang w:val="en-US" w:eastAsia="zh-CN"/>
              </w:rPr>
              <w:t>旁</w:t>
            </w:r>
          </w:p>
        </w:tc>
        <w:tc>
          <w:tcPr>
            <w:tcW w:w="2115" w:type="dxa"/>
            <w:tcBorders>
              <w:top w:val="single" w:color="auto" w:sz="4" w:space="0"/>
              <w:left w:val="nil"/>
              <w:bottom w:val="single" w:color="auto" w:sz="4" w:space="0"/>
              <w:right w:val="single" w:color="auto" w:sz="4" w:space="0"/>
            </w:tcBorders>
            <w:shd w:val="clear" w:color="auto" w:fill="auto"/>
            <w:noWrap/>
            <w:vAlign w:val="center"/>
          </w:tcPr>
          <w:p w14:paraId="6CBC1C40">
            <w:pPr>
              <w:keepNext w:val="0"/>
              <w:keepLines w:val="0"/>
              <w:widowControl/>
              <w:suppressLineNumbers w:val="0"/>
              <w:jc w:val="center"/>
              <w:textAlignment w:val="center"/>
              <w:rPr>
                <w:rFonts w:hint="default" w:ascii="宋体" w:hAnsi="宋体" w:eastAsia="宋体" w:cs="宋体"/>
                <w:i w:val="0"/>
                <w:iCs w:val="0"/>
                <w:color w:val="auto"/>
                <w:kern w:val="2"/>
                <w:sz w:val="20"/>
                <w:szCs w:val="20"/>
                <w:highlight w:val="none"/>
                <w:u w:val="none"/>
                <w:lang w:val="en-US" w:eastAsia="zh-CN" w:bidi="ar-SA"/>
              </w:rPr>
            </w:pPr>
            <w:r>
              <w:rPr>
                <w:rFonts w:hint="eastAsia" w:ascii="宋体" w:hAnsi="宋体" w:eastAsia="宋体" w:cs="宋体"/>
                <w:i w:val="0"/>
                <w:iCs w:val="0"/>
                <w:color w:val="auto"/>
                <w:kern w:val="0"/>
                <w:sz w:val="20"/>
                <w:szCs w:val="20"/>
                <w:highlight w:val="none"/>
                <w:u w:val="none"/>
                <w:lang w:val="en-US" w:eastAsia="zh-CN" w:bidi="ar"/>
              </w:rPr>
              <w:t>4500</w:t>
            </w:r>
            <w:r>
              <w:rPr>
                <w:rFonts w:hint="eastAsia" w:ascii="宋体" w:hAnsi="宋体" w:cs="宋体"/>
                <w:i w:val="0"/>
                <w:iCs w:val="0"/>
                <w:color w:val="auto"/>
                <w:kern w:val="0"/>
                <w:sz w:val="20"/>
                <w:szCs w:val="20"/>
                <w:highlight w:val="none"/>
                <w:u w:val="none"/>
                <w:lang w:val="en-US" w:eastAsia="zh-CN" w:bidi="ar"/>
              </w:rPr>
              <w:t>平方米</w:t>
            </w:r>
          </w:p>
        </w:tc>
      </w:tr>
      <w:tr w14:paraId="2AC9104D">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72B8F3">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28</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6E7C86B8">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县府西巷</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416E48EE">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104</w:t>
            </w: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53C7A5F0">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遵阳街道北湖路北湖公园</w:t>
            </w:r>
          </w:p>
        </w:tc>
        <w:tc>
          <w:tcPr>
            <w:tcW w:w="2115" w:type="dxa"/>
            <w:tcBorders>
              <w:top w:val="single" w:color="auto" w:sz="4" w:space="0"/>
              <w:left w:val="nil"/>
              <w:bottom w:val="single" w:color="auto" w:sz="4" w:space="0"/>
              <w:right w:val="single" w:color="auto" w:sz="4" w:space="0"/>
            </w:tcBorders>
            <w:shd w:val="clear" w:color="auto" w:fill="auto"/>
            <w:noWrap/>
            <w:vAlign w:val="center"/>
          </w:tcPr>
          <w:p w14:paraId="2F33A0ED">
            <w:pPr>
              <w:keepNext w:val="0"/>
              <w:keepLines w:val="0"/>
              <w:widowControl/>
              <w:suppressLineNumbers w:val="0"/>
              <w:jc w:val="center"/>
              <w:textAlignment w:val="center"/>
              <w:rPr>
                <w:rFonts w:hint="default" w:ascii="宋体" w:hAnsi="宋体" w:eastAsia="宋体" w:cs="宋体"/>
                <w:i w:val="0"/>
                <w:iCs w:val="0"/>
                <w:color w:val="auto"/>
                <w:kern w:val="2"/>
                <w:sz w:val="20"/>
                <w:szCs w:val="20"/>
                <w:highlight w:val="none"/>
                <w:u w:val="none"/>
                <w:lang w:val="en-US" w:eastAsia="zh-CN" w:bidi="ar-SA"/>
              </w:rPr>
            </w:pPr>
            <w:r>
              <w:rPr>
                <w:rFonts w:hint="eastAsia" w:ascii="宋体" w:hAnsi="宋体" w:eastAsia="宋体" w:cs="宋体"/>
                <w:i w:val="0"/>
                <w:iCs w:val="0"/>
                <w:color w:val="auto"/>
                <w:kern w:val="0"/>
                <w:sz w:val="20"/>
                <w:szCs w:val="20"/>
                <w:highlight w:val="none"/>
                <w:u w:val="none"/>
                <w:lang w:val="en-US" w:eastAsia="zh-CN" w:bidi="ar"/>
              </w:rPr>
              <w:t>4811</w:t>
            </w:r>
            <w:r>
              <w:rPr>
                <w:rFonts w:hint="eastAsia" w:ascii="宋体" w:hAnsi="宋体" w:cs="宋体"/>
                <w:i w:val="0"/>
                <w:iCs w:val="0"/>
                <w:color w:val="auto"/>
                <w:kern w:val="0"/>
                <w:sz w:val="20"/>
                <w:szCs w:val="20"/>
                <w:highlight w:val="none"/>
                <w:u w:val="none"/>
                <w:lang w:val="en-US" w:eastAsia="zh-CN" w:bidi="ar"/>
              </w:rPr>
              <w:t>平方米</w:t>
            </w:r>
          </w:p>
        </w:tc>
      </w:tr>
      <w:tr w14:paraId="30F092DB">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9A500C">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29</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1BF83588">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 xml:space="preserve">人民西路 </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3673EAA6">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202</w:t>
            </w: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1E40E8EE">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龙蟠街道全椒南路名儒学校</w:t>
            </w:r>
            <w:r>
              <w:rPr>
                <w:rFonts w:hint="eastAsia" w:ascii="宋体" w:hAnsi="宋体" w:cs="宋体"/>
                <w:color w:val="auto"/>
                <w:sz w:val="21"/>
                <w:szCs w:val="21"/>
                <w:highlight w:val="none"/>
                <w:lang w:val="en-US" w:eastAsia="zh-CN"/>
              </w:rPr>
              <w:t>旁</w:t>
            </w:r>
          </w:p>
        </w:tc>
        <w:tc>
          <w:tcPr>
            <w:tcW w:w="2115" w:type="dxa"/>
            <w:tcBorders>
              <w:top w:val="single" w:color="auto" w:sz="4" w:space="0"/>
              <w:left w:val="nil"/>
              <w:bottom w:val="single" w:color="auto" w:sz="4" w:space="0"/>
              <w:right w:val="single" w:color="auto" w:sz="4" w:space="0"/>
            </w:tcBorders>
            <w:shd w:val="clear" w:color="auto" w:fill="auto"/>
            <w:noWrap/>
            <w:vAlign w:val="center"/>
          </w:tcPr>
          <w:p w14:paraId="352515B0">
            <w:pPr>
              <w:keepNext w:val="0"/>
              <w:keepLines w:val="0"/>
              <w:widowControl/>
              <w:suppressLineNumbers w:val="0"/>
              <w:jc w:val="center"/>
              <w:textAlignment w:val="center"/>
              <w:rPr>
                <w:rFonts w:hint="default" w:ascii="宋体" w:hAnsi="宋体" w:eastAsia="宋体" w:cs="宋体"/>
                <w:i w:val="0"/>
                <w:iCs w:val="0"/>
                <w:color w:val="auto"/>
                <w:kern w:val="2"/>
                <w:sz w:val="20"/>
                <w:szCs w:val="20"/>
                <w:highlight w:val="none"/>
                <w:u w:val="none"/>
                <w:lang w:val="en-US" w:eastAsia="zh-CN" w:bidi="ar-SA"/>
              </w:rPr>
            </w:pPr>
            <w:r>
              <w:rPr>
                <w:rFonts w:hint="eastAsia" w:ascii="宋体" w:hAnsi="宋体" w:eastAsia="宋体" w:cs="宋体"/>
                <w:i w:val="0"/>
                <w:iCs w:val="0"/>
                <w:color w:val="auto"/>
                <w:kern w:val="0"/>
                <w:sz w:val="20"/>
                <w:szCs w:val="20"/>
                <w:highlight w:val="none"/>
                <w:u w:val="none"/>
                <w:lang w:val="en-US" w:eastAsia="zh-CN" w:bidi="ar"/>
              </w:rPr>
              <w:t>11440</w:t>
            </w:r>
            <w:r>
              <w:rPr>
                <w:rFonts w:hint="eastAsia" w:ascii="宋体" w:hAnsi="宋体" w:cs="宋体"/>
                <w:i w:val="0"/>
                <w:iCs w:val="0"/>
                <w:color w:val="auto"/>
                <w:kern w:val="0"/>
                <w:sz w:val="20"/>
                <w:szCs w:val="20"/>
                <w:highlight w:val="none"/>
                <w:u w:val="none"/>
                <w:lang w:val="en-US" w:eastAsia="zh-CN" w:bidi="ar"/>
              </w:rPr>
              <w:t>平方米</w:t>
            </w:r>
          </w:p>
        </w:tc>
      </w:tr>
      <w:tr w14:paraId="4E582E02">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5702EC">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30</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4598923F">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二纺机</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2F145FB0">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44</w:t>
            </w: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7471FB4E">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丰乐大道与明光路交口东北角</w:t>
            </w:r>
          </w:p>
        </w:tc>
        <w:tc>
          <w:tcPr>
            <w:tcW w:w="2115" w:type="dxa"/>
            <w:tcBorders>
              <w:top w:val="single" w:color="auto" w:sz="4" w:space="0"/>
              <w:left w:val="nil"/>
              <w:bottom w:val="single" w:color="auto" w:sz="4" w:space="0"/>
              <w:right w:val="single" w:color="auto" w:sz="4" w:space="0"/>
            </w:tcBorders>
            <w:shd w:val="clear" w:color="auto" w:fill="auto"/>
            <w:noWrap/>
            <w:vAlign w:val="center"/>
          </w:tcPr>
          <w:p w14:paraId="0E07C9CF">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约</w:t>
            </w: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rPr>
              <w:t>00平方米</w:t>
            </w:r>
          </w:p>
        </w:tc>
      </w:tr>
      <w:tr w14:paraId="771EE840">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554F48">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31</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44BE498D">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扬子宾馆停车场管理用房</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21CA1D9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3BB0B329">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南谯路与清流路交口西侧200米</w:t>
            </w:r>
          </w:p>
        </w:tc>
        <w:tc>
          <w:tcPr>
            <w:tcW w:w="2115" w:type="dxa"/>
            <w:tcBorders>
              <w:top w:val="single" w:color="auto" w:sz="4" w:space="0"/>
              <w:left w:val="nil"/>
              <w:bottom w:val="single" w:color="auto" w:sz="4" w:space="0"/>
              <w:right w:val="single" w:color="auto" w:sz="4" w:space="0"/>
            </w:tcBorders>
            <w:shd w:val="clear" w:color="000000" w:fill="FFFFFF"/>
            <w:noWrap/>
            <w:vAlign w:val="center"/>
          </w:tcPr>
          <w:p w14:paraId="504BAADE">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约150平方米</w:t>
            </w:r>
          </w:p>
        </w:tc>
      </w:tr>
      <w:tr w14:paraId="1A28F14B">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3B5A5E">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32</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136F36F5">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小桥湖停车场厕所</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77A54FC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3232505B">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丰乐大道与清流路交口东南方向200米</w:t>
            </w:r>
          </w:p>
        </w:tc>
        <w:tc>
          <w:tcPr>
            <w:tcW w:w="2115" w:type="dxa"/>
            <w:tcBorders>
              <w:top w:val="single" w:color="auto" w:sz="4" w:space="0"/>
              <w:left w:val="nil"/>
              <w:bottom w:val="single" w:color="auto" w:sz="4" w:space="0"/>
              <w:right w:val="single" w:color="auto" w:sz="4" w:space="0"/>
            </w:tcBorders>
            <w:shd w:val="clear" w:color="000000" w:fill="FFFFFF"/>
            <w:noWrap/>
            <w:vAlign w:val="center"/>
          </w:tcPr>
          <w:p w14:paraId="184A7495">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highlight w:val="none"/>
              </w:rPr>
            </w:pPr>
          </w:p>
        </w:tc>
      </w:tr>
      <w:tr w14:paraId="4E67C866">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F55515">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33</w:t>
            </w:r>
          </w:p>
        </w:tc>
        <w:tc>
          <w:tcPr>
            <w:tcW w:w="1937" w:type="dxa"/>
            <w:tcBorders>
              <w:top w:val="single" w:color="auto" w:sz="4" w:space="0"/>
              <w:left w:val="nil"/>
              <w:bottom w:val="single" w:color="auto" w:sz="4" w:space="0"/>
              <w:right w:val="single" w:color="auto" w:sz="4" w:space="0"/>
            </w:tcBorders>
            <w:shd w:val="clear" w:color="auto" w:fill="auto"/>
            <w:noWrap/>
            <w:vAlign w:val="center"/>
          </w:tcPr>
          <w:p w14:paraId="24B5874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职业技术学院停车场公厕</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794C8251">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p>
        </w:tc>
        <w:tc>
          <w:tcPr>
            <w:tcW w:w="3120" w:type="dxa"/>
            <w:tcBorders>
              <w:top w:val="single" w:color="auto" w:sz="4" w:space="0"/>
              <w:left w:val="nil"/>
              <w:bottom w:val="single" w:color="auto" w:sz="4" w:space="0"/>
              <w:right w:val="single" w:color="auto" w:sz="4" w:space="0"/>
            </w:tcBorders>
            <w:shd w:val="clear" w:color="auto" w:fill="auto"/>
            <w:noWrap/>
            <w:vAlign w:val="center"/>
          </w:tcPr>
          <w:p w14:paraId="7CD46EB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敬梓路与西涧路交口东南角，城际铁路线区域内</w:t>
            </w:r>
          </w:p>
        </w:tc>
        <w:tc>
          <w:tcPr>
            <w:tcW w:w="2115" w:type="dxa"/>
            <w:tcBorders>
              <w:top w:val="single" w:color="auto" w:sz="4" w:space="0"/>
              <w:left w:val="nil"/>
              <w:bottom w:val="single" w:color="auto" w:sz="4" w:space="0"/>
              <w:right w:val="single" w:color="auto" w:sz="4" w:space="0"/>
            </w:tcBorders>
            <w:shd w:val="clear" w:color="000000" w:fill="FFFFFF"/>
            <w:noWrap/>
            <w:vAlign w:val="center"/>
          </w:tcPr>
          <w:p w14:paraId="0880728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highlight w:val="none"/>
              </w:rPr>
            </w:pPr>
          </w:p>
        </w:tc>
      </w:tr>
    </w:tbl>
    <w:p w14:paraId="6C4E902F">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highlight w:val="none"/>
        </w:rPr>
      </w:pPr>
      <w:bookmarkStart w:id="67" w:name="_Toc17735_WPSOffice_Level1"/>
      <w:bookmarkStart w:id="68" w:name="_Toc28508"/>
      <w:r>
        <w:rPr>
          <w:rFonts w:hint="eastAsia" w:ascii="宋体" w:hAnsi="宋体" w:eastAsia="宋体" w:cs="宋体"/>
          <w:b/>
          <w:bCs/>
          <w:color w:val="auto"/>
          <w:sz w:val="24"/>
          <w:szCs w:val="24"/>
          <w:highlight w:val="none"/>
        </w:rPr>
        <w:t>二、</w:t>
      </w:r>
      <w:bookmarkEnd w:id="67"/>
      <w:bookmarkEnd w:id="68"/>
      <w:r>
        <w:rPr>
          <w:rFonts w:hint="eastAsia" w:ascii="宋体" w:hAnsi="宋体" w:eastAsia="宋体" w:cs="宋体"/>
          <w:b/>
          <w:bCs/>
          <w:color w:val="auto"/>
          <w:sz w:val="24"/>
          <w:szCs w:val="24"/>
          <w:highlight w:val="none"/>
        </w:rPr>
        <w:t>服务期限</w:t>
      </w:r>
    </w:p>
    <w:p w14:paraId="7CC824BE">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20" w:firstLineChars="200"/>
        <w:textAlignment w:val="baseline"/>
        <w:rPr>
          <w:rFonts w:hint="eastAsia" w:ascii="宋体" w:hAnsi="宋体" w:eastAsia="宋体" w:cs="宋体"/>
          <w:color w:val="auto"/>
          <w:kern w:val="2"/>
          <w:sz w:val="21"/>
          <w:szCs w:val="21"/>
          <w:highlight w:val="none"/>
          <w:u w:val="none" w:color="000000"/>
          <w:lang w:val="en-US" w:eastAsia="zh-CN" w:bidi="ar-SA"/>
        </w:rPr>
      </w:pPr>
      <w:bookmarkStart w:id="69" w:name="_Toc13256"/>
      <w:bookmarkStart w:id="70" w:name="_Toc175"/>
      <w:bookmarkStart w:id="71" w:name="_Toc6553"/>
      <w:bookmarkStart w:id="72" w:name="_Toc5967"/>
      <w:bookmarkStart w:id="73" w:name="_Toc11011"/>
      <w:r>
        <w:rPr>
          <w:rFonts w:hint="eastAsia" w:ascii="宋体" w:hAnsi="宋体" w:eastAsia="宋体" w:cs="宋体"/>
          <w:color w:val="auto"/>
          <w:kern w:val="2"/>
          <w:sz w:val="21"/>
          <w:szCs w:val="21"/>
          <w:highlight w:val="none"/>
          <w:u w:val="none" w:color="000000"/>
          <w:lang w:val="en-US" w:eastAsia="zh-CN" w:bidi="ar-SA"/>
        </w:rPr>
        <w:t>一年。服务期内招标人逐月对中标人进行考核，年底汇总，如考核合格，招标人将与其续签合同（一年）。</w:t>
      </w:r>
    </w:p>
    <w:p w14:paraId="4A7257E3">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三、项目管控要求</w:t>
      </w:r>
      <w:bookmarkEnd w:id="69"/>
      <w:bookmarkEnd w:id="70"/>
      <w:bookmarkEnd w:id="71"/>
      <w:bookmarkEnd w:id="72"/>
      <w:bookmarkEnd w:id="73"/>
    </w:p>
    <w:p w14:paraId="3608DB17">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highlight w:val="none"/>
        </w:rPr>
      </w:pPr>
      <w:r>
        <w:rPr>
          <w:rFonts w:hint="eastAsia" w:ascii="宋体" w:hAnsi="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.保洁人员要求</w:t>
      </w:r>
    </w:p>
    <w:p w14:paraId="2F75201E">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（1）身体健康，工作责任心强，无被收容教育、强制隔离戒毒、劳动教养、治安刑事处罚等记录。能胜任工作，无高血压、先天性心脏病等影响工作的一系列疾病。</w:t>
      </w:r>
    </w:p>
    <w:p w14:paraId="2F417701">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（2）所有保洁人员均须做好岗前培训，熟悉项目现场具体情况后，方能上岗。</w:t>
      </w:r>
    </w:p>
    <w:p w14:paraId="09222483">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（3）所有服务人员需精神面貌良好、身体健康、品行良好、工作热情、责任心强等条件。</w:t>
      </w:r>
    </w:p>
    <w:p w14:paraId="71BDFDD5">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（4）服务期内服务人员与上述要求不符的，中标方应及时更换且需在更换前5个工作日内向招标方提供更换人员的名单及其相关资料。</w:t>
      </w:r>
    </w:p>
    <w:p w14:paraId="37EC8489">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default"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5）服务期内，中标人须对所有人员购买社会保险，如达到退休年龄无法购买社保的，须对该类人员购买雇主责任险（保额为80万元），中标人须每月向招标人提交购买保险的证明材料。如无法提供，视为违约，招标人有权单方解除合同。</w:t>
      </w:r>
    </w:p>
    <w:p w14:paraId="2B1E0045">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highlight w:val="none"/>
        </w:rPr>
      </w:pP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w:t>
      </w:r>
      <w:r>
        <w:rPr>
          <w:rFonts w:hint="eastAsia" w:ascii="宋体" w:hAnsi="宋体" w:cs="宋体"/>
          <w:b/>
          <w:bCs/>
          <w:color w:val="auto"/>
          <w:sz w:val="21"/>
          <w:szCs w:val="21"/>
          <w:highlight w:val="none"/>
          <w:lang w:val="en-US" w:eastAsia="zh-CN"/>
        </w:rPr>
        <w:t>保洁卫生</w:t>
      </w:r>
      <w:r>
        <w:rPr>
          <w:rFonts w:hint="eastAsia" w:ascii="宋体" w:hAnsi="宋体" w:eastAsia="宋体" w:cs="宋体"/>
          <w:b/>
          <w:bCs/>
          <w:color w:val="auto"/>
          <w:sz w:val="21"/>
          <w:szCs w:val="21"/>
          <w:highlight w:val="none"/>
        </w:rPr>
        <w:t>要求</w:t>
      </w:r>
    </w:p>
    <w:p w14:paraId="169EDA30">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保洁必须严格按照保洁服务执行。合同期内，以保洁工作质量和效果为最终标准，具体以招标方书面通知为准。</w:t>
      </w:r>
    </w:p>
    <w:tbl>
      <w:tblPr>
        <w:tblStyle w:val="38"/>
        <w:tblW w:w="7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2571"/>
        <w:gridCol w:w="4618"/>
      </w:tblGrid>
      <w:tr w14:paraId="1252A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71AE3B47">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highlight w:val="none"/>
              </w:rPr>
            </w:pPr>
            <w:r>
              <w:rPr>
                <w:rFonts w:hint="eastAsia" w:ascii="宋体" w:hAnsi="宋体" w:eastAsia="宋体" w:cs="宋体"/>
                <w:b/>
                <w:bCs/>
                <w:color w:val="auto"/>
                <w:kern w:val="0"/>
                <w:sz w:val="21"/>
                <w:szCs w:val="21"/>
                <w:highlight w:val="none"/>
              </w:rPr>
              <w:t>序号</w:t>
            </w:r>
          </w:p>
        </w:tc>
        <w:tc>
          <w:tcPr>
            <w:tcW w:w="2571" w:type="dxa"/>
            <w:tcBorders>
              <w:top w:val="single" w:color="auto" w:sz="4" w:space="0"/>
              <w:left w:val="single" w:color="auto" w:sz="4" w:space="0"/>
              <w:bottom w:val="single" w:color="auto" w:sz="4" w:space="0"/>
              <w:right w:val="single" w:color="auto" w:sz="4" w:space="0"/>
            </w:tcBorders>
            <w:vAlign w:val="center"/>
          </w:tcPr>
          <w:p w14:paraId="160020A7">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highlight w:val="none"/>
              </w:rPr>
            </w:pPr>
            <w:r>
              <w:rPr>
                <w:rFonts w:hint="eastAsia" w:ascii="宋体" w:hAnsi="宋体" w:eastAsia="宋体" w:cs="宋体"/>
                <w:b/>
                <w:bCs/>
                <w:color w:val="auto"/>
                <w:kern w:val="0"/>
                <w:sz w:val="21"/>
                <w:szCs w:val="21"/>
                <w:highlight w:val="none"/>
              </w:rPr>
              <w:t>停车场</w:t>
            </w:r>
          </w:p>
        </w:tc>
        <w:tc>
          <w:tcPr>
            <w:tcW w:w="4618" w:type="dxa"/>
            <w:tcBorders>
              <w:top w:val="single" w:color="auto" w:sz="4" w:space="0"/>
              <w:left w:val="single" w:color="auto" w:sz="4" w:space="0"/>
              <w:bottom w:val="single" w:color="auto" w:sz="4" w:space="0"/>
              <w:right w:val="single" w:color="auto" w:sz="4" w:space="0"/>
            </w:tcBorders>
            <w:vAlign w:val="center"/>
          </w:tcPr>
          <w:p w14:paraId="0D4606F5">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作业内容</w:t>
            </w:r>
          </w:p>
        </w:tc>
      </w:tr>
      <w:tr w14:paraId="4882B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5C1D787C">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571" w:type="dxa"/>
            <w:tcBorders>
              <w:top w:val="single" w:color="auto" w:sz="4" w:space="0"/>
              <w:left w:val="single" w:color="auto" w:sz="4" w:space="0"/>
              <w:bottom w:val="single" w:color="auto" w:sz="4" w:space="0"/>
              <w:right w:val="single" w:color="auto" w:sz="4" w:space="0"/>
            </w:tcBorders>
            <w:vAlign w:val="center"/>
          </w:tcPr>
          <w:p w14:paraId="54F1496C">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育新西路</w:t>
            </w:r>
          </w:p>
        </w:tc>
        <w:tc>
          <w:tcPr>
            <w:tcW w:w="4618" w:type="dxa"/>
            <w:vMerge w:val="restart"/>
            <w:tcBorders>
              <w:top w:val="single" w:color="auto" w:sz="4" w:space="0"/>
              <w:left w:val="single" w:color="auto" w:sz="4" w:space="0"/>
              <w:right w:val="single" w:color="auto" w:sz="4" w:space="0"/>
            </w:tcBorders>
            <w:vAlign w:val="center"/>
          </w:tcPr>
          <w:p w14:paraId="158371D9">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面干净，无杂物，无明显油渍、污渍；停车场内设备、灯具表面干净、蛛网；停车场内垃圾桶杂物超过2/3应及时倾倒；各种指示牌表面干净；消防器材表面干净，摆放整齐；减速带表面干净无明显污迹，各种道闸表面干净无明显污迹；</w:t>
            </w:r>
          </w:p>
        </w:tc>
      </w:tr>
      <w:tr w14:paraId="4EB7F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1DEC7C11">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571" w:type="dxa"/>
            <w:tcBorders>
              <w:top w:val="single" w:color="auto" w:sz="4" w:space="0"/>
              <w:left w:val="single" w:color="auto" w:sz="4" w:space="0"/>
              <w:bottom w:val="nil"/>
              <w:right w:val="single" w:color="auto" w:sz="4" w:space="0"/>
            </w:tcBorders>
            <w:vAlign w:val="center"/>
          </w:tcPr>
          <w:p w14:paraId="65CEFD48">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明光路</w:t>
            </w:r>
          </w:p>
        </w:tc>
        <w:tc>
          <w:tcPr>
            <w:tcW w:w="4618" w:type="dxa"/>
            <w:vMerge w:val="continue"/>
            <w:tcBorders>
              <w:left w:val="single" w:color="auto" w:sz="4" w:space="0"/>
              <w:right w:val="single" w:color="auto" w:sz="4" w:space="0"/>
            </w:tcBorders>
            <w:vAlign w:val="center"/>
          </w:tcPr>
          <w:p w14:paraId="3096E388">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03CE2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28A52FE7">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571" w:type="dxa"/>
            <w:tcBorders>
              <w:top w:val="single" w:color="auto" w:sz="4" w:space="0"/>
              <w:left w:val="single" w:color="auto" w:sz="4" w:space="0"/>
              <w:bottom w:val="single" w:color="auto" w:sz="4" w:space="0"/>
              <w:right w:val="single" w:color="auto" w:sz="4" w:space="0"/>
            </w:tcBorders>
            <w:vAlign w:val="center"/>
          </w:tcPr>
          <w:p w14:paraId="243BAF3F">
            <w:pPr>
              <w:keepNext w:val="0"/>
              <w:keepLines w:val="0"/>
              <w:pageBreakBefore w:val="0"/>
              <w:kinsoku/>
              <w:wordWrap/>
              <w:overflowPunct/>
              <w:topLinePunct w:val="0"/>
              <w:autoSpaceDE/>
              <w:autoSpaceDN/>
              <w:bidi w:val="0"/>
              <w:adjustRightInd/>
              <w:snapToGrid/>
              <w:spacing w:line="440" w:lineRule="exact"/>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怡景园</w:t>
            </w:r>
          </w:p>
        </w:tc>
        <w:tc>
          <w:tcPr>
            <w:tcW w:w="4618" w:type="dxa"/>
            <w:vMerge w:val="continue"/>
            <w:tcBorders>
              <w:left w:val="single" w:color="auto" w:sz="4" w:space="0"/>
              <w:right w:val="single" w:color="auto" w:sz="4" w:space="0"/>
            </w:tcBorders>
            <w:vAlign w:val="center"/>
          </w:tcPr>
          <w:p w14:paraId="019FDE18">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43A5B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75EE0541">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571" w:type="dxa"/>
            <w:tcBorders>
              <w:top w:val="single" w:color="auto" w:sz="4" w:space="0"/>
              <w:left w:val="single" w:color="auto" w:sz="4" w:space="0"/>
              <w:bottom w:val="single" w:color="auto" w:sz="4" w:space="0"/>
              <w:right w:val="single" w:color="auto" w:sz="4" w:space="0"/>
            </w:tcBorders>
            <w:vAlign w:val="center"/>
          </w:tcPr>
          <w:p w14:paraId="6064989F">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王桥</w:t>
            </w:r>
          </w:p>
        </w:tc>
        <w:tc>
          <w:tcPr>
            <w:tcW w:w="4618" w:type="dxa"/>
            <w:vMerge w:val="continue"/>
            <w:tcBorders>
              <w:left w:val="single" w:color="auto" w:sz="4" w:space="0"/>
              <w:right w:val="single" w:color="auto" w:sz="4" w:space="0"/>
            </w:tcBorders>
            <w:vAlign w:val="center"/>
          </w:tcPr>
          <w:p w14:paraId="511123A5">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09149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715E4ABE">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571" w:type="dxa"/>
            <w:tcBorders>
              <w:top w:val="single" w:color="auto" w:sz="4" w:space="0"/>
              <w:left w:val="single" w:color="auto" w:sz="4" w:space="0"/>
              <w:bottom w:val="single" w:color="auto" w:sz="4" w:space="0"/>
              <w:right w:val="single" w:color="auto" w:sz="4" w:space="0"/>
            </w:tcBorders>
            <w:vAlign w:val="center"/>
          </w:tcPr>
          <w:p w14:paraId="485161FF">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小桥湖</w:t>
            </w:r>
          </w:p>
        </w:tc>
        <w:tc>
          <w:tcPr>
            <w:tcW w:w="4618" w:type="dxa"/>
            <w:vMerge w:val="continue"/>
            <w:tcBorders>
              <w:left w:val="single" w:color="auto" w:sz="4" w:space="0"/>
              <w:right w:val="single" w:color="auto" w:sz="4" w:space="0"/>
            </w:tcBorders>
            <w:vAlign w:val="center"/>
          </w:tcPr>
          <w:p w14:paraId="0A89073A">
            <w:pPr>
              <w:keepNext w:val="0"/>
              <w:keepLines w:val="0"/>
              <w:pageBreakBefore w:val="0"/>
              <w:kinsoku/>
              <w:wordWrap/>
              <w:overflowPunct/>
              <w:topLinePunct w:val="0"/>
              <w:autoSpaceDE/>
              <w:autoSpaceDN/>
              <w:bidi w:val="0"/>
              <w:adjustRightInd/>
              <w:snapToGrid/>
              <w:spacing w:line="440" w:lineRule="exact"/>
              <w:ind w:left="240" w:hanging="210" w:hangingChars="100"/>
              <w:jc w:val="center"/>
              <w:textAlignment w:val="baseline"/>
              <w:rPr>
                <w:rFonts w:hint="eastAsia" w:ascii="宋体" w:hAnsi="宋体" w:eastAsia="宋体" w:cs="宋体"/>
                <w:color w:val="auto"/>
                <w:sz w:val="21"/>
                <w:szCs w:val="21"/>
                <w:highlight w:val="none"/>
              </w:rPr>
            </w:pPr>
          </w:p>
        </w:tc>
      </w:tr>
      <w:tr w14:paraId="07D10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26A42357">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571" w:type="dxa"/>
            <w:tcBorders>
              <w:top w:val="single" w:color="auto" w:sz="4" w:space="0"/>
              <w:left w:val="single" w:color="auto" w:sz="4" w:space="0"/>
              <w:bottom w:val="single" w:color="auto" w:sz="4" w:space="0"/>
              <w:right w:val="single" w:color="auto" w:sz="4" w:space="0"/>
            </w:tcBorders>
            <w:vAlign w:val="center"/>
          </w:tcPr>
          <w:p w14:paraId="38F98EC1">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明珠园</w:t>
            </w:r>
          </w:p>
        </w:tc>
        <w:tc>
          <w:tcPr>
            <w:tcW w:w="4618" w:type="dxa"/>
            <w:vMerge w:val="continue"/>
            <w:tcBorders>
              <w:left w:val="single" w:color="auto" w:sz="4" w:space="0"/>
              <w:right w:val="single" w:color="auto" w:sz="4" w:space="0"/>
            </w:tcBorders>
            <w:vAlign w:val="center"/>
          </w:tcPr>
          <w:p w14:paraId="50E6AAE7">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3D3E8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49FE7DF4">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71" w:type="dxa"/>
            <w:tcBorders>
              <w:top w:val="single" w:color="auto" w:sz="4" w:space="0"/>
              <w:left w:val="single" w:color="auto" w:sz="4" w:space="0"/>
              <w:bottom w:val="single" w:color="auto" w:sz="4" w:space="0"/>
              <w:right w:val="single" w:color="auto" w:sz="4" w:space="0"/>
            </w:tcBorders>
            <w:vAlign w:val="center"/>
          </w:tcPr>
          <w:p w14:paraId="5CFB4299">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三里亭</w:t>
            </w:r>
          </w:p>
        </w:tc>
        <w:tc>
          <w:tcPr>
            <w:tcW w:w="4618" w:type="dxa"/>
            <w:vMerge w:val="continue"/>
            <w:tcBorders>
              <w:left w:val="single" w:color="auto" w:sz="4" w:space="0"/>
              <w:right w:val="single" w:color="auto" w:sz="4" w:space="0"/>
            </w:tcBorders>
            <w:vAlign w:val="center"/>
          </w:tcPr>
          <w:p w14:paraId="1098E3BD">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6A2C3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1E0FF2FA">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2571" w:type="dxa"/>
            <w:tcBorders>
              <w:top w:val="single" w:color="auto" w:sz="4" w:space="0"/>
              <w:left w:val="single" w:color="auto" w:sz="4" w:space="0"/>
              <w:bottom w:val="single" w:color="auto" w:sz="4" w:space="0"/>
              <w:right w:val="single" w:color="auto" w:sz="4" w:space="0"/>
            </w:tcBorders>
            <w:vAlign w:val="center"/>
          </w:tcPr>
          <w:p w14:paraId="3B94BF67">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一附小</w:t>
            </w:r>
          </w:p>
        </w:tc>
        <w:tc>
          <w:tcPr>
            <w:tcW w:w="4618" w:type="dxa"/>
            <w:vMerge w:val="continue"/>
            <w:tcBorders>
              <w:left w:val="single" w:color="auto" w:sz="4" w:space="0"/>
              <w:right w:val="single" w:color="auto" w:sz="4" w:space="0"/>
            </w:tcBorders>
            <w:vAlign w:val="center"/>
          </w:tcPr>
          <w:p w14:paraId="0FD4D384">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0F363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2A6EEF67">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2571" w:type="dxa"/>
            <w:tcBorders>
              <w:top w:val="single" w:color="auto" w:sz="4" w:space="0"/>
              <w:left w:val="single" w:color="auto" w:sz="4" w:space="0"/>
              <w:bottom w:val="single" w:color="auto" w:sz="4" w:space="0"/>
              <w:right w:val="single" w:color="auto" w:sz="4" w:space="0"/>
            </w:tcBorders>
            <w:vAlign w:val="center"/>
          </w:tcPr>
          <w:p w14:paraId="1CEA6486">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青琅茶楼</w:t>
            </w:r>
          </w:p>
        </w:tc>
        <w:tc>
          <w:tcPr>
            <w:tcW w:w="4618" w:type="dxa"/>
            <w:vMerge w:val="continue"/>
            <w:tcBorders>
              <w:left w:val="single" w:color="auto" w:sz="4" w:space="0"/>
              <w:right w:val="single" w:color="auto" w:sz="4" w:space="0"/>
            </w:tcBorders>
            <w:vAlign w:val="center"/>
          </w:tcPr>
          <w:p w14:paraId="257CBD41">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1D395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23D57D9A">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2571" w:type="dxa"/>
            <w:tcBorders>
              <w:top w:val="single" w:color="auto" w:sz="4" w:space="0"/>
              <w:left w:val="single" w:color="auto" w:sz="4" w:space="0"/>
              <w:bottom w:val="single" w:color="auto" w:sz="4" w:space="0"/>
              <w:right w:val="single" w:color="auto" w:sz="4" w:space="0"/>
            </w:tcBorders>
            <w:vAlign w:val="center"/>
          </w:tcPr>
          <w:p w14:paraId="4E1BA2F5">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文德街</w:t>
            </w:r>
          </w:p>
        </w:tc>
        <w:tc>
          <w:tcPr>
            <w:tcW w:w="4618" w:type="dxa"/>
            <w:vMerge w:val="continue"/>
            <w:tcBorders>
              <w:left w:val="single" w:color="auto" w:sz="4" w:space="0"/>
              <w:right w:val="single" w:color="auto" w:sz="4" w:space="0"/>
            </w:tcBorders>
            <w:vAlign w:val="center"/>
          </w:tcPr>
          <w:p w14:paraId="2BE67565">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2BB41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4A247B16">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71" w:type="dxa"/>
            <w:tcBorders>
              <w:top w:val="single" w:color="auto" w:sz="4" w:space="0"/>
              <w:left w:val="single" w:color="auto" w:sz="4" w:space="0"/>
              <w:bottom w:val="single" w:color="auto" w:sz="4" w:space="0"/>
              <w:right w:val="single" w:color="auto" w:sz="4" w:space="0"/>
            </w:tcBorders>
            <w:vAlign w:val="center"/>
          </w:tcPr>
          <w:p w14:paraId="414CAFF7">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育新东路</w:t>
            </w:r>
          </w:p>
        </w:tc>
        <w:tc>
          <w:tcPr>
            <w:tcW w:w="4618" w:type="dxa"/>
            <w:vMerge w:val="continue"/>
            <w:tcBorders>
              <w:left w:val="single" w:color="auto" w:sz="4" w:space="0"/>
              <w:right w:val="single" w:color="auto" w:sz="4" w:space="0"/>
            </w:tcBorders>
            <w:vAlign w:val="center"/>
          </w:tcPr>
          <w:p w14:paraId="4D5D29EA">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46506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5E73E681">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71" w:type="dxa"/>
            <w:tcBorders>
              <w:top w:val="single" w:color="auto" w:sz="4" w:space="0"/>
              <w:left w:val="single" w:color="auto" w:sz="4" w:space="0"/>
              <w:bottom w:val="single" w:color="auto" w:sz="4" w:space="0"/>
              <w:right w:val="single" w:color="auto" w:sz="4" w:space="0"/>
            </w:tcBorders>
            <w:vAlign w:val="center"/>
          </w:tcPr>
          <w:p w14:paraId="7A2E2A9C">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西涧一村</w:t>
            </w:r>
          </w:p>
        </w:tc>
        <w:tc>
          <w:tcPr>
            <w:tcW w:w="4618" w:type="dxa"/>
            <w:vMerge w:val="continue"/>
            <w:tcBorders>
              <w:left w:val="single" w:color="auto" w:sz="4" w:space="0"/>
              <w:right w:val="single" w:color="auto" w:sz="4" w:space="0"/>
            </w:tcBorders>
            <w:vAlign w:val="center"/>
          </w:tcPr>
          <w:p w14:paraId="42050C09">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7D1A5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2652ECB4">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71" w:type="dxa"/>
            <w:tcBorders>
              <w:top w:val="single" w:color="auto" w:sz="4" w:space="0"/>
              <w:left w:val="single" w:color="auto" w:sz="4" w:space="0"/>
              <w:bottom w:val="single" w:color="auto" w:sz="4" w:space="0"/>
              <w:right w:val="single" w:color="auto" w:sz="4" w:space="0"/>
            </w:tcBorders>
            <w:vAlign w:val="center"/>
          </w:tcPr>
          <w:p w14:paraId="7C0939FB">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扬子宾馆</w:t>
            </w:r>
          </w:p>
        </w:tc>
        <w:tc>
          <w:tcPr>
            <w:tcW w:w="4618" w:type="dxa"/>
            <w:vMerge w:val="continue"/>
            <w:tcBorders>
              <w:left w:val="single" w:color="auto" w:sz="4" w:space="0"/>
              <w:right w:val="single" w:color="auto" w:sz="4" w:space="0"/>
            </w:tcBorders>
            <w:vAlign w:val="center"/>
          </w:tcPr>
          <w:p w14:paraId="43C5B3FC">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37CA4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283A6402">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71" w:type="dxa"/>
            <w:tcBorders>
              <w:top w:val="single" w:color="auto" w:sz="4" w:space="0"/>
              <w:left w:val="single" w:color="auto" w:sz="4" w:space="0"/>
              <w:bottom w:val="single" w:color="auto" w:sz="4" w:space="0"/>
              <w:right w:val="single" w:color="auto" w:sz="4" w:space="0"/>
            </w:tcBorders>
            <w:vAlign w:val="center"/>
          </w:tcPr>
          <w:p w14:paraId="06AE7FBF">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南小庄</w:t>
            </w:r>
          </w:p>
        </w:tc>
        <w:tc>
          <w:tcPr>
            <w:tcW w:w="4618" w:type="dxa"/>
            <w:vMerge w:val="continue"/>
            <w:tcBorders>
              <w:left w:val="single" w:color="auto" w:sz="4" w:space="0"/>
              <w:right w:val="single" w:color="auto" w:sz="4" w:space="0"/>
            </w:tcBorders>
            <w:vAlign w:val="center"/>
          </w:tcPr>
          <w:p w14:paraId="2F2D2D76">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5CD60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2C21F1B6">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71" w:type="dxa"/>
            <w:tcBorders>
              <w:top w:val="single" w:color="auto" w:sz="4" w:space="0"/>
              <w:left w:val="single" w:color="auto" w:sz="4" w:space="0"/>
              <w:bottom w:val="single" w:color="auto" w:sz="4" w:space="0"/>
              <w:right w:val="single" w:color="auto" w:sz="4" w:space="0"/>
            </w:tcBorders>
            <w:vAlign w:val="center"/>
          </w:tcPr>
          <w:p w14:paraId="5B87274F">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紫西社区</w:t>
            </w:r>
          </w:p>
        </w:tc>
        <w:tc>
          <w:tcPr>
            <w:tcW w:w="4618" w:type="dxa"/>
            <w:vMerge w:val="continue"/>
            <w:tcBorders>
              <w:left w:val="single" w:color="auto" w:sz="4" w:space="0"/>
              <w:right w:val="single" w:color="auto" w:sz="4" w:space="0"/>
            </w:tcBorders>
            <w:vAlign w:val="center"/>
          </w:tcPr>
          <w:p w14:paraId="5FEDAE31">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474BF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4FA2AE8A">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2571" w:type="dxa"/>
            <w:tcBorders>
              <w:top w:val="single" w:color="auto" w:sz="4" w:space="0"/>
              <w:left w:val="single" w:color="auto" w:sz="4" w:space="0"/>
              <w:bottom w:val="single" w:color="auto" w:sz="4" w:space="0"/>
              <w:right w:val="single" w:color="auto" w:sz="4" w:space="0"/>
            </w:tcBorders>
            <w:vAlign w:val="center"/>
          </w:tcPr>
          <w:p w14:paraId="24112B6D">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金地大酒店东侧</w:t>
            </w:r>
          </w:p>
        </w:tc>
        <w:tc>
          <w:tcPr>
            <w:tcW w:w="4618" w:type="dxa"/>
            <w:vMerge w:val="continue"/>
            <w:tcBorders>
              <w:left w:val="single" w:color="auto" w:sz="4" w:space="0"/>
              <w:right w:val="single" w:color="auto" w:sz="4" w:space="0"/>
            </w:tcBorders>
            <w:vAlign w:val="center"/>
          </w:tcPr>
          <w:p w14:paraId="25081BA7">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6D4B1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7F71DFBD">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2571" w:type="dxa"/>
            <w:tcBorders>
              <w:top w:val="single" w:color="auto" w:sz="4" w:space="0"/>
              <w:left w:val="single" w:color="auto" w:sz="4" w:space="0"/>
              <w:bottom w:val="single" w:color="auto" w:sz="4" w:space="0"/>
              <w:right w:val="single" w:color="auto" w:sz="4" w:space="0"/>
            </w:tcBorders>
            <w:vAlign w:val="center"/>
          </w:tcPr>
          <w:p w14:paraId="3F872A19">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定远路建行宿舍</w:t>
            </w:r>
          </w:p>
        </w:tc>
        <w:tc>
          <w:tcPr>
            <w:tcW w:w="4618" w:type="dxa"/>
            <w:vMerge w:val="continue"/>
            <w:tcBorders>
              <w:left w:val="single" w:color="auto" w:sz="4" w:space="0"/>
              <w:right w:val="single" w:color="auto" w:sz="4" w:space="0"/>
            </w:tcBorders>
            <w:vAlign w:val="center"/>
          </w:tcPr>
          <w:p w14:paraId="5E69260F">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07E25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36D2AAAC">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2571" w:type="dxa"/>
            <w:tcBorders>
              <w:top w:val="single" w:color="auto" w:sz="4" w:space="0"/>
              <w:left w:val="single" w:color="auto" w:sz="4" w:space="0"/>
              <w:bottom w:val="single" w:color="auto" w:sz="4" w:space="0"/>
              <w:right w:val="single" w:color="auto" w:sz="4" w:space="0"/>
            </w:tcBorders>
            <w:vAlign w:val="center"/>
          </w:tcPr>
          <w:p w14:paraId="760A8FB5">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新生路</w:t>
            </w:r>
          </w:p>
        </w:tc>
        <w:tc>
          <w:tcPr>
            <w:tcW w:w="4618" w:type="dxa"/>
            <w:vMerge w:val="continue"/>
            <w:tcBorders>
              <w:left w:val="single" w:color="auto" w:sz="4" w:space="0"/>
              <w:right w:val="single" w:color="auto" w:sz="4" w:space="0"/>
            </w:tcBorders>
            <w:vAlign w:val="center"/>
          </w:tcPr>
          <w:p w14:paraId="48CBE446">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075BE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039E1615">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w:t>
            </w:r>
          </w:p>
        </w:tc>
        <w:tc>
          <w:tcPr>
            <w:tcW w:w="2571" w:type="dxa"/>
            <w:tcBorders>
              <w:top w:val="single" w:color="auto" w:sz="4" w:space="0"/>
              <w:left w:val="single" w:color="auto" w:sz="4" w:space="0"/>
              <w:bottom w:val="single" w:color="auto" w:sz="4" w:space="0"/>
              <w:right w:val="single" w:color="auto" w:sz="4" w:space="0"/>
            </w:tcBorders>
            <w:vAlign w:val="center"/>
          </w:tcPr>
          <w:p w14:paraId="4CFF534A">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卫校巷</w:t>
            </w:r>
          </w:p>
        </w:tc>
        <w:tc>
          <w:tcPr>
            <w:tcW w:w="4618" w:type="dxa"/>
            <w:vMerge w:val="continue"/>
            <w:tcBorders>
              <w:left w:val="single" w:color="auto" w:sz="4" w:space="0"/>
              <w:right w:val="single" w:color="auto" w:sz="4" w:space="0"/>
            </w:tcBorders>
            <w:vAlign w:val="center"/>
          </w:tcPr>
          <w:p w14:paraId="5AC54C59">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313DD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33F370C9">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2571" w:type="dxa"/>
            <w:tcBorders>
              <w:top w:val="single" w:color="auto" w:sz="4" w:space="0"/>
              <w:left w:val="single" w:color="auto" w:sz="4" w:space="0"/>
              <w:bottom w:val="single" w:color="auto" w:sz="4" w:space="0"/>
              <w:right w:val="single" w:color="auto" w:sz="4" w:space="0"/>
            </w:tcBorders>
            <w:vAlign w:val="center"/>
          </w:tcPr>
          <w:p w14:paraId="0B739D89">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裕安园</w:t>
            </w:r>
          </w:p>
        </w:tc>
        <w:tc>
          <w:tcPr>
            <w:tcW w:w="4618" w:type="dxa"/>
            <w:vMerge w:val="continue"/>
            <w:tcBorders>
              <w:left w:val="single" w:color="auto" w:sz="4" w:space="0"/>
              <w:right w:val="single" w:color="auto" w:sz="4" w:space="0"/>
            </w:tcBorders>
            <w:vAlign w:val="center"/>
          </w:tcPr>
          <w:p w14:paraId="22FF3600">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7EE84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10DFB821">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71" w:type="dxa"/>
            <w:tcBorders>
              <w:top w:val="single" w:color="auto" w:sz="4" w:space="0"/>
              <w:left w:val="single" w:color="auto" w:sz="4" w:space="0"/>
              <w:bottom w:val="single" w:color="auto" w:sz="4" w:space="0"/>
              <w:right w:val="single" w:color="auto" w:sz="4" w:space="0"/>
            </w:tcBorders>
            <w:vAlign w:val="center"/>
          </w:tcPr>
          <w:p w14:paraId="773C4BF5">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凤凰西路停车场</w:t>
            </w:r>
          </w:p>
        </w:tc>
        <w:tc>
          <w:tcPr>
            <w:tcW w:w="4618" w:type="dxa"/>
            <w:vMerge w:val="continue"/>
            <w:tcBorders>
              <w:left w:val="single" w:color="auto" w:sz="4" w:space="0"/>
              <w:right w:val="single" w:color="auto" w:sz="4" w:space="0"/>
            </w:tcBorders>
            <w:vAlign w:val="center"/>
          </w:tcPr>
          <w:p w14:paraId="6F892DAC">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685F0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532CC3B1">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2571" w:type="dxa"/>
            <w:tcBorders>
              <w:top w:val="single" w:color="auto" w:sz="4" w:space="0"/>
              <w:left w:val="single" w:color="auto" w:sz="4" w:space="0"/>
              <w:bottom w:val="single" w:color="auto" w:sz="4" w:space="0"/>
              <w:right w:val="single" w:color="auto" w:sz="4" w:space="0"/>
            </w:tcBorders>
            <w:vAlign w:val="center"/>
          </w:tcPr>
          <w:p w14:paraId="7017AFCF">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丰乐大道与凤凰路交口</w:t>
            </w:r>
          </w:p>
        </w:tc>
        <w:tc>
          <w:tcPr>
            <w:tcW w:w="4618" w:type="dxa"/>
            <w:vMerge w:val="continue"/>
            <w:tcBorders>
              <w:left w:val="single" w:color="auto" w:sz="4" w:space="0"/>
              <w:right w:val="single" w:color="auto" w:sz="4" w:space="0"/>
            </w:tcBorders>
            <w:vAlign w:val="center"/>
          </w:tcPr>
          <w:p w14:paraId="658DA962">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1B80A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6620198C">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71" w:type="dxa"/>
            <w:tcBorders>
              <w:top w:val="single" w:color="auto" w:sz="4" w:space="0"/>
              <w:left w:val="single" w:color="auto" w:sz="4" w:space="0"/>
              <w:bottom w:val="single" w:color="auto" w:sz="4" w:space="0"/>
              <w:right w:val="single" w:color="auto" w:sz="4" w:space="0"/>
            </w:tcBorders>
            <w:vAlign w:val="center"/>
          </w:tcPr>
          <w:p w14:paraId="5A674A22">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琴轩路</w:t>
            </w:r>
          </w:p>
        </w:tc>
        <w:tc>
          <w:tcPr>
            <w:tcW w:w="4618" w:type="dxa"/>
            <w:vMerge w:val="continue"/>
            <w:tcBorders>
              <w:left w:val="single" w:color="auto" w:sz="4" w:space="0"/>
              <w:bottom w:val="single" w:color="auto" w:sz="4" w:space="0"/>
              <w:right w:val="single" w:color="auto" w:sz="4" w:space="0"/>
            </w:tcBorders>
            <w:vAlign w:val="center"/>
          </w:tcPr>
          <w:p w14:paraId="51326E38">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01A5D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14:paraId="4E4CA1E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rPr>
              <w:t>24</w:t>
            </w:r>
          </w:p>
        </w:tc>
        <w:tc>
          <w:tcPr>
            <w:tcW w:w="2571" w:type="dxa"/>
            <w:tcBorders>
              <w:top w:val="single" w:color="auto" w:sz="4" w:space="0"/>
              <w:left w:val="single" w:color="auto" w:sz="4" w:space="0"/>
              <w:bottom w:val="single" w:color="auto" w:sz="4" w:space="0"/>
              <w:right w:val="single" w:color="auto" w:sz="4" w:space="0"/>
            </w:tcBorders>
            <w:shd w:val="clear" w:color="auto" w:fill="auto"/>
            <w:vAlign w:val="center"/>
          </w:tcPr>
          <w:p w14:paraId="117686F5">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老金煌菜场</w:t>
            </w:r>
          </w:p>
        </w:tc>
        <w:tc>
          <w:tcPr>
            <w:tcW w:w="4618" w:type="dxa"/>
            <w:tcBorders>
              <w:left w:val="single" w:color="auto" w:sz="4" w:space="0"/>
              <w:bottom w:val="single" w:color="auto" w:sz="4" w:space="0"/>
              <w:right w:val="single" w:color="auto" w:sz="4" w:space="0"/>
            </w:tcBorders>
            <w:vAlign w:val="center"/>
          </w:tcPr>
          <w:p w14:paraId="0FEE6AC2">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154FA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14:paraId="38FC85F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rPr>
              <w:t>25</w:t>
            </w:r>
          </w:p>
        </w:tc>
        <w:tc>
          <w:tcPr>
            <w:tcW w:w="2571" w:type="dxa"/>
            <w:tcBorders>
              <w:top w:val="single" w:color="auto" w:sz="4" w:space="0"/>
              <w:left w:val="single" w:color="auto" w:sz="4" w:space="0"/>
              <w:bottom w:val="single" w:color="auto" w:sz="4" w:space="0"/>
              <w:right w:val="single" w:color="auto" w:sz="4" w:space="0"/>
            </w:tcBorders>
            <w:shd w:val="clear" w:color="auto" w:fill="auto"/>
            <w:vAlign w:val="center"/>
          </w:tcPr>
          <w:p w14:paraId="5FD043F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来安路</w:t>
            </w:r>
          </w:p>
        </w:tc>
        <w:tc>
          <w:tcPr>
            <w:tcW w:w="4618" w:type="dxa"/>
            <w:tcBorders>
              <w:left w:val="single" w:color="auto" w:sz="4" w:space="0"/>
              <w:bottom w:val="single" w:color="auto" w:sz="4" w:space="0"/>
              <w:right w:val="single" w:color="auto" w:sz="4" w:space="0"/>
            </w:tcBorders>
            <w:vAlign w:val="center"/>
          </w:tcPr>
          <w:p w14:paraId="45B777ED">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65B1F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14:paraId="1B04929A">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rPr>
              <w:t>26</w:t>
            </w:r>
          </w:p>
        </w:tc>
        <w:tc>
          <w:tcPr>
            <w:tcW w:w="2571" w:type="dxa"/>
            <w:tcBorders>
              <w:top w:val="single" w:color="auto" w:sz="4" w:space="0"/>
              <w:left w:val="single" w:color="auto" w:sz="4" w:space="0"/>
              <w:bottom w:val="single" w:color="auto" w:sz="4" w:space="0"/>
              <w:right w:val="single" w:color="auto" w:sz="4" w:space="0"/>
            </w:tcBorders>
            <w:shd w:val="clear" w:color="auto" w:fill="auto"/>
            <w:vAlign w:val="center"/>
          </w:tcPr>
          <w:p w14:paraId="193C2295">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花博园城铁站</w:t>
            </w:r>
          </w:p>
        </w:tc>
        <w:tc>
          <w:tcPr>
            <w:tcW w:w="4618" w:type="dxa"/>
            <w:tcBorders>
              <w:left w:val="single" w:color="auto" w:sz="4" w:space="0"/>
              <w:bottom w:val="single" w:color="auto" w:sz="4" w:space="0"/>
              <w:right w:val="single" w:color="auto" w:sz="4" w:space="0"/>
            </w:tcBorders>
            <w:vAlign w:val="center"/>
          </w:tcPr>
          <w:p w14:paraId="6A4DA42A">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32800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14:paraId="78C5A04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rPr>
              <w:t>27</w:t>
            </w:r>
          </w:p>
        </w:tc>
        <w:tc>
          <w:tcPr>
            <w:tcW w:w="2571" w:type="dxa"/>
            <w:tcBorders>
              <w:top w:val="single" w:color="auto" w:sz="4" w:space="0"/>
              <w:left w:val="single" w:color="auto" w:sz="4" w:space="0"/>
              <w:bottom w:val="single" w:color="auto" w:sz="4" w:space="0"/>
              <w:right w:val="single" w:color="auto" w:sz="4" w:space="0"/>
            </w:tcBorders>
            <w:shd w:val="clear" w:color="auto" w:fill="auto"/>
            <w:vAlign w:val="center"/>
          </w:tcPr>
          <w:p w14:paraId="0BD46376">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八中南侧</w:t>
            </w:r>
          </w:p>
        </w:tc>
        <w:tc>
          <w:tcPr>
            <w:tcW w:w="4618" w:type="dxa"/>
            <w:tcBorders>
              <w:left w:val="single" w:color="auto" w:sz="4" w:space="0"/>
              <w:bottom w:val="single" w:color="auto" w:sz="4" w:space="0"/>
              <w:right w:val="single" w:color="auto" w:sz="4" w:space="0"/>
            </w:tcBorders>
            <w:vAlign w:val="center"/>
          </w:tcPr>
          <w:p w14:paraId="4D58BA57">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01DCC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14:paraId="52E3F8B8">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rPr>
              <w:t>28</w:t>
            </w:r>
          </w:p>
        </w:tc>
        <w:tc>
          <w:tcPr>
            <w:tcW w:w="2571" w:type="dxa"/>
            <w:tcBorders>
              <w:top w:val="single" w:color="auto" w:sz="4" w:space="0"/>
              <w:left w:val="single" w:color="auto" w:sz="4" w:space="0"/>
              <w:bottom w:val="single" w:color="auto" w:sz="4" w:space="0"/>
              <w:right w:val="single" w:color="auto" w:sz="4" w:space="0"/>
            </w:tcBorders>
            <w:shd w:val="clear" w:color="auto" w:fill="auto"/>
            <w:vAlign w:val="center"/>
          </w:tcPr>
          <w:p w14:paraId="40BA26E3">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县府西巷</w:t>
            </w:r>
          </w:p>
        </w:tc>
        <w:tc>
          <w:tcPr>
            <w:tcW w:w="4618" w:type="dxa"/>
            <w:tcBorders>
              <w:left w:val="single" w:color="auto" w:sz="4" w:space="0"/>
              <w:bottom w:val="single" w:color="auto" w:sz="4" w:space="0"/>
              <w:right w:val="single" w:color="auto" w:sz="4" w:space="0"/>
            </w:tcBorders>
            <w:vAlign w:val="center"/>
          </w:tcPr>
          <w:p w14:paraId="1A034D9D">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73CAE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14:paraId="77296BF7">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rPr>
              <w:t>29</w:t>
            </w:r>
          </w:p>
        </w:tc>
        <w:tc>
          <w:tcPr>
            <w:tcW w:w="2571" w:type="dxa"/>
            <w:tcBorders>
              <w:top w:val="single" w:color="auto" w:sz="4" w:space="0"/>
              <w:left w:val="single" w:color="auto" w:sz="4" w:space="0"/>
              <w:bottom w:val="single" w:color="auto" w:sz="4" w:space="0"/>
              <w:right w:val="single" w:color="auto" w:sz="4" w:space="0"/>
            </w:tcBorders>
            <w:shd w:val="clear" w:color="auto" w:fill="auto"/>
            <w:vAlign w:val="center"/>
          </w:tcPr>
          <w:p w14:paraId="761EB09E">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 xml:space="preserve">人民西路 </w:t>
            </w:r>
          </w:p>
        </w:tc>
        <w:tc>
          <w:tcPr>
            <w:tcW w:w="4618" w:type="dxa"/>
            <w:tcBorders>
              <w:left w:val="single" w:color="auto" w:sz="4" w:space="0"/>
              <w:bottom w:val="single" w:color="auto" w:sz="4" w:space="0"/>
              <w:right w:val="single" w:color="auto" w:sz="4" w:space="0"/>
            </w:tcBorders>
            <w:vAlign w:val="center"/>
          </w:tcPr>
          <w:p w14:paraId="5995DEFB">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3CA81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14:paraId="71CB5047">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30</w:t>
            </w:r>
          </w:p>
        </w:tc>
        <w:tc>
          <w:tcPr>
            <w:tcW w:w="2571" w:type="dxa"/>
            <w:tcBorders>
              <w:top w:val="single" w:color="auto" w:sz="4" w:space="0"/>
              <w:left w:val="single" w:color="auto" w:sz="4" w:space="0"/>
              <w:bottom w:val="single" w:color="auto" w:sz="4" w:space="0"/>
              <w:right w:val="single" w:color="auto" w:sz="4" w:space="0"/>
            </w:tcBorders>
            <w:shd w:val="clear" w:color="auto" w:fill="auto"/>
            <w:vAlign w:val="center"/>
          </w:tcPr>
          <w:p w14:paraId="6BCC973C">
            <w:pPr>
              <w:keepNext w:val="0"/>
              <w:keepLines w:val="0"/>
              <w:pageBreakBefore w:val="0"/>
              <w:widowControl/>
              <w:kinsoku/>
              <w:wordWrap/>
              <w:overflowPunct/>
              <w:topLinePunct w:val="0"/>
              <w:autoSpaceDE/>
              <w:autoSpaceDN/>
              <w:bidi w:val="0"/>
              <w:adjustRightInd/>
              <w:snapToGrid/>
              <w:spacing w:line="440" w:lineRule="exact"/>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二纺机</w:t>
            </w:r>
          </w:p>
        </w:tc>
        <w:tc>
          <w:tcPr>
            <w:tcW w:w="4618" w:type="dxa"/>
            <w:tcBorders>
              <w:left w:val="single" w:color="auto" w:sz="4" w:space="0"/>
              <w:bottom w:val="single" w:color="auto" w:sz="4" w:space="0"/>
              <w:right w:val="single" w:color="auto" w:sz="4" w:space="0"/>
            </w:tcBorders>
            <w:vAlign w:val="center"/>
          </w:tcPr>
          <w:p w14:paraId="45D1FE34">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r w14:paraId="568E3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109F7323">
            <w:pPr>
              <w:keepNext w:val="0"/>
              <w:keepLines w:val="0"/>
              <w:pageBreakBefore w:val="0"/>
              <w:kinsoku/>
              <w:wordWrap/>
              <w:overflowPunct/>
              <w:topLinePunct w:val="0"/>
              <w:autoSpaceDE/>
              <w:autoSpaceDN/>
              <w:bidi w:val="0"/>
              <w:adjustRightInd/>
              <w:snapToGrid/>
              <w:spacing w:line="440" w:lineRule="exact"/>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31</w:t>
            </w:r>
          </w:p>
        </w:tc>
        <w:tc>
          <w:tcPr>
            <w:tcW w:w="2571" w:type="dxa"/>
            <w:tcBorders>
              <w:top w:val="single" w:color="auto" w:sz="4" w:space="0"/>
              <w:left w:val="single" w:color="auto" w:sz="4" w:space="0"/>
              <w:bottom w:val="single" w:color="auto" w:sz="4" w:space="0"/>
              <w:right w:val="single" w:color="auto" w:sz="4" w:space="0"/>
            </w:tcBorders>
            <w:vAlign w:val="center"/>
          </w:tcPr>
          <w:p w14:paraId="03BD95EB">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扬子宾馆停车场管理用房</w:t>
            </w:r>
          </w:p>
        </w:tc>
        <w:tc>
          <w:tcPr>
            <w:tcW w:w="4618" w:type="dxa"/>
            <w:tcBorders>
              <w:top w:val="single" w:color="auto" w:sz="4" w:space="0"/>
              <w:left w:val="single" w:color="auto" w:sz="4" w:space="0"/>
              <w:bottom w:val="single" w:color="auto" w:sz="4" w:space="0"/>
              <w:right w:val="single" w:color="auto" w:sz="4" w:space="0"/>
            </w:tcBorders>
            <w:vAlign w:val="center"/>
          </w:tcPr>
          <w:p w14:paraId="620BB4A3">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楼内、公共通道、公共卫生间地面干净、无污渍；门框、窗框、窗台</w:t>
            </w:r>
            <w:r>
              <w:rPr>
                <w:rFonts w:hint="eastAsia" w:ascii="宋体" w:hAnsi="宋体" w:cs="宋体"/>
                <w:color w:val="auto"/>
                <w:sz w:val="21"/>
                <w:szCs w:val="21"/>
                <w:highlight w:val="none"/>
                <w:lang w:eastAsia="zh-CN"/>
              </w:rPr>
              <w:t>等家具</w:t>
            </w:r>
            <w:r>
              <w:rPr>
                <w:rFonts w:hint="eastAsia" w:ascii="宋体" w:hAnsi="宋体" w:eastAsia="宋体" w:cs="宋体"/>
                <w:color w:val="auto"/>
                <w:sz w:val="21"/>
                <w:szCs w:val="21"/>
                <w:highlight w:val="none"/>
              </w:rPr>
              <w:t>表面光亮、无灰尘、无污渍；门窗玻璃干净无尘，无明显印迹；</w:t>
            </w:r>
            <w:r>
              <w:rPr>
                <w:rFonts w:hint="eastAsia" w:ascii="宋体" w:hAnsi="宋体" w:cs="宋体"/>
                <w:color w:val="auto"/>
                <w:sz w:val="21"/>
                <w:szCs w:val="21"/>
                <w:highlight w:val="none"/>
                <w:lang w:eastAsia="zh-CN"/>
              </w:rPr>
              <w:t>设施</w:t>
            </w:r>
            <w:r>
              <w:rPr>
                <w:rFonts w:hint="eastAsia" w:ascii="宋体" w:hAnsi="宋体" w:eastAsia="宋体" w:cs="宋体"/>
                <w:color w:val="auto"/>
                <w:sz w:val="21"/>
                <w:szCs w:val="21"/>
                <w:highlight w:val="none"/>
              </w:rPr>
              <w:t>表面干净，无污渍；门把手干净、无印迹、定时消毒；天花板干净，无污渍、无蛛网；灯具干净无积尘，中央空调风口</w:t>
            </w:r>
            <w:r>
              <w:rPr>
                <w:rFonts w:hint="eastAsia" w:ascii="宋体" w:hAnsi="宋体" w:cs="宋体"/>
                <w:color w:val="auto"/>
                <w:sz w:val="21"/>
                <w:szCs w:val="21"/>
                <w:highlight w:val="none"/>
                <w:lang w:eastAsia="zh-CN"/>
              </w:rPr>
              <w:t>定期除尘</w:t>
            </w:r>
            <w:r>
              <w:rPr>
                <w:rFonts w:hint="eastAsia" w:ascii="宋体" w:hAnsi="宋体" w:eastAsia="宋体" w:cs="宋体"/>
                <w:color w:val="auto"/>
                <w:sz w:val="21"/>
                <w:szCs w:val="21"/>
                <w:highlight w:val="none"/>
              </w:rPr>
              <w:t>，进出口地垫摆放整齐，表面干净无杂物。</w:t>
            </w:r>
          </w:p>
        </w:tc>
      </w:tr>
      <w:tr w14:paraId="554AC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4CC1331F">
            <w:pPr>
              <w:keepNext w:val="0"/>
              <w:keepLines w:val="0"/>
              <w:pageBreakBefore w:val="0"/>
              <w:kinsoku/>
              <w:wordWrap/>
              <w:overflowPunct/>
              <w:topLinePunct w:val="0"/>
              <w:autoSpaceDE/>
              <w:autoSpaceDN/>
              <w:bidi w:val="0"/>
              <w:adjustRightInd/>
              <w:snapToGrid/>
              <w:spacing w:line="440" w:lineRule="exact"/>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32</w:t>
            </w:r>
          </w:p>
        </w:tc>
        <w:tc>
          <w:tcPr>
            <w:tcW w:w="2571" w:type="dxa"/>
            <w:tcBorders>
              <w:top w:val="single" w:color="auto" w:sz="4" w:space="0"/>
              <w:left w:val="single" w:color="auto" w:sz="4" w:space="0"/>
              <w:bottom w:val="single" w:color="auto" w:sz="4" w:space="0"/>
              <w:right w:val="single" w:color="auto" w:sz="4" w:space="0"/>
            </w:tcBorders>
            <w:vAlign w:val="center"/>
          </w:tcPr>
          <w:p w14:paraId="26A1BD98">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小桥湖停车场厕所</w:t>
            </w:r>
          </w:p>
        </w:tc>
        <w:tc>
          <w:tcPr>
            <w:tcW w:w="4618" w:type="dxa"/>
            <w:vMerge w:val="restart"/>
            <w:tcBorders>
              <w:top w:val="single" w:color="auto" w:sz="4" w:space="0"/>
              <w:left w:val="single" w:color="auto" w:sz="4" w:space="0"/>
              <w:right w:val="single" w:color="auto" w:sz="4" w:space="0"/>
            </w:tcBorders>
            <w:vAlign w:val="center"/>
          </w:tcPr>
          <w:p w14:paraId="561B7879">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面干净，无污渍、无积水，大小便器表面干净，无污渍；各种隔断表面干净，无乱写乱画，金属饰件表面干净，无污迹；墙壁表面干净，天花板无污渍、蛛网；风口或换气扇表面干净无积尘；门窗表面干净，窗台无灰尘；玻璃干净无水渍；洗手台干净无积水，面盆无污垢；各种管道表面干净无污渍；各种物品摆放整齐规范；废纸篓杂物超过2/3应及时倾倒，卫生间内空气流通并且无明显异味。</w:t>
            </w:r>
          </w:p>
        </w:tc>
      </w:tr>
      <w:tr w14:paraId="40C51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14:paraId="4DF62BFD">
            <w:pPr>
              <w:keepNext w:val="0"/>
              <w:keepLines w:val="0"/>
              <w:pageBreakBefore w:val="0"/>
              <w:kinsoku/>
              <w:wordWrap/>
              <w:overflowPunct/>
              <w:topLinePunct w:val="0"/>
              <w:autoSpaceDE/>
              <w:autoSpaceDN/>
              <w:bidi w:val="0"/>
              <w:adjustRightInd/>
              <w:snapToGrid/>
              <w:spacing w:line="440" w:lineRule="exact"/>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33</w:t>
            </w:r>
          </w:p>
        </w:tc>
        <w:tc>
          <w:tcPr>
            <w:tcW w:w="2571" w:type="dxa"/>
            <w:tcBorders>
              <w:top w:val="single" w:color="auto" w:sz="4" w:space="0"/>
              <w:left w:val="single" w:color="auto" w:sz="4" w:space="0"/>
              <w:bottom w:val="single" w:color="auto" w:sz="4" w:space="0"/>
              <w:right w:val="single" w:color="auto" w:sz="4" w:space="0"/>
            </w:tcBorders>
            <w:vAlign w:val="center"/>
          </w:tcPr>
          <w:p w14:paraId="7F738CEF">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职业技术学院停车场公厕</w:t>
            </w:r>
          </w:p>
        </w:tc>
        <w:tc>
          <w:tcPr>
            <w:tcW w:w="4618" w:type="dxa"/>
            <w:vMerge w:val="continue"/>
            <w:tcBorders>
              <w:left w:val="single" w:color="auto" w:sz="4" w:space="0"/>
              <w:bottom w:val="single" w:color="auto" w:sz="4" w:space="0"/>
              <w:right w:val="single" w:color="auto" w:sz="4" w:space="0"/>
            </w:tcBorders>
            <w:vAlign w:val="center"/>
          </w:tcPr>
          <w:p w14:paraId="4DB908A2">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p>
        </w:tc>
      </w:tr>
    </w:tbl>
    <w:p w14:paraId="11F03C61">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bookmarkStart w:id="74" w:name="_Toc12496"/>
      <w:bookmarkStart w:id="75" w:name="_Toc21115"/>
      <w:bookmarkStart w:id="76" w:name="_Toc24702"/>
      <w:bookmarkStart w:id="77" w:name="_Toc30247"/>
      <w:bookmarkStart w:id="78" w:name="_Toc15957"/>
      <w:bookmarkStart w:id="79" w:name="_Toc26986"/>
      <w:r>
        <w:rPr>
          <w:rFonts w:hint="eastAsia" w:ascii="宋体" w:hAnsi="宋体" w:eastAsia="宋体" w:cs="宋体"/>
          <w:color w:val="auto"/>
          <w:sz w:val="21"/>
          <w:szCs w:val="21"/>
          <w:highlight w:val="none"/>
        </w:rPr>
        <w:t>（二）工作时间</w:t>
      </w:r>
      <w:bookmarkEnd w:id="74"/>
      <w:bookmarkEnd w:id="75"/>
      <w:bookmarkEnd w:id="76"/>
      <w:bookmarkEnd w:id="77"/>
      <w:bookmarkEnd w:id="78"/>
      <w:bookmarkEnd w:id="79"/>
      <w:r>
        <w:rPr>
          <w:rFonts w:hint="eastAsia" w:ascii="宋体" w:hAnsi="宋体" w:eastAsia="宋体" w:cs="宋体"/>
          <w:color w:val="auto"/>
          <w:sz w:val="21"/>
          <w:szCs w:val="21"/>
          <w:highlight w:val="none"/>
        </w:rPr>
        <w:t>要求</w:t>
      </w:r>
    </w:p>
    <w:p w14:paraId="70A41610">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bookmarkStart w:id="80" w:name="_Toc31085"/>
      <w:r>
        <w:rPr>
          <w:rFonts w:hint="eastAsia" w:ascii="宋体" w:hAnsi="宋体" w:eastAsia="宋体" w:cs="宋体"/>
          <w:color w:val="auto"/>
          <w:sz w:val="21"/>
          <w:szCs w:val="21"/>
          <w:highlight w:val="none"/>
        </w:rPr>
        <w:t>1.保洁人员按工作时间表上班。</w:t>
      </w:r>
    </w:p>
    <w:tbl>
      <w:tblPr>
        <w:tblStyle w:val="37"/>
        <w:tblW w:w="9320"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98"/>
        <w:gridCol w:w="1739"/>
        <w:gridCol w:w="6783"/>
      </w:tblGrid>
      <w:tr w14:paraId="4531103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blHeader/>
          <w:jc w:val="center"/>
        </w:trPr>
        <w:tc>
          <w:tcPr>
            <w:tcW w:w="9320" w:type="dxa"/>
            <w:gridSpan w:val="3"/>
            <w:tcBorders>
              <w:top w:val="single" w:color="auto" w:sz="4" w:space="0"/>
              <w:left w:val="single" w:color="auto" w:sz="4" w:space="0"/>
              <w:bottom w:val="single" w:color="auto" w:sz="4" w:space="0"/>
              <w:right w:val="single" w:color="auto" w:sz="4" w:space="0"/>
            </w:tcBorders>
            <w:vAlign w:val="center"/>
          </w:tcPr>
          <w:p w14:paraId="7626B476">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保洁人员工作时间表</w:t>
            </w:r>
          </w:p>
        </w:tc>
      </w:tr>
      <w:tr w14:paraId="50268B5E">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blHeader/>
          <w:jc w:val="center"/>
        </w:trPr>
        <w:tc>
          <w:tcPr>
            <w:tcW w:w="798" w:type="dxa"/>
            <w:tcBorders>
              <w:top w:val="single" w:color="auto" w:sz="4" w:space="0"/>
              <w:left w:val="single" w:color="auto" w:sz="4" w:space="0"/>
              <w:bottom w:val="single" w:color="auto" w:sz="4" w:space="0"/>
              <w:right w:val="single" w:color="auto" w:sz="4" w:space="0"/>
            </w:tcBorders>
            <w:vAlign w:val="center"/>
          </w:tcPr>
          <w:p w14:paraId="64D82AB8">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739" w:type="dxa"/>
            <w:tcBorders>
              <w:top w:val="single" w:color="auto" w:sz="4" w:space="0"/>
              <w:left w:val="single" w:color="auto" w:sz="4" w:space="0"/>
              <w:bottom w:val="single" w:color="auto" w:sz="4" w:space="0"/>
              <w:right w:val="single" w:color="auto" w:sz="4" w:space="0"/>
            </w:tcBorders>
            <w:vAlign w:val="center"/>
          </w:tcPr>
          <w:p w14:paraId="48FDB846">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工作场地</w:t>
            </w:r>
          </w:p>
        </w:tc>
        <w:tc>
          <w:tcPr>
            <w:tcW w:w="6783" w:type="dxa"/>
            <w:tcBorders>
              <w:top w:val="single" w:color="auto" w:sz="4" w:space="0"/>
              <w:left w:val="single" w:color="auto" w:sz="4" w:space="0"/>
              <w:bottom w:val="single" w:color="auto" w:sz="4" w:space="0"/>
              <w:right w:val="single" w:color="auto" w:sz="4" w:space="0"/>
            </w:tcBorders>
            <w:vAlign w:val="center"/>
          </w:tcPr>
          <w:p w14:paraId="2C5D0776">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工作时间安排及主要工作检查</w:t>
            </w:r>
          </w:p>
        </w:tc>
      </w:tr>
      <w:tr w14:paraId="355150D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27"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14:paraId="230838AC">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39" w:type="dxa"/>
            <w:tcBorders>
              <w:top w:val="single" w:color="auto" w:sz="4" w:space="0"/>
              <w:left w:val="single" w:color="auto" w:sz="4" w:space="0"/>
              <w:right w:val="single" w:color="auto" w:sz="4" w:space="0"/>
            </w:tcBorders>
            <w:vAlign w:val="center"/>
          </w:tcPr>
          <w:p w14:paraId="2FE870D9">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停车场、管理用房</w:t>
            </w:r>
          </w:p>
        </w:tc>
        <w:tc>
          <w:tcPr>
            <w:tcW w:w="6783" w:type="dxa"/>
            <w:tcBorders>
              <w:top w:val="single" w:color="auto" w:sz="4" w:space="0"/>
              <w:left w:val="single" w:color="auto" w:sz="4" w:space="0"/>
              <w:bottom w:val="single" w:color="auto" w:sz="4" w:space="0"/>
              <w:right w:val="single" w:color="auto" w:sz="4" w:space="0"/>
            </w:tcBorders>
            <w:vAlign w:val="center"/>
          </w:tcPr>
          <w:p w14:paraId="500314C7">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每天保洁两次</w:t>
            </w:r>
            <w:r>
              <w:rPr>
                <w:rFonts w:hint="eastAsia" w:ascii="宋体" w:hAnsi="宋体" w:eastAsia="宋体" w:cs="宋体"/>
                <w:color w:val="auto"/>
                <w:sz w:val="21"/>
                <w:szCs w:val="21"/>
                <w:highlight w:val="none"/>
              </w:rPr>
              <w:t>（时间段07：30～17：30）</w:t>
            </w:r>
          </w:p>
        </w:tc>
      </w:tr>
      <w:tr w14:paraId="5ED78CB0">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14:paraId="241FC048">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39" w:type="dxa"/>
            <w:tcBorders>
              <w:left w:val="single" w:color="auto" w:sz="4" w:space="0"/>
              <w:right w:val="single" w:color="auto" w:sz="4" w:space="0"/>
            </w:tcBorders>
            <w:vAlign w:val="center"/>
          </w:tcPr>
          <w:p w14:paraId="79990F68">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公厕管理</w:t>
            </w:r>
          </w:p>
        </w:tc>
        <w:tc>
          <w:tcPr>
            <w:tcW w:w="6783" w:type="dxa"/>
            <w:tcBorders>
              <w:top w:val="single" w:color="auto" w:sz="4" w:space="0"/>
              <w:left w:val="single" w:color="auto" w:sz="4" w:space="0"/>
              <w:bottom w:val="single" w:color="auto" w:sz="4" w:space="0"/>
              <w:right w:val="single" w:color="auto" w:sz="4" w:space="0"/>
            </w:tcBorders>
            <w:vAlign w:val="center"/>
          </w:tcPr>
          <w:p w14:paraId="4A218D6E">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每天保洁两次</w:t>
            </w:r>
            <w:r>
              <w:rPr>
                <w:rFonts w:hint="eastAsia" w:ascii="宋体" w:hAnsi="宋体" w:eastAsia="宋体" w:cs="宋体"/>
                <w:color w:val="auto"/>
                <w:sz w:val="21"/>
                <w:szCs w:val="21"/>
                <w:highlight w:val="none"/>
              </w:rPr>
              <w:t>（时间段07：30～17：30）</w:t>
            </w:r>
          </w:p>
        </w:tc>
      </w:tr>
      <w:tr w14:paraId="7BD5D11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9320" w:type="dxa"/>
            <w:gridSpan w:val="3"/>
            <w:tcBorders>
              <w:top w:val="single" w:color="auto" w:sz="4" w:space="0"/>
              <w:left w:val="single" w:color="auto" w:sz="4" w:space="0"/>
              <w:bottom w:val="single" w:color="auto" w:sz="4" w:space="0"/>
              <w:right w:val="single" w:color="auto" w:sz="4" w:space="0"/>
            </w:tcBorders>
            <w:vAlign w:val="center"/>
          </w:tcPr>
          <w:p w14:paraId="5C2418E2">
            <w:pPr>
              <w:keepNext w:val="0"/>
              <w:keepLines w:val="0"/>
              <w:pageBreakBefore w:val="0"/>
              <w:kinsoku/>
              <w:wordWrap/>
              <w:overflowPunct/>
              <w:topLinePunct w:val="0"/>
              <w:autoSpaceDE/>
              <w:autoSpaceDN/>
              <w:bidi w:val="0"/>
              <w:adjustRightInd/>
              <w:snapToGrid/>
              <w:spacing w:line="440" w:lineRule="exact"/>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备注：重大节假日、重大活动时或突击任务时根据实际要求灵活调配工作时间</w:t>
            </w:r>
            <w:r>
              <w:rPr>
                <w:rFonts w:hint="eastAsia" w:ascii="宋体" w:hAnsi="宋体" w:cs="宋体"/>
                <w:color w:val="auto"/>
                <w:sz w:val="21"/>
                <w:szCs w:val="21"/>
                <w:highlight w:val="none"/>
                <w:lang w:eastAsia="zh-CN"/>
              </w:rPr>
              <w:t>（不增加人员）</w:t>
            </w:r>
            <w:r>
              <w:rPr>
                <w:rFonts w:hint="eastAsia" w:ascii="宋体" w:hAnsi="宋体" w:eastAsia="宋体" w:cs="宋体"/>
                <w:color w:val="auto"/>
                <w:sz w:val="21"/>
                <w:szCs w:val="21"/>
                <w:highlight w:val="none"/>
              </w:rPr>
              <w:t>，不另行支付费用。</w:t>
            </w:r>
          </w:p>
        </w:tc>
      </w:tr>
    </w:tbl>
    <w:p w14:paraId="16A72B4A">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2.如遇特殊情况中标方应安排其他人员及时到岗组织做好各项工作。</w:t>
      </w:r>
    </w:p>
    <w:p w14:paraId="47A6E4FB">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3.具体工作时间可根据现场实际情况适当调整,特殊情况中标方根据现场实际需要调整时间，须经招标方研究同意。</w:t>
      </w:r>
      <w:bookmarkEnd w:id="80"/>
      <w:r>
        <w:rPr>
          <w:rFonts w:hint="eastAsia" w:ascii="宋体" w:hAnsi="宋体" w:cs="宋体"/>
          <w:color w:val="auto"/>
          <w:sz w:val="21"/>
          <w:szCs w:val="21"/>
          <w:highlight w:val="none"/>
          <w:lang w:val="en-US" w:eastAsia="zh-CN"/>
        </w:rPr>
        <w:t xml:space="preserve"> </w:t>
      </w:r>
    </w:p>
    <w:p w14:paraId="489BEA53">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（三）服务内容要求</w:t>
      </w:r>
    </w:p>
    <w:p w14:paraId="43B740A1">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1.负责区域内卫生保洁工作，包括：各停车场、管理用房、公厕公共区域的地面、通道、以及出入口与市政环卫交界处的日常卫生保洁、清洗、和垃圾处理等工作。</w:t>
      </w:r>
    </w:p>
    <w:p w14:paraId="2F22A863">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2.负责区域内的除“四害”工作。</w:t>
      </w:r>
    </w:p>
    <w:p w14:paraId="2E52BA2C">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4.负责区域内卫生间设备设施日常管理</w:t>
      </w:r>
      <w:r>
        <w:rPr>
          <w:rFonts w:hint="eastAsia" w:ascii="宋体" w:hAnsi="宋体" w:cs="宋体"/>
          <w:color w:val="auto"/>
          <w:sz w:val="21"/>
          <w:szCs w:val="21"/>
          <w:highlight w:val="none"/>
          <w:lang w:eastAsia="zh-CN"/>
        </w:rPr>
        <w:t>（</w:t>
      </w:r>
      <w:r>
        <w:rPr>
          <w:rFonts w:ascii="Segoe UI" w:hAnsi="Segoe UI" w:eastAsia="Segoe UI" w:cs="Segoe UI"/>
          <w:b/>
          <w:bCs/>
          <w:i w:val="0"/>
          <w:iCs w:val="0"/>
          <w:caps w:val="0"/>
          <w:color w:val="auto"/>
          <w:spacing w:val="0"/>
          <w:sz w:val="24"/>
          <w:szCs w:val="24"/>
          <w:highlight w:val="none"/>
          <w:shd w:val="clear" w:fill="EFF0F1"/>
        </w:rPr>
        <w:t>设备设施维修工作除外</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及保洁工作。</w:t>
      </w:r>
    </w:p>
    <w:p w14:paraId="1E88A37A">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5.负责区域内乱张贴广告等不文明行为，并及时清除。</w:t>
      </w:r>
    </w:p>
    <w:p w14:paraId="37B7380A">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6.负责区域内的垃圾清</w:t>
      </w:r>
      <w:r>
        <w:rPr>
          <w:rFonts w:hint="eastAsia" w:ascii="宋体" w:hAnsi="宋体" w:cs="宋体"/>
          <w:color w:val="auto"/>
          <w:sz w:val="21"/>
          <w:szCs w:val="21"/>
          <w:highlight w:val="none"/>
          <w:lang w:val="en-US" w:eastAsia="zh-CN"/>
        </w:rPr>
        <w:t>扫</w:t>
      </w:r>
      <w:r>
        <w:rPr>
          <w:rFonts w:hint="eastAsia" w:ascii="宋体" w:hAnsi="宋体" w:eastAsia="宋体" w:cs="宋体"/>
          <w:color w:val="auto"/>
          <w:sz w:val="21"/>
          <w:szCs w:val="21"/>
          <w:highlight w:val="none"/>
        </w:rPr>
        <w:t>工作。</w:t>
      </w:r>
    </w:p>
    <w:p w14:paraId="5F8535AB">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7.负责根据相关要求做好区域内消毒工作 。</w:t>
      </w:r>
    </w:p>
    <w:p w14:paraId="2D13E6E4">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8.负责区域内杂草清理</w:t>
      </w:r>
      <w:r>
        <w:rPr>
          <w:rFonts w:hint="eastAsia" w:ascii="宋体" w:hAnsi="宋体" w:cs="宋体"/>
          <w:color w:val="auto"/>
          <w:sz w:val="21"/>
          <w:szCs w:val="21"/>
          <w:highlight w:val="none"/>
          <w:lang w:val="en-US" w:eastAsia="zh-CN"/>
        </w:rPr>
        <w:t>及绿化修剪</w:t>
      </w:r>
      <w:r>
        <w:rPr>
          <w:rFonts w:hint="eastAsia" w:ascii="宋体" w:hAnsi="宋体" w:eastAsia="宋体" w:cs="宋体"/>
          <w:color w:val="auto"/>
          <w:sz w:val="21"/>
          <w:szCs w:val="21"/>
          <w:highlight w:val="none"/>
        </w:rPr>
        <w:t>工作（至少每季度1次）。</w:t>
      </w:r>
    </w:p>
    <w:p w14:paraId="204A02AB">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bookmarkStart w:id="81" w:name="_Toc2495"/>
      <w:bookmarkStart w:id="82" w:name="_Toc26649"/>
      <w:bookmarkStart w:id="83" w:name="_Toc26218"/>
      <w:bookmarkStart w:id="84" w:name="_Toc17654"/>
      <w:bookmarkStart w:id="85" w:name="_Toc488"/>
      <w:bookmarkStart w:id="86" w:name="_Toc28277"/>
      <w:r>
        <w:rPr>
          <w:rFonts w:hint="eastAsia" w:ascii="宋体" w:hAnsi="宋体" w:eastAsia="宋体" w:cs="宋体"/>
          <w:color w:val="auto"/>
          <w:sz w:val="21"/>
          <w:szCs w:val="21"/>
          <w:highlight w:val="none"/>
        </w:rPr>
        <w:t>9.负责按招标人环境管理体系要求，做好垃圾分类、节能降耗等相关工作。</w:t>
      </w:r>
    </w:p>
    <w:p w14:paraId="6E8D7F09">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10.负责区域内如有绿化遮挡或者影响车辆通行等，中标人根据招标人要求对绿化无偿修剪。</w:t>
      </w:r>
    </w:p>
    <w:p w14:paraId="0E2A06A4">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10.其它按性质应纳入保洁服务的工作。</w:t>
      </w:r>
    </w:p>
    <w:p w14:paraId="60DD3F56">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（四）服务标准及质量</w:t>
      </w:r>
      <w:bookmarkEnd w:id="81"/>
      <w:bookmarkEnd w:id="82"/>
      <w:bookmarkEnd w:id="83"/>
      <w:bookmarkEnd w:id="84"/>
      <w:bookmarkEnd w:id="85"/>
      <w:bookmarkEnd w:id="86"/>
      <w:r>
        <w:rPr>
          <w:rFonts w:hint="eastAsia" w:ascii="宋体" w:hAnsi="宋体" w:eastAsia="宋体" w:cs="宋体"/>
          <w:color w:val="auto"/>
          <w:sz w:val="21"/>
          <w:szCs w:val="21"/>
          <w:highlight w:val="none"/>
        </w:rPr>
        <w:t>要求</w:t>
      </w:r>
    </w:p>
    <w:p w14:paraId="18AE2AC4">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bookmarkStart w:id="87" w:name="_Toc358883012"/>
      <w:r>
        <w:rPr>
          <w:rFonts w:hint="eastAsia" w:ascii="宋体" w:hAnsi="宋体" w:eastAsia="宋体" w:cs="宋体"/>
          <w:b/>
          <w:bCs/>
          <w:color w:val="auto"/>
          <w:sz w:val="21"/>
          <w:szCs w:val="21"/>
          <w:highlight w:val="none"/>
        </w:rPr>
        <w:t>区域内保洁标准</w:t>
      </w:r>
    </w:p>
    <w:p w14:paraId="2E56DA1B">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（1）停车场道路：无杂物、无明显灰尘;无垃圾、无尘土、无积水、无杂草;</w:t>
      </w:r>
    </w:p>
    <w:p w14:paraId="47293992">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（2）管理用房：无垃圾、无明显灰尘、地板光亮、明洁，走廊扶手无积尘;</w:t>
      </w:r>
    </w:p>
    <w:p w14:paraId="69A796F6">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（3）公厕：无杂物、无积水、无明显灰尘; 地板光亮、明洁，马桶或蹲坑、水池整洁无污物；</w:t>
      </w:r>
    </w:p>
    <w:p w14:paraId="7FEE7365">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（4）垃圾收集：保持垃圾收集点四周干净，无明显异味;</w:t>
      </w:r>
    </w:p>
    <w:p w14:paraId="20674F8D">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（5）其他公共设施：无污物、水渍、无明显灰尘。</w:t>
      </w:r>
      <w:bookmarkEnd w:id="87"/>
      <w:bookmarkStart w:id="88" w:name="_Toc358883014"/>
    </w:p>
    <w:bookmarkEnd w:id="88"/>
    <w:p w14:paraId="29C83A71">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color w:val="auto"/>
          <w:sz w:val="21"/>
          <w:szCs w:val="21"/>
          <w:highlight w:val="none"/>
        </w:rPr>
      </w:pPr>
      <w:bookmarkStart w:id="89" w:name="_Toc358883015"/>
      <w:r>
        <w:rPr>
          <w:rFonts w:hint="eastAsia" w:ascii="宋体" w:hAnsi="宋体" w:eastAsia="宋体" w:cs="宋体"/>
          <w:b/>
          <w:bCs/>
          <w:color w:val="auto"/>
          <w:sz w:val="21"/>
          <w:szCs w:val="21"/>
          <w:highlight w:val="none"/>
        </w:rPr>
        <w:t xml:space="preserve"> </w:t>
      </w:r>
      <w:bookmarkEnd w:id="89"/>
      <w:bookmarkStart w:id="90" w:name="_Toc360736706"/>
      <w:bookmarkStart w:id="91" w:name="_Toc17294"/>
      <w:bookmarkStart w:id="92" w:name="_Toc358883013"/>
      <w:bookmarkStart w:id="93" w:name="_Toc17542_WPSOffice_Level3"/>
      <w:bookmarkStart w:id="94" w:name="_Toc362505933"/>
      <w:r>
        <w:rPr>
          <w:rFonts w:hint="eastAsia" w:ascii="宋体" w:hAnsi="宋体" w:eastAsia="宋体" w:cs="宋体"/>
          <w:b/>
          <w:bCs/>
          <w:color w:val="auto"/>
          <w:sz w:val="21"/>
          <w:szCs w:val="21"/>
          <w:highlight w:val="none"/>
        </w:rPr>
        <w:t>2.保洁质量工作定量</w:t>
      </w:r>
      <w:bookmarkEnd w:id="90"/>
      <w:bookmarkEnd w:id="91"/>
      <w:bookmarkEnd w:id="92"/>
      <w:bookmarkEnd w:id="93"/>
      <w:bookmarkEnd w:id="94"/>
      <w:r>
        <w:rPr>
          <w:rFonts w:hint="eastAsia" w:ascii="宋体" w:hAnsi="宋体" w:eastAsia="宋体" w:cs="宋体"/>
          <w:b/>
          <w:bCs/>
          <w:color w:val="auto"/>
          <w:sz w:val="21"/>
          <w:szCs w:val="21"/>
          <w:highlight w:val="none"/>
        </w:rPr>
        <w:t>要求</w:t>
      </w:r>
    </w:p>
    <w:p w14:paraId="31768136">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（2）垃圾箱：每天清理，每周消毒一次；</w:t>
      </w:r>
    </w:p>
    <w:p w14:paraId="04993590">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（3）停车场道路：每天不少于2次巡扫；</w:t>
      </w:r>
    </w:p>
    <w:p w14:paraId="0BB20C00">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（五）安全管理要求</w:t>
      </w:r>
    </w:p>
    <w:p w14:paraId="4E924B45">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1.按照招标方安全管理的有关要求和相关规定执行。</w:t>
      </w:r>
    </w:p>
    <w:p w14:paraId="64BD3D16">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2.上岗的保洁员需进行岗前安全培训。日常积极参加工作中组织</w:t>
      </w:r>
      <w:r>
        <w:rPr>
          <w:rFonts w:hint="eastAsia" w:ascii="宋体" w:hAnsi="宋体" w:eastAsia="宋体" w:cs="宋体"/>
          <w:color w:val="auto"/>
          <w:spacing w:val="-6"/>
          <w:sz w:val="21"/>
          <w:szCs w:val="21"/>
          <w:highlight w:val="none"/>
        </w:rPr>
        <w:t>的交接班会、安全培训和应急演练，并认真按照相关要求落实安全工作。</w:t>
      </w:r>
    </w:p>
    <w:p w14:paraId="0B6439CC">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3.保洁员应把安全工作放在首位，若因违章作业而造成的后果，由其自行负责。</w:t>
      </w:r>
    </w:p>
    <w:p w14:paraId="130A4AB4">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4.保洁工具实行定置管理、谁使用谁保管，用时放在安全位置，用后摆放在固定位置。</w:t>
      </w:r>
    </w:p>
    <w:p w14:paraId="46DE8F6B">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5.保洁作业时严格按规定操作相关设备，并保证设备状态良好，严禁乱拉乱接电线。</w:t>
      </w:r>
    </w:p>
    <w:p w14:paraId="67901E10">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7.各场点范围内严禁摆放危险品（易燃、易爆），保洁不得使用和存放易燃、易爆物品。</w:t>
      </w:r>
    </w:p>
    <w:p w14:paraId="17862510">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（六）其他管理要求</w:t>
      </w:r>
    </w:p>
    <w:p w14:paraId="07458F6C">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1.中标方定期组织保洁人员进行培训，培训内容参照岗前培训内容进行。</w:t>
      </w:r>
    </w:p>
    <w:p w14:paraId="1970F671">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2.中标方定期开展各类预案的培训和演练，提高保洁人员突发事件应对能力。</w:t>
      </w:r>
    </w:p>
    <w:p w14:paraId="61301872">
      <w:pPr>
        <w:keepNext w:val="0"/>
        <w:keepLines w:val="0"/>
        <w:pageBreakBefore w:val="0"/>
        <w:kinsoku/>
        <w:wordWrap/>
        <w:overflowPunct/>
        <w:topLinePunct w:val="0"/>
        <w:autoSpaceDE/>
        <w:autoSpaceDN/>
        <w:bidi w:val="0"/>
        <w:adjustRightInd/>
        <w:snapToGrid/>
        <w:spacing w:line="440" w:lineRule="exact"/>
        <w:ind w:firstLine="396" w:firstLineChars="200"/>
        <w:textAlignment w:val="baseline"/>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3.中标方须根据保洁实际情况建立一套完善、全面的保洁管理制度。</w:t>
      </w:r>
    </w:p>
    <w:p w14:paraId="0B5B1E66">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bookmarkStart w:id="95" w:name="_Toc391026951"/>
      <w:bookmarkStart w:id="96" w:name="_Toc17287"/>
      <w:r>
        <w:rPr>
          <w:rFonts w:hint="eastAsia" w:ascii="宋体" w:hAnsi="宋体" w:eastAsia="宋体" w:cs="宋体"/>
          <w:color w:val="auto"/>
          <w:sz w:val="21"/>
          <w:szCs w:val="21"/>
          <w:highlight w:val="none"/>
        </w:rPr>
        <w:t>4.保洁人员当班期间按规定着制式工装、并配备相应保洁工具及设备，仪容仪表须符合规范要求。</w:t>
      </w:r>
    </w:p>
    <w:bookmarkEnd w:id="95"/>
    <w:p w14:paraId="7FD18152">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5.遵守招标方有关现场具体的保洁管理规定和日常管理工作要求，并完成招标方交办的其他工作任务。</w:t>
      </w:r>
      <w:bookmarkEnd w:id="96"/>
    </w:p>
    <w:p w14:paraId="3EB43F24">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四、检查考核</w:t>
      </w:r>
    </w:p>
    <w:p w14:paraId="66C2B0F2">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考核每月进行一次，根据《保洁工作考核细则》进行考核。因中标方原因造成设备故障、客伤、招标方或第三方财产或人身损害的，除负责赔偿责任外，还需向招标方赔付由招标方依据安全事故的性质、受伤人员数量、受伤害的程度、招标方的名誉、形象受损的范围和程度等确定的金额，并承担招标方因此产生的诉讼费、律师费等一切费用及承担相关法律责任。</w:t>
      </w:r>
    </w:p>
    <w:p w14:paraId="39690872">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bookmarkStart w:id="97" w:name="_Toc11585_WPSOffice_Level2"/>
      <w:bookmarkStart w:id="98" w:name="_Toc29835"/>
      <w:bookmarkStart w:id="99" w:name="_Toc19054_WPSOffice_Level2"/>
      <w:bookmarkStart w:id="100" w:name="_Toc22090"/>
      <w:bookmarkStart w:id="101" w:name="_Toc14937"/>
      <w:bookmarkStart w:id="102" w:name="_Toc31914"/>
      <w:r>
        <w:rPr>
          <w:rFonts w:hint="eastAsia" w:ascii="宋体" w:hAnsi="宋体" w:eastAsia="宋体" w:cs="宋体"/>
          <w:color w:val="auto"/>
          <w:sz w:val="21"/>
          <w:szCs w:val="21"/>
          <w:highlight w:val="none"/>
        </w:rPr>
        <w:t>（一）</w:t>
      </w:r>
      <w:bookmarkEnd w:id="97"/>
      <w:bookmarkEnd w:id="98"/>
      <w:bookmarkEnd w:id="99"/>
      <w:bookmarkEnd w:id="100"/>
      <w:bookmarkEnd w:id="101"/>
      <w:bookmarkEnd w:id="102"/>
      <w:r>
        <w:rPr>
          <w:rFonts w:hint="eastAsia" w:ascii="宋体" w:hAnsi="宋体" w:eastAsia="宋体" w:cs="宋体"/>
          <w:color w:val="auto"/>
          <w:sz w:val="21"/>
          <w:szCs w:val="21"/>
          <w:highlight w:val="none"/>
        </w:rPr>
        <w:t>考核方式</w:t>
      </w:r>
    </w:p>
    <w:p w14:paraId="7B9A5A7D">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1、采取日常检查（定期检查、不定期检查、专项检查）。保洁工作考核内容及标准见《保洁工作考核细则》（附件1） 。相关制度如有增加、更新、修改，则按最新要求执行。</w:t>
      </w:r>
    </w:p>
    <w:p w14:paraId="5EE49958">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2、招标方根据用户需求书中有关条款、合同规定的服务范围、内容以及合同附件和《保洁工作考核细则》 ，结合中标方投标文件中响应和承诺的内容，对中标方履职尽责情况进行考核。对检查中发现的不合格项下发《整改通知书》（附件2）。对于整改不到位或造成严重影响的情形，招标方根据实际情况将加重处罚。</w:t>
      </w:r>
    </w:p>
    <w:p w14:paraId="5F7ACF51">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3、中标方一个月内连续2次经下发《整改通知书》后整改不到位或一个季度内累计5次经下发《整改通知书》后整改不到位的，招标方有权单方面终止合同,所有责任及后果均由中标方承担。</w:t>
      </w:r>
    </w:p>
    <w:p w14:paraId="4C931FE7">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4、因中标方严重违约，导致招标方重大经济损失和造成严重影响的，招标方可单方面终止合同，并由中标方承担一切后果及责任，且不允许再参与招标方今后的所有保洁服务招标项目。</w:t>
      </w:r>
    </w:p>
    <w:p w14:paraId="24E48E81">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highlight w:val="none"/>
        </w:rPr>
      </w:pPr>
      <w:bookmarkStart w:id="103" w:name="_Toc227423936"/>
      <w:bookmarkStart w:id="104" w:name="_Toc367274928"/>
      <w:bookmarkStart w:id="105" w:name="_Toc360736712"/>
      <w:r>
        <w:rPr>
          <w:rFonts w:hint="eastAsia" w:ascii="宋体" w:hAnsi="宋体" w:eastAsia="宋体" w:cs="宋体"/>
          <w:b/>
          <w:bCs/>
          <w:color w:val="auto"/>
          <w:sz w:val="24"/>
          <w:szCs w:val="24"/>
          <w:highlight w:val="none"/>
        </w:rPr>
        <w:t>五、其他说明</w:t>
      </w:r>
      <w:bookmarkEnd w:id="103"/>
      <w:bookmarkEnd w:id="104"/>
      <w:bookmarkEnd w:id="105"/>
    </w:p>
    <w:p w14:paraId="62ADEBEA">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1.投标方在投标前，如须踏勘现场，有关费用自理，踏勘期间发生的意外自负。</w:t>
      </w:r>
    </w:p>
    <w:p w14:paraId="28D4F6E3">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方应根据项目要求和现场情况，详细列明项目所需的各项费用，包含在服务实施中应缴纳的税费、管理费、保险费、培训、人工（含岗位轮休）、财务、食宿、服装、装备、设备、材料、工器具、耗材等一切与该项目管理有关的费用。投标方在投标报价时，必须考虑自带设备、材料及工器具进场服务。并考虑项目实施过程中，如遇节假日、重大活动、临时检查突击作业等增加的服务成本。招标方不增加费用，投标方须保证合同实施过程中保洁服务质量符合招标文件及合同的要求。如一旦中标，在项目实施中出现任何遗漏，均由中标方免费提供，招标方不再支付任何费用。</w:t>
      </w:r>
    </w:p>
    <w:p w14:paraId="2B720300">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3.中标方应按照招标方的规范要求，做好日常管理，设施设备自行配置。</w:t>
      </w:r>
    </w:p>
    <w:p w14:paraId="2558F6D2">
      <w:pPr>
        <w:keepNext w:val="0"/>
        <w:keepLines w:val="0"/>
        <w:pageBreakBefore w:val="0"/>
        <w:kinsoku/>
        <w:wordWrap/>
        <w:overflowPunct/>
        <w:topLinePunct w:val="0"/>
        <w:autoSpaceDE/>
        <w:autoSpaceDN/>
        <w:bidi w:val="0"/>
        <w:adjustRightInd/>
        <w:snapToGrid/>
        <w:spacing w:line="440" w:lineRule="exact"/>
        <w:ind w:firstLine="210" w:firstLineChars="1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4.在合同实施过程中，招标方有权根据现场实际工作需要、以及中标方工作实际情况对其服务工作范围、服务区域、服务内容进行适当调整（包括增加和减少），服务费相应予以调整</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按照中标总价除以总服务面积所得的单价（元 / 平方米・月）为标准进行核算</w:t>
      </w:r>
      <w:r>
        <w:rPr>
          <w:rFonts w:hint="eastAsia" w:ascii="宋体" w:hAnsi="宋体" w:cs="宋体"/>
          <w:color w:val="auto"/>
          <w:sz w:val="21"/>
          <w:szCs w:val="21"/>
          <w:highlight w:val="none"/>
          <w:u w:val="single"/>
          <w:lang w:val="en-US" w:eastAsia="zh-CN"/>
        </w:rPr>
        <w:t>，费用中包含管理用房和公厕的保洁服务费用，不再单独增加费用）</w:t>
      </w:r>
      <w:r>
        <w:rPr>
          <w:rFonts w:hint="eastAsia" w:ascii="宋体" w:hAnsi="宋体" w:eastAsia="宋体" w:cs="宋体"/>
          <w:color w:val="auto"/>
          <w:sz w:val="21"/>
          <w:szCs w:val="21"/>
          <w:highlight w:val="none"/>
          <w:u w:val="single"/>
        </w:rPr>
        <w:t>，以招标方的书面通知为准（提前至少半个月发书面通知）。中标方须无条件服从招标方的调整安排。</w:t>
      </w:r>
    </w:p>
    <w:p w14:paraId="73BF9C77">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5.中标方在提供服务期间，应严格按照国家《劳动法》、《劳动合同法》、《工资支付暂行规定》等有关法律法规规定，合法用工和经营，并全面保障保洁人员的劳动权益。</w:t>
      </w:r>
    </w:p>
    <w:p w14:paraId="6C7FADD4">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6.中标方单位内部发生人员劳动纠纷、工伤及其他人员安全意外等情况，均由中标方自行负责，招标方概不负责。</w:t>
      </w:r>
    </w:p>
    <w:p w14:paraId="67647889">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7.对于上述项目要求，投标方应在投标文件中进行回应，作出承诺及说明。</w:t>
      </w:r>
    </w:p>
    <w:p w14:paraId="2C45363F">
      <w:pPr>
        <w:rPr>
          <w:rFonts w:hint="eastAsia" w:ascii="仿宋" w:hAnsi="仿宋" w:eastAsia="仿宋" w:cs="仿宋"/>
          <w:color w:val="auto"/>
          <w:sz w:val="30"/>
          <w:szCs w:val="30"/>
          <w:highlight w:val="none"/>
        </w:rPr>
      </w:pPr>
      <w:bookmarkStart w:id="106" w:name="_Toc27322"/>
      <w:bookmarkStart w:id="107" w:name="_Toc19246_WPSOffice_Level2"/>
      <w:bookmarkStart w:id="108" w:name="_Toc11143_WPSOffice_Level2"/>
    </w:p>
    <w:p w14:paraId="3BBC4ACD">
      <w:pP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br w:type="page"/>
      </w:r>
    </w:p>
    <w:p w14:paraId="5EF2F3D6">
      <w:pPr>
        <w:spacing w:line="360" w:lineRule="auto"/>
        <w:textAlignment w:val="baseline"/>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附件1</w:t>
      </w:r>
    </w:p>
    <w:p w14:paraId="0D51ED9F">
      <w:pPr>
        <w:spacing w:line="360" w:lineRule="auto"/>
        <w:jc w:val="center"/>
        <w:textAlignment w:val="baseline"/>
        <w:rPr>
          <w:rFonts w:ascii="黑体" w:hAnsi="黑体" w:eastAsia="黑体" w:cs="黑体"/>
          <w:color w:val="auto"/>
          <w:sz w:val="36"/>
          <w:szCs w:val="36"/>
          <w:highlight w:val="none"/>
        </w:rPr>
      </w:pPr>
      <w:r>
        <w:rPr>
          <w:rFonts w:hint="eastAsia" w:ascii="黑体" w:hAnsi="黑体" w:eastAsia="黑体" w:cs="黑体"/>
          <w:color w:val="auto"/>
          <w:sz w:val="36"/>
          <w:szCs w:val="36"/>
          <w:highlight w:val="none"/>
        </w:rPr>
        <w:t>保洁工作考核细则</w:t>
      </w:r>
      <w:bookmarkEnd w:id="106"/>
      <w:bookmarkEnd w:id="107"/>
      <w:bookmarkEnd w:id="108"/>
    </w:p>
    <w:tbl>
      <w:tblPr>
        <w:tblStyle w:val="37"/>
        <w:tblpPr w:leftFromText="180" w:rightFromText="180" w:vertAnchor="text" w:horzAnchor="page" w:tblpX="1287" w:tblpY="302"/>
        <w:tblOverlap w:val="never"/>
        <w:tblW w:w="92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9"/>
        <w:gridCol w:w="4883"/>
        <w:gridCol w:w="2070"/>
        <w:gridCol w:w="1706"/>
      </w:tblGrid>
      <w:tr w14:paraId="7E23A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vMerge w:val="restart"/>
            <w:shd w:val="clear" w:color="auto" w:fill="auto"/>
            <w:tcMar>
              <w:top w:w="15" w:type="dxa"/>
              <w:left w:w="15" w:type="dxa"/>
              <w:right w:w="15" w:type="dxa"/>
            </w:tcMar>
            <w:vAlign w:val="center"/>
          </w:tcPr>
          <w:p w14:paraId="22C9F0A2">
            <w:pPr>
              <w:widowControl/>
              <w:jc w:val="center"/>
              <w:textAlignment w:val="center"/>
              <w:rPr>
                <w:rFonts w:ascii="仿宋" w:hAnsi="仿宋" w:eastAsia="仿宋" w:cs="仿宋"/>
                <w:b/>
                <w:color w:val="auto"/>
                <w:kern w:val="0"/>
                <w:sz w:val="24"/>
                <w:highlight w:val="none"/>
              </w:rPr>
            </w:pPr>
            <w:r>
              <w:rPr>
                <w:rFonts w:hint="eastAsia" w:ascii="仿宋" w:hAnsi="仿宋" w:eastAsia="仿宋" w:cs="仿宋"/>
                <w:b/>
                <w:color w:val="auto"/>
                <w:kern w:val="0"/>
                <w:sz w:val="24"/>
                <w:highlight w:val="none"/>
              </w:rPr>
              <w:t>序号</w:t>
            </w:r>
          </w:p>
        </w:tc>
        <w:tc>
          <w:tcPr>
            <w:tcW w:w="4883" w:type="dxa"/>
            <w:vMerge w:val="restart"/>
            <w:shd w:val="clear" w:color="auto" w:fill="auto"/>
            <w:tcMar>
              <w:top w:w="15" w:type="dxa"/>
              <w:left w:w="15" w:type="dxa"/>
              <w:right w:w="15" w:type="dxa"/>
            </w:tcMar>
            <w:vAlign w:val="center"/>
          </w:tcPr>
          <w:p w14:paraId="7902640C">
            <w:pPr>
              <w:widowControl/>
              <w:jc w:val="center"/>
              <w:textAlignment w:val="center"/>
              <w:rPr>
                <w:rFonts w:ascii="仿宋" w:hAnsi="仿宋" w:eastAsia="仿宋" w:cs="仿宋"/>
                <w:b/>
                <w:color w:val="auto"/>
                <w:kern w:val="0"/>
                <w:sz w:val="24"/>
                <w:highlight w:val="none"/>
              </w:rPr>
            </w:pPr>
            <w:r>
              <w:rPr>
                <w:rFonts w:hint="eastAsia" w:ascii="仿宋" w:hAnsi="仿宋" w:eastAsia="仿宋" w:cs="仿宋"/>
                <w:b/>
                <w:color w:val="auto"/>
                <w:sz w:val="24"/>
                <w:highlight w:val="none"/>
              </w:rPr>
              <w:t>失职行为</w:t>
            </w:r>
            <w:r>
              <w:rPr>
                <w:rFonts w:hint="eastAsia" w:ascii="仿宋" w:hAnsi="仿宋" w:eastAsia="仿宋" w:cs="仿宋"/>
                <w:b/>
                <w:color w:val="auto"/>
                <w:kern w:val="0"/>
                <w:sz w:val="24"/>
                <w:highlight w:val="none"/>
              </w:rPr>
              <w:t>定位</w:t>
            </w:r>
          </w:p>
        </w:tc>
        <w:tc>
          <w:tcPr>
            <w:tcW w:w="2070" w:type="dxa"/>
            <w:shd w:val="clear" w:color="auto" w:fill="auto"/>
            <w:tcMar>
              <w:top w:w="0" w:type="dxa"/>
              <w:left w:w="74" w:type="dxa"/>
              <w:right w:w="74" w:type="dxa"/>
            </w:tcMar>
            <w:vAlign w:val="center"/>
          </w:tcPr>
          <w:p w14:paraId="2D9CB8CE">
            <w:pPr>
              <w:widowControl/>
              <w:jc w:val="center"/>
              <w:textAlignment w:val="center"/>
              <w:rPr>
                <w:rFonts w:ascii="仿宋" w:hAnsi="仿宋" w:eastAsia="仿宋" w:cs="仿宋"/>
                <w:b/>
                <w:color w:val="auto"/>
                <w:kern w:val="0"/>
                <w:sz w:val="24"/>
                <w:highlight w:val="none"/>
              </w:rPr>
            </w:pPr>
            <w:r>
              <w:rPr>
                <w:rFonts w:hint="eastAsia" w:ascii="仿宋" w:hAnsi="仿宋" w:eastAsia="仿宋" w:cs="仿宋"/>
                <w:b/>
                <w:color w:val="auto"/>
                <w:kern w:val="0"/>
                <w:sz w:val="24"/>
                <w:highlight w:val="none"/>
              </w:rPr>
              <w:t>考核标准</w:t>
            </w:r>
          </w:p>
        </w:tc>
        <w:tc>
          <w:tcPr>
            <w:tcW w:w="1706" w:type="dxa"/>
            <w:vMerge w:val="restart"/>
            <w:shd w:val="clear" w:color="auto" w:fill="auto"/>
            <w:tcMar>
              <w:top w:w="15" w:type="dxa"/>
              <w:left w:w="15" w:type="dxa"/>
              <w:right w:w="15" w:type="dxa"/>
            </w:tcMar>
            <w:vAlign w:val="center"/>
          </w:tcPr>
          <w:p w14:paraId="7E181DAB">
            <w:pPr>
              <w:widowControl/>
              <w:jc w:val="center"/>
              <w:textAlignment w:val="center"/>
              <w:rPr>
                <w:rFonts w:ascii="仿宋" w:hAnsi="仿宋" w:eastAsia="仿宋" w:cs="仿宋"/>
                <w:bCs/>
                <w:color w:val="auto"/>
                <w:kern w:val="0"/>
                <w:sz w:val="24"/>
                <w:highlight w:val="none"/>
              </w:rPr>
            </w:pPr>
            <w:r>
              <w:rPr>
                <w:rFonts w:hint="eastAsia" w:ascii="仿宋" w:hAnsi="仿宋" w:eastAsia="仿宋" w:cs="仿宋"/>
                <w:b/>
                <w:color w:val="auto"/>
                <w:kern w:val="0"/>
                <w:sz w:val="24"/>
                <w:highlight w:val="none"/>
              </w:rPr>
              <w:t>考核中标方</w:t>
            </w:r>
          </w:p>
        </w:tc>
      </w:tr>
      <w:tr w14:paraId="1E5A0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vMerge w:val="continue"/>
            <w:shd w:val="clear" w:color="auto" w:fill="auto"/>
            <w:tcMar>
              <w:top w:w="15" w:type="dxa"/>
              <w:left w:w="15" w:type="dxa"/>
              <w:right w:w="15" w:type="dxa"/>
            </w:tcMar>
            <w:vAlign w:val="center"/>
          </w:tcPr>
          <w:p w14:paraId="28C8E545">
            <w:pPr>
              <w:widowControl/>
              <w:jc w:val="center"/>
              <w:textAlignment w:val="center"/>
              <w:rPr>
                <w:rFonts w:ascii="仿宋" w:hAnsi="仿宋" w:eastAsia="仿宋" w:cs="仿宋"/>
                <w:b/>
                <w:color w:val="auto"/>
                <w:kern w:val="0"/>
                <w:sz w:val="24"/>
                <w:highlight w:val="none"/>
              </w:rPr>
            </w:pPr>
          </w:p>
        </w:tc>
        <w:tc>
          <w:tcPr>
            <w:tcW w:w="4883" w:type="dxa"/>
            <w:vMerge w:val="continue"/>
            <w:shd w:val="clear" w:color="auto" w:fill="auto"/>
            <w:tcMar>
              <w:top w:w="15" w:type="dxa"/>
              <w:left w:w="15" w:type="dxa"/>
              <w:right w:w="15" w:type="dxa"/>
            </w:tcMar>
            <w:vAlign w:val="center"/>
          </w:tcPr>
          <w:p w14:paraId="199D3C9C">
            <w:pPr>
              <w:widowControl/>
              <w:jc w:val="center"/>
              <w:textAlignment w:val="center"/>
              <w:rPr>
                <w:rFonts w:ascii="仿宋" w:hAnsi="仿宋" w:eastAsia="仿宋" w:cs="仿宋"/>
                <w:b/>
                <w:color w:val="auto"/>
                <w:kern w:val="0"/>
                <w:sz w:val="24"/>
                <w:highlight w:val="none"/>
              </w:rPr>
            </w:pPr>
          </w:p>
        </w:tc>
        <w:tc>
          <w:tcPr>
            <w:tcW w:w="2070" w:type="dxa"/>
            <w:shd w:val="clear" w:color="auto" w:fill="auto"/>
            <w:tcMar>
              <w:top w:w="0" w:type="dxa"/>
              <w:left w:w="74" w:type="dxa"/>
              <w:right w:w="74" w:type="dxa"/>
            </w:tcMar>
            <w:vAlign w:val="center"/>
          </w:tcPr>
          <w:p w14:paraId="26A79C8E">
            <w:pPr>
              <w:widowControl/>
              <w:jc w:val="center"/>
              <w:textAlignment w:val="center"/>
              <w:rPr>
                <w:rFonts w:ascii="仿宋" w:hAnsi="仿宋" w:eastAsia="仿宋" w:cs="仿宋"/>
                <w:b/>
                <w:color w:val="auto"/>
                <w:kern w:val="0"/>
                <w:sz w:val="24"/>
                <w:highlight w:val="none"/>
              </w:rPr>
            </w:pPr>
            <w:r>
              <w:rPr>
                <w:rFonts w:hint="eastAsia" w:ascii="仿宋" w:hAnsi="仿宋" w:eastAsia="仿宋" w:cs="仿宋"/>
                <w:b/>
                <w:color w:val="auto"/>
                <w:kern w:val="0"/>
                <w:sz w:val="24"/>
                <w:highlight w:val="none"/>
              </w:rPr>
              <w:t>金额</w:t>
            </w:r>
          </w:p>
          <w:p w14:paraId="4D292657">
            <w:pPr>
              <w:widowControl/>
              <w:jc w:val="center"/>
              <w:textAlignment w:val="center"/>
              <w:rPr>
                <w:rFonts w:ascii="仿宋" w:hAnsi="仿宋" w:eastAsia="仿宋" w:cs="仿宋"/>
                <w:b/>
                <w:color w:val="auto"/>
                <w:kern w:val="0"/>
                <w:sz w:val="24"/>
                <w:highlight w:val="none"/>
              </w:rPr>
            </w:pPr>
            <w:r>
              <w:rPr>
                <w:rFonts w:hint="eastAsia" w:ascii="仿宋" w:hAnsi="仿宋" w:eastAsia="仿宋" w:cs="仿宋"/>
                <w:b/>
                <w:color w:val="auto"/>
                <w:kern w:val="0"/>
                <w:sz w:val="24"/>
                <w:highlight w:val="none"/>
              </w:rPr>
              <w:t>（元）</w:t>
            </w:r>
          </w:p>
        </w:tc>
        <w:tc>
          <w:tcPr>
            <w:tcW w:w="1706" w:type="dxa"/>
            <w:vMerge w:val="continue"/>
            <w:shd w:val="clear" w:color="auto" w:fill="auto"/>
            <w:tcMar>
              <w:top w:w="15" w:type="dxa"/>
              <w:left w:w="15" w:type="dxa"/>
              <w:right w:w="15" w:type="dxa"/>
            </w:tcMar>
            <w:vAlign w:val="center"/>
          </w:tcPr>
          <w:p w14:paraId="0F71E710">
            <w:pPr>
              <w:widowControl/>
              <w:jc w:val="center"/>
              <w:textAlignment w:val="center"/>
              <w:rPr>
                <w:rFonts w:ascii="仿宋" w:hAnsi="仿宋" w:eastAsia="仿宋" w:cs="仿宋"/>
                <w:bCs/>
                <w:color w:val="auto"/>
                <w:kern w:val="0"/>
                <w:sz w:val="24"/>
                <w:highlight w:val="none"/>
              </w:rPr>
            </w:pPr>
          </w:p>
        </w:tc>
      </w:tr>
      <w:tr w14:paraId="37D7A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705DA0F0">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1</w:t>
            </w:r>
          </w:p>
        </w:tc>
        <w:tc>
          <w:tcPr>
            <w:tcW w:w="4883" w:type="dxa"/>
            <w:shd w:val="clear" w:color="auto" w:fill="auto"/>
            <w:tcMar>
              <w:top w:w="15" w:type="dxa"/>
              <w:left w:w="15" w:type="dxa"/>
              <w:right w:w="15" w:type="dxa"/>
            </w:tcMar>
            <w:vAlign w:val="center"/>
          </w:tcPr>
          <w:p w14:paraId="6AC0A24D">
            <w:pPr>
              <w:widowControl/>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日常卫生保洁项目中清扫未达标（每处）</w:t>
            </w:r>
          </w:p>
        </w:tc>
        <w:tc>
          <w:tcPr>
            <w:tcW w:w="2070" w:type="dxa"/>
            <w:shd w:val="clear" w:color="auto" w:fill="auto"/>
            <w:tcMar>
              <w:top w:w="0" w:type="dxa"/>
              <w:left w:w="74" w:type="dxa"/>
              <w:right w:w="74" w:type="dxa"/>
            </w:tcMar>
            <w:vAlign w:val="center"/>
          </w:tcPr>
          <w:p w14:paraId="334581A1">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50</w:t>
            </w:r>
          </w:p>
        </w:tc>
        <w:tc>
          <w:tcPr>
            <w:tcW w:w="1706" w:type="dxa"/>
            <w:shd w:val="clear" w:color="auto" w:fill="auto"/>
            <w:tcMar>
              <w:top w:w="15" w:type="dxa"/>
              <w:left w:w="15" w:type="dxa"/>
              <w:right w:w="15" w:type="dxa"/>
            </w:tcMar>
            <w:vAlign w:val="center"/>
          </w:tcPr>
          <w:p w14:paraId="68AAC498">
            <w:pPr>
              <w:widowControl/>
              <w:jc w:val="center"/>
              <w:textAlignment w:val="center"/>
              <w:rPr>
                <w:rFonts w:ascii="仿宋" w:hAnsi="仿宋" w:eastAsia="仿宋" w:cs="仿宋"/>
                <w:color w:val="auto"/>
                <w:sz w:val="24"/>
                <w:highlight w:val="none"/>
              </w:rPr>
            </w:pPr>
          </w:p>
        </w:tc>
      </w:tr>
      <w:tr w14:paraId="1C372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7114462B">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2</w:t>
            </w:r>
          </w:p>
        </w:tc>
        <w:tc>
          <w:tcPr>
            <w:tcW w:w="4883" w:type="dxa"/>
            <w:shd w:val="clear" w:color="auto" w:fill="auto"/>
            <w:tcMar>
              <w:top w:w="15" w:type="dxa"/>
              <w:left w:w="15" w:type="dxa"/>
              <w:right w:w="15" w:type="dxa"/>
            </w:tcMar>
            <w:vAlign w:val="center"/>
          </w:tcPr>
          <w:p w14:paraId="60D34F0F">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在工作区域张贴与工作无关字画等（每次）</w:t>
            </w:r>
          </w:p>
        </w:tc>
        <w:tc>
          <w:tcPr>
            <w:tcW w:w="2070" w:type="dxa"/>
            <w:shd w:val="clear" w:color="auto" w:fill="auto"/>
            <w:tcMar>
              <w:top w:w="0" w:type="dxa"/>
              <w:left w:w="74" w:type="dxa"/>
              <w:right w:w="74" w:type="dxa"/>
            </w:tcMar>
            <w:vAlign w:val="center"/>
          </w:tcPr>
          <w:p w14:paraId="1E3583F8">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50</w:t>
            </w:r>
          </w:p>
        </w:tc>
        <w:tc>
          <w:tcPr>
            <w:tcW w:w="1706" w:type="dxa"/>
            <w:shd w:val="clear" w:color="auto" w:fill="auto"/>
            <w:tcMar>
              <w:top w:w="15" w:type="dxa"/>
              <w:left w:w="15" w:type="dxa"/>
              <w:right w:w="15" w:type="dxa"/>
            </w:tcMar>
            <w:vAlign w:val="center"/>
          </w:tcPr>
          <w:p w14:paraId="1A4F2FC7">
            <w:pPr>
              <w:widowControl/>
              <w:jc w:val="center"/>
              <w:textAlignment w:val="center"/>
              <w:rPr>
                <w:rFonts w:ascii="仿宋" w:hAnsi="仿宋" w:eastAsia="仿宋" w:cs="仿宋"/>
                <w:color w:val="auto"/>
                <w:sz w:val="24"/>
                <w:highlight w:val="none"/>
              </w:rPr>
            </w:pPr>
          </w:p>
        </w:tc>
      </w:tr>
      <w:tr w14:paraId="7C4C7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60226B63">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3</w:t>
            </w:r>
          </w:p>
        </w:tc>
        <w:tc>
          <w:tcPr>
            <w:tcW w:w="4883" w:type="dxa"/>
            <w:shd w:val="clear" w:color="auto" w:fill="auto"/>
            <w:tcMar>
              <w:top w:w="15" w:type="dxa"/>
              <w:left w:w="15" w:type="dxa"/>
              <w:right w:w="15" w:type="dxa"/>
            </w:tcMar>
            <w:vAlign w:val="center"/>
          </w:tcPr>
          <w:p w14:paraId="38AF6429">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未按规定用电，使用不匹配充电设备，未在指定地点使用设备充电的</w:t>
            </w:r>
          </w:p>
        </w:tc>
        <w:tc>
          <w:tcPr>
            <w:tcW w:w="2070" w:type="dxa"/>
            <w:shd w:val="clear" w:color="auto" w:fill="auto"/>
            <w:tcMar>
              <w:top w:w="0" w:type="dxa"/>
              <w:left w:w="74" w:type="dxa"/>
              <w:right w:w="74" w:type="dxa"/>
            </w:tcMar>
            <w:vAlign w:val="center"/>
          </w:tcPr>
          <w:p w14:paraId="4608EA0D">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50</w:t>
            </w:r>
          </w:p>
        </w:tc>
        <w:tc>
          <w:tcPr>
            <w:tcW w:w="1706" w:type="dxa"/>
            <w:shd w:val="clear" w:color="auto" w:fill="auto"/>
            <w:tcMar>
              <w:top w:w="15" w:type="dxa"/>
              <w:left w:w="15" w:type="dxa"/>
              <w:right w:w="15" w:type="dxa"/>
            </w:tcMar>
            <w:vAlign w:val="center"/>
          </w:tcPr>
          <w:p w14:paraId="22D0E0A6">
            <w:pPr>
              <w:widowControl/>
              <w:jc w:val="center"/>
              <w:textAlignment w:val="center"/>
              <w:rPr>
                <w:rFonts w:ascii="仿宋" w:hAnsi="仿宋" w:eastAsia="仿宋" w:cs="仿宋"/>
                <w:color w:val="auto"/>
                <w:sz w:val="24"/>
                <w:highlight w:val="none"/>
              </w:rPr>
            </w:pPr>
          </w:p>
        </w:tc>
      </w:tr>
      <w:tr w14:paraId="59345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25016653">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4</w:t>
            </w:r>
          </w:p>
        </w:tc>
        <w:tc>
          <w:tcPr>
            <w:tcW w:w="4883" w:type="dxa"/>
            <w:shd w:val="clear" w:color="auto" w:fill="auto"/>
            <w:tcMar>
              <w:top w:w="15" w:type="dxa"/>
              <w:left w:w="15" w:type="dxa"/>
              <w:right w:w="15" w:type="dxa"/>
            </w:tcMar>
            <w:vAlign w:val="center"/>
          </w:tcPr>
          <w:p w14:paraId="7517D103">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着工装在工作区域内吃东西、打闹、嘻戏等不文明行为的（每人次）</w:t>
            </w:r>
          </w:p>
        </w:tc>
        <w:tc>
          <w:tcPr>
            <w:tcW w:w="2070" w:type="dxa"/>
            <w:shd w:val="clear" w:color="auto" w:fill="auto"/>
            <w:tcMar>
              <w:top w:w="0" w:type="dxa"/>
              <w:left w:w="74" w:type="dxa"/>
              <w:right w:w="74" w:type="dxa"/>
            </w:tcMar>
            <w:vAlign w:val="center"/>
          </w:tcPr>
          <w:p w14:paraId="2E13F998">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50</w:t>
            </w:r>
          </w:p>
        </w:tc>
        <w:tc>
          <w:tcPr>
            <w:tcW w:w="1706" w:type="dxa"/>
            <w:shd w:val="clear" w:color="auto" w:fill="auto"/>
            <w:tcMar>
              <w:top w:w="15" w:type="dxa"/>
              <w:left w:w="15" w:type="dxa"/>
              <w:right w:w="15" w:type="dxa"/>
            </w:tcMar>
            <w:vAlign w:val="center"/>
          </w:tcPr>
          <w:p w14:paraId="180C36B4">
            <w:pPr>
              <w:widowControl/>
              <w:jc w:val="center"/>
              <w:textAlignment w:val="center"/>
              <w:rPr>
                <w:rFonts w:ascii="仿宋" w:hAnsi="仿宋" w:eastAsia="仿宋" w:cs="仿宋"/>
                <w:color w:val="auto"/>
                <w:sz w:val="24"/>
                <w:highlight w:val="none"/>
              </w:rPr>
            </w:pPr>
          </w:p>
        </w:tc>
      </w:tr>
      <w:tr w14:paraId="61F9E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6794FF8B">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5</w:t>
            </w:r>
          </w:p>
        </w:tc>
        <w:tc>
          <w:tcPr>
            <w:tcW w:w="4883" w:type="dxa"/>
            <w:shd w:val="clear" w:color="auto" w:fill="auto"/>
            <w:tcMar>
              <w:top w:w="15" w:type="dxa"/>
              <w:left w:w="15" w:type="dxa"/>
              <w:right w:w="15" w:type="dxa"/>
            </w:tcMar>
            <w:vAlign w:val="center"/>
          </w:tcPr>
          <w:p w14:paraId="2D15DB4B">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人员迟到、早退</w:t>
            </w:r>
            <w:r>
              <w:rPr>
                <w:rStyle w:val="150"/>
                <w:rFonts w:hint="default" w:ascii="仿宋" w:hAnsi="仿宋" w:eastAsia="仿宋" w:cs="仿宋"/>
                <w:color w:val="auto"/>
                <w:sz w:val="24"/>
                <w:szCs w:val="24"/>
                <w:highlight w:val="none"/>
                <w:lang w:bidi="ar"/>
              </w:rPr>
              <w:t>造成区域卫生未打扫干净的（每人次）</w:t>
            </w:r>
          </w:p>
        </w:tc>
        <w:tc>
          <w:tcPr>
            <w:tcW w:w="2070" w:type="dxa"/>
            <w:shd w:val="clear" w:color="auto" w:fill="auto"/>
            <w:tcMar>
              <w:top w:w="0" w:type="dxa"/>
              <w:left w:w="74" w:type="dxa"/>
              <w:right w:w="74" w:type="dxa"/>
            </w:tcMar>
            <w:vAlign w:val="center"/>
          </w:tcPr>
          <w:p w14:paraId="20CA5E32">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50</w:t>
            </w:r>
          </w:p>
        </w:tc>
        <w:tc>
          <w:tcPr>
            <w:tcW w:w="1706" w:type="dxa"/>
            <w:shd w:val="clear" w:color="auto" w:fill="auto"/>
            <w:tcMar>
              <w:top w:w="15" w:type="dxa"/>
              <w:left w:w="15" w:type="dxa"/>
              <w:right w:w="15" w:type="dxa"/>
            </w:tcMar>
            <w:vAlign w:val="center"/>
          </w:tcPr>
          <w:p w14:paraId="082CBFFB">
            <w:pPr>
              <w:widowControl/>
              <w:jc w:val="center"/>
              <w:textAlignment w:val="center"/>
              <w:rPr>
                <w:rFonts w:ascii="仿宋" w:hAnsi="仿宋" w:eastAsia="仿宋" w:cs="仿宋"/>
                <w:color w:val="auto"/>
                <w:sz w:val="24"/>
                <w:highlight w:val="none"/>
              </w:rPr>
            </w:pPr>
          </w:p>
        </w:tc>
      </w:tr>
      <w:tr w14:paraId="74FC5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44C9A08A">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 xml:space="preserve">6          </w:t>
            </w:r>
          </w:p>
        </w:tc>
        <w:tc>
          <w:tcPr>
            <w:tcW w:w="4883" w:type="dxa"/>
            <w:shd w:val="clear" w:color="auto" w:fill="auto"/>
            <w:tcMar>
              <w:top w:w="15" w:type="dxa"/>
              <w:left w:w="15" w:type="dxa"/>
              <w:right w:w="15" w:type="dxa"/>
            </w:tcMar>
            <w:vAlign w:val="center"/>
          </w:tcPr>
          <w:p w14:paraId="087FB8E6">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遗失、损坏钥匙、门禁卡等相关物品的照价赔偿（每次）</w:t>
            </w:r>
          </w:p>
        </w:tc>
        <w:tc>
          <w:tcPr>
            <w:tcW w:w="2070" w:type="dxa"/>
            <w:shd w:val="clear" w:color="auto" w:fill="auto"/>
            <w:tcMar>
              <w:top w:w="0" w:type="dxa"/>
              <w:left w:w="74" w:type="dxa"/>
              <w:right w:w="74" w:type="dxa"/>
            </w:tcMar>
            <w:vAlign w:val="center"/>
          </w:tcPr>
          <w:p w14:paraId="2E11A2D5">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50</w:t>
            </w:r>
          </w:p>
        </w:tc>
        <w:tc>
          <w:tcPr>
            <w:tcW w:w="1706" w:type="dxa"/>
            <w:shd w:val="clear" w:color="auto" w:fill="auto"/>
            <w:tcMar>
              <w:top w:w="15" w:type="dxa"/>
              <w:left w:w="15" w:type="dxa"/>
              <w:right w:w="15" w:type="dxa"/>
            </w:tcMar>
            <w:vAlign w:val="center"/>
          </w:tcPr>
          <w:p w14:paraId="64936132">
            <w:pPr>
              <w:widowControl/>
              <w:jc w:val="center"/>
              <w:textAlignment w:val="center"/>
              <w:rPr>
                <w:rFonts w:ascii="仿宋" w:hAnsi="仿宋" w:eastAsia="仿宋" w:cs="仿宋"/>
                <w:color w:val="auto"/>
                <w:sz w:val="24"/>
                <w:highlight w:val="none"/>
              </w:rPr>
            </w:pPr>
          </w:p>
        </w:tc>
      </w:tr>
      <w:tr w14:paraId="5DE5C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226B75B4">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7</w:t>
            </w:r>
          </w:p>
        </w:tc>
        <w:tc>
          <w:tcPr>
            <w:tcW w:w="4883" w:type="dxa"/>
            <w:shd w:val="clear" w:color="auto" w:fill="auto"/>
            <w:tcMar>
              <w:top w:w="15" w:type="dxa"/>
              <w:left w:w="15" w:type="dxa"/>
              <w:right w:w="15" w:type="dxa"/>
            </w:tcMar>
            <w:vAlign w:val="center"/>
          </w:tcPr>
          <w:p w14:paraId="7CDF5A65">
            <w:pPr>
              <w:widowControl/>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私自在非指定区域内堆放物品的</w:t>
            </w:r>
            <w:r>
              <w:rPr>
                <w:rStyle w:val="74"/>
                <w:rFonts w:hint="default" w:ascii="仿宋" w:hAnsi="仿宋" w:eastAsia="仿宋" w:cs="仿宋"/>
                <w:color w:val="auto"/>
                <w:sz w:val="24"/>
                <w:szCs w:val="24"/>
                <w:highlight w:val="none"/>
                <w:lang w:bidi="ar"/>
              </w:rPr>
              <w:t>。</w:t>
            </w:r>
          </w:p>
        </w:tc>
        <w:tc>
          <w:tcPr>
            <w:tcW w:w="2070" w:type="dxa"/>
            <w:shd w:val="clear" w:color="auto" w:fill="auto"/>
            <w:tcMar>
              <w:top w:w="0" w:type="dxa"/>
              <w:left w:w="74" w:type="dxa"/>
              <w:right w:w="74" w:type="dxa"/>
            </w:tcMar>
            <w:vAlign w:val="center"/>
          </w:tcPr>
          <w:p w14:paraId="2649AA61">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50</w:t>
            </w:r>
          </w:p>
        </w:tc>
        <w:tc>
          <w:tcPr>
            <w:tcW w:w="1706" w:type="dxa"/>
            <w:shd w:val="clear" w:color="auto" w:fill="auto"/>
            <w:tcMar>
              <w:top w:w="15" w:type="dxa"/>
              <w:left w:w="15" w:type="dxa"/>
              <w:right w:w="15" w:type="dxa"/>
            </w:tcMar>
            <w:vAlign w:val="center"/>
          </w:tcPr>
          <w:p w14:paraId="5555F85B">
            <w:pPr>
              <w:widowControl/>
              <w:jc w:val="center"/>
              <w:textAlignment w:val="center"/>
              <w:rPr>
                <w:rFonts w:ascii="仿宋" w:hAnsi="仿宋" w:eastAsia="仿宋" w:cs="仿宋"/>
                <w:color w:val="auto"/>
                <w:sz w:val="24"/>
                <w:highlight w:val="none"/>
              </w:rPr>
            </w:pPr>
          </w:p>
        </w:tc>
      </w:tr>
      <w:tr w14:paraId="1FEAB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1FFB705A">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8</w:t>
            </w:r>
          </w:p>
        </w:tc>
        <w:tc>
          <w:tcPr>
            <w:tcW w:w="4883" w:type="dxa"/>
            <w:shd w:val="clear" w:color="auto" w:fill="auto"/>
            <w:tcMar>
              <w:top w:w="15" w:type="dxa"/>
              <w:left w:w="15" w:type="dxa"/>
              <w:right w:w="15" w:type="dxa"/>
            </w:tcMar>
            <w:vAlign w:val="center"/>
          </w:tcPr>
          <w:p w14:paraId="0A412A4B">
            <w:pPr>
              <w:pStyle w:val="113"/>
              <w:textAlignment w:val="baseline"/>
              <w:rPr>
                <w:rFonts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中标方人员所管辖区域内工具材料未堆放整齐或卫生脏乱</w:t>
            </w:r>
          </w:p>
        </w:tc>
        <w:tc>
          <w:tcPr>
            <w:tcW w:w="2070" w:type="dxa"/>
            <w:shd w:val="clear" w:color="auto" w:fill="auto"/>
            <w:tcMar>
              <w:top w:w="0" w:type="dxa"/>
              <w:left w:w="74" w:type="dxa"/>
              <w:right w:w="74" w:type="dxa"/>
            </w:tcMar>
            <w:vAlign w:val="center"/>
          </w:tcPr>
          <w:p w14:paraId="62FDDA8B">
            <w:pPr>
              <w:widowControl/>
              <w:jc w:val="center"/>
              <w:textAlignment w:val="center"/>
              <w:rPr>
                <w:rFonts w:ascii="仿宋" w:hAnsi="仿宋" w:eastAsia="仿宋" w:cs="仿宋"/>
                <w:bCs/>
                <w:color w:val="auto"/>
                <w:sz w:val="24"/>
                <w:highlight w:val="none"/>
              </w:rPr>
            </w:pPr>
            <w:r>
              <w:rPr>
                <w:rFonts w:hint="eastAsia" w:ascii="仿宋" w:hAnsi="仿宋" w:eastAsia="仿宋" w:cs="仿宋"/>
                <w:color w:val="auto"/>
                <w:kern w:val="0"/>
                <w:sz w:val="24"/>
                <w:highlight w:val="none"/>
                <w:lang w:bidi="ar"/>
              </w:rPr>
              <w:t>50</w:t>
            </w:r>
          </w:p>
        </w:tc>
        <w:tc>
          <w:tcPr>
            <w:tcW w:w="1706" w:type="dxa"/>
            <w:shd w:val="clear" w:color="auto" w:fill="auto"/>
            <w:tcMar>
              <w:top w:w="15" w:type="dxa"/>
              <w:left w:w="15" w:type="dxa"/>
              <w:right w:w="15" w:type="dxa"/>
            </w:tcMar>
            <w:vAlign w:val="center"/>
          </w:tcPr>
          <w:p w14:paraId="632E37F9">
            <w:pPr>
              <w:widowControl/>
              <w:jc w:val="center"/>
              <w:textAlignment w:val="center"/>
              <w:rPr>
                <w:rFonts w:ascii="仿宋" w:hAnsi="仿宋" w:eastAsia="仿宋" w:cs="仿宋"/>
                <w:color w:val="auto"/>
                <w:sz w:val="24"/>
                <w:highlight w:val="none"/>
              </w:rPr>
            </w:pPr>
          </w:p>
        </w:tc>
      </w:tr>
      <w:tr w14:paraId="0E58F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4F217161">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9</w:t>
            </w:r>
          </w:p>
        </w:tc>
        <w:tc>
          <w:tcPr>
            <w:tcW w:w="4883" w:type="dxa"/>
            <w:shd w:val="clear" w:color="auto" w:fill="auto"/>
            <w:tcMar>
              <w:top w:w="15" w:type="dxa"/>
              <w:left w:w="15" w:type="dxa"/>
              <w:right w:w="15" w:type="dxa"/>
            </w:tcMar>
            <w:vAlign w:val="center"/>
          </w:tcPr>
          <w:p w14:paraId="4FBD88F4">
            <w:pPr>
              <w:pStyle w:val="113"/>
              <w:textAlignment w:val="baseline"/>
              <w:rPr>
                <w:rFonts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中标方人员私接电源或违规使用电器设备</w:t>
            </w:r>
          </w:p>
        </w:tc>
        <w:tc>
          <w:tcPr>
            <w:tcW w:w="2070" w:type="dxa"/>
            <w:shd w:val="clear" w:color="auto" w:fill="auto"/>
            <w:tcMar>
              <w:top w:w="0" w:type="dxa"/>
              <w:left w:w="74" w:type="dxa"/>
              <w:right w:w="74" w:type="dxa"/>
            </w:tcMar>
            <w:vAlign w:val="center"/>
          </w:tcPr>
          <w:p w14:paraId="6D713A2B">
            <w:pPr>
              <w:widowControl/>
              <w:jc w:val="center"/>
              <w:textAlignment w:val="center"/>
              <w:rPr>
                <w:rFonts w:hint="default" w:ascii="仿宋" w:hAnsi="仿宋" w:eastAsia="仿宋" w:cs="仿宋"/>
                <w:color w:val="auto"/>
                <w:sz w:val="24"/>
                <w:highlight w:val="none"/>
                <w:lang w:val="en-US" w:eastAsia="zh-CN"/>
              </w:rPr>
            </w:pPr>
            <w:r>
              <w:rPr>
                <w:rFonts w:hint="eastAsia" w:ascii="仿宋" w:hAnsi="仿宋" w:eastAsia="仿宋" w:cs="仿宋"/>
                <w:color w:val="auto"/>
                <w:kern w:val="0"/>
                <w:sz w:val="24"/>
                <w:highlight w:val="none"/>
                <w:lang w:val="en-US" w:eastAsia="zh-CN" w:bidi="ar"/>
              </w:rPr>
              <w:t>100</w:t>
            </w:r>
          </w:p>
        </w:tc>
        <w:tc>
          <w:tcPr>
            <w:tcW w:w="1706" w:type="dxa"/>
            <w:shd w:val="clear" w:color="auto" w:fill="auto"/>
            <w:tcMar>
              <w:top w:w="15" w:type="dxa"/>
              <w:left w:w="15" w:type="dxa"/>
              <w:right w:w="15" w:type="dxa"/>
            </w:tcMar>
            <w:vAlign w:val="center"/>
          </w:tcPr>
          <w:p w14:paraId="6D995206">
            <w:pPr>
              <w:widowControl/>
              <w:jc w:val="center"/>
              <w:textAlignment w:val="center"/>
              <w:rPr>
                <w:rFonts w:ascii="仿宋" w:hAnsi="仿宋" w:eastAsia="仿宋" w:cs="仿宋"/>
                <w:color w:val="auto"/>
                <w:sz w:val="24"/>
                <w:highlight w:val="none"/>
              </w:rPr>
            </w:pPr>
          </w:p>
        </w:tc>
      </w:tr>
      <w:tr w14:paraId="6F943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78689BCF">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10</w:t>
            </w:r>
          </w:p>
        </w:tc>
        <w:tc>
          <w:tcPr>
            <w:tcW w:w="4883" w:type="dxa"/>
            <w:shd w:val="clear" w:color="auto" w:fill="auto"/>
            <w:tcMar>
              <w:top w:w="15" w:type="dxa"/>
              <w:left w:w="15" w:type="dxa"/>
              <w:right w:w="15" w:type="dxa"/>
            </w:tcMar>
            <w:vAlign w:val="center"/>
          </w:tcPr>
          <w:p w14:paraId="6FA588A6">
            <w:pPr>
              <w:widowControl/>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同一区域连续两次反映相同保洁问题，都未进行整改的</w:t>
            </w:r>
          </w:p>
        </w:tc>
        <w:tc>
          <w:tcPr>
            <w:tcW w:w="2070" w:type="dxa"/>
            <w:shd w:val="clear" w:color="auto" w:fill="auto"/>
            <w:tcMar>
              <w:top w:w="0" w:type="dxa"/>
              <w:left w:w="74" w:type="dxa"/>
              <w:right w:w="74" w:type="dxa"/>
            </w:tcMar>
            <w:vAlign w:val="center"/>
          </w:tcPr>
          <w:p w14:paraId="7D038D92">
            <w:pPr>
              <w:widowControl/>
              <w:jc w:val="center"/>
              <w:textAlignment w:val="center"/>
              <w:rPr>
                <w:rFonts w:hint="default" w:ascii="仿宋" w:hAnsi="仿宋" w:eastAsia="仿宋" w:cs="仿宋"/>
                <w:color w:val="auto"/>
                <w:sz w:val="24"/>
                <w:highlight w:val="none"/>
                <w:lang w:val="en-US" w:eastAsia="zh-CN"/>
              </w:rPr>
            </w:pPr>
            <w:r>
              <w:rPr>
                <w:rFonts w:hint="eastAsia" w:ascii="仿宋" w:hAnsi="仿宋" w:eastAsia="仿宋" w:cs="仿宋"/>
                <w:color w:val="auto"/>
                <w:kern w:val="0"/>
                <w:sz w:val="24"/>
                <w:highlight w:val="none"/>
                <w:lang w:val="en-US" w:eastAsia="zh-CN" w:bidi="ar"/>
              </w:rPr>
              <w:t>100</w:t>
            </w:r>
          </w:p>
        </w:tc>
        <w:tc>
          <w:tcPr>
            <w:tcW w:w="1706" w:type="dxa"/>
            <w:shd w:val="clear" w:color="auto" w:fill="auto"/>
            <w:tcMar>
              <w:top w:w="15" w:type="dxa"/>
              <w:left w:w="15" w:type="dxa"/>
              <w:right w:w="15" w:type="dxa"/>
            </w:tcMar>
            <w:vAlign w:val="center"/>
          </w:tcPr>
          <w:p w14:paraId="3ABDDDF8">
            <w:pPr>
              <w:widowControl/>
              <w:jc w:val="center"/>
              <w:textAlignment w:val="center"/>
              <w:rPr>
                <w:rFonts w:ascii="仿宋" w:hAnsi="仿宋" w:eastAsia="仿宋" w:cs="仿宋"/>
                <w:color w:val="auto"/>
                <w:sz w:val="24"/>
                <w:highlight w:val="none"/>
              </w:rPr>
            </w:pPr>
          </w:p>
        </w:tc>
      </w:tr>
      <w:tr w14:paraId="015DF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3C7CCC3D">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11</w:t>
            </w:r>
          </w:p>
        </w:tc>
        <w:tc>
          <w:tcPr>
            <w:tcW w:w="4883" w:type="dxa"/>
            <w:shd w:val="clear" w:color="auto" w:fill="auto"/>
            <w:tcMar>
              <w:top w:w="15" w:type="dxa"/>
              <w:left w:w="15" w:type="dxa"/>
              <w:right w:w="15" w:type="dxa"/>
            </w:tcMar>
            <w:vAlign w:val="center"/>
          </w:tcPr>
          <w:p w14:paraId="4B909942">
            <w:pPr>
              <w:widowControl/>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在接受相关部门检查时，保洁服务未达到检查标准的。</w:t>
            </w:r>
          </w:p>
        </w:tc>
        <w:tc>
          <w:tcPr>
            <w:tcW w:w="2070" w:type="dxa"/>
            <w:shd w:val="clear" w:color="auto" w:fill="auto"/>
            <w:tcMar>
              <w:top w:w="0" w:type="dxa"/>
              <w:left w:w="74" w:type="dxa"/>
              <w:right w:w="74" w:type="dxa"/>
            </w:tcMar>
            <w:vAlign w:val="center"/>
          </w:tcPr>
          <w:p w14:paraId="4A8819BE">
            <w:pPr>
              <w:widowControl/>
              <w:jc w:val="center"/>
              <w:textAlignment w:val="center"/>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100</w:t>
            </w:r>
          </w:p>
        </w:tc>
        <w:tc>
          <w:tcPr>
            <w:tcW w:w="1706" w:type="dxa"/>
            <w:shd w:val="clear" w:color="auto" w:fill="auto"/>
            <w:tcMar>
              <w:top w:w="15" w:type="dxa"/>
              <w:left w:w="15" w:type="dxa"/>
              <w:right w:w="15" w:type="dxa"/>
            </w:tcMar>
            <w:vAlign w:val="center"/>
          </w:tcPr>
          <w:p w14:paraId="41B52F31">
            <w:pPr>
              <w:widowControl/>
              <w:jc w:val="center"/>
              <w:textAlignment w:val="center"/>
              <w:rPr>
                <w:rFonts w:ascii="仿宋" w:hAnsi="仿宋" w:eastAsia="仿宋" w:cs="仿宋"/>
                <w:color w:val="auto"/>
                <w:sz w:val="24"/>
                <w:highlight w:val="none"/>
              </w:rPr>
            </w:pPr>
          </w:p>
        </w:tc>
      </w:tr>
      <w:tr w14:paraId="15628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77E3AED8">
            <w:pPr>
              <w:widowControl/>
              <w:jc w:val="center"/>
              <w:textAlignment w:val="center"/>
              <w:rPr>
                <w:rFonts w:ascii="仿宋" w:hAnsi="仿宋" w:eastAsia="仿宋" w:cs="仿宋"/>
                <w:bCs/>
                <w:color w:val="auto"/>
                <w:kern w:val="0"/>
                <w:sz w:val="24"/>
                <w:highlight w:val="none"/>
              </w:rPr>
            </w:pPr>
            <w:r>
              <w:rPr>
                <w:rFonts w:ascii="仿宋" w:hAnsi="仿宋" w:eastAsia="仿宋" w:cs="仿宋"/>
                <w:bCs/>
                <w:color w:val="auto"/>
                <w:kern w:val="0"/>
                <w:sz w:val="24"/>
                <w:highlight w:val="none"/>
              </w:rPr>
              <w:t>12</w:t>
            </w:r>
          </w:p>
        </w:tc>
        <w:tc>
          <w:tcPr>
            <w:tcW w:w="4883" w:type="dxa"/>
            <w:shd w:val="clear" w:color="auto" w:fill="auto"/>
            <w:tcMar>
              <w:top w:w="15" w:type="dxa"/>
              <w:left w:w="15" w:type="dxa"/>
              <w:right w:w="15" w:type="dxa"/>
            </w:tcMar>
            <w:vAlign w:val="center"/>
          </w:tcPr>
          <w:p w14:paraId="4EB6ECAC">
            <w:pPr>
              <w:widowControl/>
              <w:jc w:val="left"/>
              <w:textAlignment w:val="center"/>
              <w:rPr>
                <w:rFonts w:hint="eastAsia" w:ascii="仿宋" w:hAnsi="仿宋" w:eastAsia="仿宋" w:cs="仿宋"/>
                <w:color w:val="auto"/>
                <w:sz w:val="24"/>
                <w:highlight w:val="none"/>
                <w:lang w:val="en-US" w:eastAsia="zh-CN"/>
              </w:rPr>
            </w:pPr>
            <w:r>
              <w:rPr>
                <w:rFonts w:hint="eastAsia" w:ascii="仿宋" w:hAnsi="仿宋" w:eastAsia="仿宋" w:cs="仿宋"/>
                <w:color w:val="auto"/>
                <w:kern w:val="0"/>
                <w:sz w:val="24"/>
                <w:highlight w:val="none"/>
                <w:lang w:bidi="ar"/>
              </w:rPr>
              <w:t>人员迟到、早退（</w:t>
            </w:r>
            <w:r>
              <w:rPr>
                <w:rStyle w:val="151"/>
                <w:rFonts w:hint="eastAsia" w:ascii="仿宋" w:hAnsi="仿宋" w:eastAsia="仿宋" w:cs="仿宋"/>
                <w:color w:val="auto"/>
                <w:sz w:val="24"/>
                <w:szCs w:val="24"/>
                <w:highlight w:val="none"/>
                <w:lang w:bidi="ar"/>
              </w:rPr>
              <w:t>4</w:t>
            </w:r>
            <w:r>
              <w:rPr>
                <w:rStyle w:val="150"/>
                <w:rFonts w:hint="default" w:ascii="仿宋" w:hAnsi="仿宋" w:eastAsia="仿宋" w:cs="仿宋"/>
                <w:color w:val="auto"/>
                <w:sz w:val="24"/>
                <w:szCs w:val="24"/>
                <w:highlight w:val="none"/>
                <w:lang w:bidi="ar"/>
              </w:rPr>
              <w:t>小时以上）（每人次），按缺岗处理</w:t>
            </w:r>
            <w:r>
              <w:rPr>
                <w:rStyle w:val="150"/>
                <w:rFonts w:hint="eastAsia" w:ascii="仿宋" w:hAnsi="仿宋" w:eastAsia="仿宋" w:cs="仿宋"/>
                <w:color w:val="auto"/>
                <w:sz w:val="24"/>
                <w:szCs w:val="24"/>
                <w:highlight w:val="none"/>
                <w:lang w:val="en-US" w:eastAsia="zh-CN" w:bidi="ar"/>
              </w:rPr>
              <w:t>.</w:t>
            </w:r>
          </w:p>
        </w:tc>
        <w:tc>
          <w:tcPr>
            <w:tcW w:w="2070" w:type="dxa"/>
            <w:shd w:val="clear" w:color="auto" w:fill="auto"/>
            <w:tcMar>
              <w:top w:w="0" w:type="dxa"/>
              <w:left w:w="74" w:type="dxa"/>
              <w:right w:w="74" w:type="dxa"/>
            </w:tcMar>
            <w:vAlign w:val="center"/>
          </w:tcPr>
          <w:p w14:paraId="0740CC4B">
            <w:pPr>
              <w:widowControl/>
              <w:jc w:val="center"/>
              <w:textAlignment w:val="center"/>
              <w:rPr>
                <w:rFonts w:hint="default" w:ascii="仿宋" w:hAnsi="仿宋" w:eastAsia="仿宋" w:cs="仿宋"/>
                <w:color w:val="auto"/>
                <w:sz w:val="24"/>
                <w:highlight w:val="none"/>
                <w:lang w:val="en-US" w:eastAsia="zh-CN"/>
              </w:rPr>
            </w:pPr>
            <w:r>
              <w:rPr>
                <w:rFonts w:hint="eastAsia" w:ascii="仿宋" w:hAnsi="仿宋" w:eastAsia="仿宋" w:cs="仿宋"/>
                <w:color w:val="auto"/>
                <w:kern w:val="0"/>
                <w:sz w:val="24"/>
                <w:highlight w:val="none"/>
                <w:lang w:val="en-US" w:eastAsia="zh-CN" w:bidi="ar"/>
              </w:rPr>
              <w:t>100</w:t>
            </w:r>
          </w:p>
        </w:tc>
        <w:tc>
          <w:tcPr>
            <w:tcW w:w="1706" w:type="dxa"/>
            <w:shd w:val="clear" w:color="auto" w:fill="auto"/>
            <w:tcMar>
              <w:top w:w="15" w:type="dxa"/>
              <w:left w:w="15" w:type="dxa"/>
              <w:right w:w="15" w:type="dxa"/>
            </w:tcMar>
            <w:vAlign w:val="center"/>
          </w:tcPr>
          <w:p w14:paraId="0EFEB4E6">
            <w:pPr>
              <w:widowControl/>
              <w:jc w:val="center"/>
              <w:textAlignment w:val="center"/>
              <w:rPr>
                <w:rFonts w:ascii="仿宋" w:hAnsi="仿宋" w:eastAsia="仿宋" w:cs="仿宋"/>
                <w:color w:val="auto"/>
                <w:sz w:val="24"/>
                <w:highlight w:val="none"/>
              </w:rPr>
            </w:pPr>
          </w:p>
        </w:tc>
      </w:tr>
      <w:tr w14:paraId="37300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5105A742">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13</w:t>
            </w:r>
          </w:p>
        </w:tc>
        <w:tc>
          <w:tcPr>
            <w:tcW w:w="4883" w:type="dxa"/>
            <w:shd w:val="clear" w:color="auto" w:fill="auto"/>
            <w:tcMar>
              <w:top w:w="15" w:type="dxa"/>
              <w:left w:w="15" w:type="dxa"/>
              <w:right w:w="15" w:type="dxa"/>
            </w:tcMar>
            <w:vAlign w:val="center"/>
          </w:tcPr>
          <w:p w14:paraId="151F7912">
            <w:pPr>
              <w:widowControl/>
              <w:jc w:val="left"/>
              <w:textAlignment w:val="center"/>
              <w:rPr>
                <w:rFonts w:hint="eastAsia" w:ascii="仿宋" w:hAnsi="仿宋" w:eastAsia="仿宋" w:cs="仿宋"/>
                <w:color w:val="auto"/>
                <w:sz w:val="24"/>
                <w:highlight w:val="none"/>
                <w:lang w:eastAsia="zh-CN"/>
              </w:rPr>
            </w:pPr>
            <w:r>
              <w:rPr>
                <w:rFonts w:hint="eastAsia" w:ascii="仿宋" w:hAnsi="仿宋" w:eastAsia="仿宋" w:cs="仿宋"/>
                <w:color w:val="auto"/>
                <w:kern w:val="0"/>
                <w:sz w:val="24"/>
                <w:highlight w:val="none"/>
                <w:lang w:bidi="ar"/>
              </w:rPr>
              <w:t>未经招标方同意，擅自进入设备房等重点区域的（每人次）</w:t>
            </w:r>
          </w:p>
        </w:tc>
        <w:tc>
          <w:tcPr>
            <w:tcW w:w="2070" w:type="dxa"/>
            <w:shd w:val="clear" w:color="auto" w:fill="auto"/>
            <w:tcMar>
              <w:top w:w="0" w:type="dxa"/>
              <w:left w:w="74" w:type="dxa"/>
              <w:right w:w="74" w:type="dxa"/>
            </w:tcMar>
            <w:vAlign w:val="center"/>
          </w:tcPr>
          <w:p w14:paraId="374D9F70">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200</w:t>
            </w:r>
          </w:p>
        </w:tc>
        <w:tc>
          <w:tcPr>
            <w:tcW w:w="1706" w:type="dxa"/>
            <w:shd w:val="clear" w:color="auto" w:fill="auto"/>
            <w:tcMar>
              <w:top w:w="15" w:type="dxa"/>
              <w:left w:w="15" w:type="dxa"/>
              <w:right w:w="15" w:type="dxa"/>
            </w:tcMar>
            <w:vAlign w:val="center"/>
          </w:tcPr>
          <w:p w14:paraId="782129E3">
            <w:pPr>
              <w:widowControl/>
              <w:jc w:val="center"/>
              <w:textAlignment w:val="center"/>
              <w:rPr>
                <w:rFonts w:ascii="仿宋" w:hAnsi="仿宋" w:eastAsia="仿宋" w:cs="仿宋"/>
                <w:color w:val="auto"/>
                <w:sz w:val="24"/>
                <w:highlight w:val="none"/>
              </w:rPr>
            </w:pPr>
          </w:p>
        </w:tc>
      </w:tr>
      <w:tr w14:paraId="75B7E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7898B014">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14</w:t>
            </w:r>
          </w:p>
        </w:tc>
        <w:tc>
          <w:tcPr>
            <w:tcW w:w="4883" w:type="dxa"/>
            <w:shd w:val="clear" w:color="auto" w:fill="auto"/>
            <w:tcMar>
              <w:top w:w="15" w:type="dxa"/>
              <w:left w:w="15" w:type="dxa"/>
              <w:right w:w="15" w:type="dxa"/>
            </w:tcMar>
            <w:vAlign w:val="center"/>
          </w:tcPr>
          <w:p w14:paraId="4B179254">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在工作期间打瞌睡/铺床睡觉的（每次）</w:t>
            </w:r>
          </w:p>
        </w:tc>
        <w:tc>
          <w:tcPr>
            <w:tcW w:w="2070" w:type="dxa"/>
            <w:shd w:val="clear" w:color="auto" w:fill="auto"/>
            <w:tcMar>
              <w:top w:w="0" w:type="dxa"/>
              <w:left w:w="74" w:type="dxa"/>
              <w:right w:w="74" w:type="dxa"/>
            </w:tcMar>
            <w:vAlign w:val="center"/>
          </w:tcPr>
          <w:p w14:paraId="16ECBC7D">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200</w:t>
            </w:r>
          </w:p>
        </w:tc>
        <w:tc>
          <w:tcPr>
            <w:tcW w:w="1706" w:type="dxa"/>
            <w:shd w:val="clear" w:color="auto" w:fill="auto"/>
            <w:tcMar>
              <w:top w:w="15" w:type="dxa"/>
              <w:left w:w="15" w:type="dxa"/>
              <w:right w:w="15" w:type="dxa"/>
            </w:tcMar>
            <w:vAlign w:val="center"/>
          </w:tcPr>
          <w:p w14:paraId="4287BE82">
            <w:pPr>
              <w:widowControl/>
              <w:jc w:val="center"/>
              <w:textAlignment w:val="center"/>
              <w:rPr>
                <w:rFonts w:ascii="仿宋" w:hAnsi="仿宋" w:eastAsia="仿宋" w:cs="仿宋"/>
                <w:color w:val="auto"/>
                <w:sz w:val="24"/>
                <w:highlight w:val="none"/>
              </w:rPr>
            </w:pPr>
          </w:p>
        </w:tc>
      </w:tr>
      <w:tr w14:paraId="1EB3E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130226D0">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15</w:t>
            </w:r>
          </w:p>
        </w:tc>
        <w:tc>
          <w:tcPr>
            <w:tcW w:w="4883" w:type="dxa"/>
            <w:shd w:val="clear" w:color="auto" w:fill="auto"/>
            <w:tcMar>
              <w:top w:w="15" w:type="dxa"/>
              <w:left w:w="15" w:type="dxa"/>
              <w:right w:w="15" w:type="dxa"/>
            </w:tcMar>
            <w:vAlign w:val="center"/>
          </w:tcPr>
          <w:p w14:paraId="393048FC">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未按招标方要求执行相关工作的（每项）</w:t>
            </w:r>
          </w:p>
        </w:tc>
        <w:tc>
          <w:tcPr>
            <w:tcW w:w="2070" w:type="dxa"/>
            <w:shd w:val="clear" w:color="auto" w:fill="auto"/>
            <w:tcMar>
              <w:top w:w="0" w:type="dxa"/>
              <w:left w:w="74" w:type="dxa"/>
              <w:right w:w="74" w:type="dxa"/>
            </w:tcMar>
            <w:vAlign w:val="center"/>
          </w:tcPr>
          <w:p w14:paraId="49155214">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200</w:t>
            </w:r>
          </w:p>
        </w:tc>
        <w:tc>
          <w:tcPr>
            <w:tcW w:w="1706" w:type="dxa"/>
            <w:shd w:val="clear" w:color="auto" w:fill="auto"/>
            <w:tcMar>
              <w:top w:w="15" w:type="dxa"/>
              <w:left w:w="15" w:type="dxa"/>
              <w:right w:w="15" w:type="dxa"/>
            </w:tcMar>
            <w:vAlign w:val="center"/>
          </w:tcPr>
          <w:p w14:paraId="22DBD7DE">
            <w:pPr>
              <w:widowControl/>
              <w:jc w:val="center"/>
              <w:textAlignment w:val="center"/>
              <w:rPr>
                <w:rFonts w:ascii="仿宋" w:hAnsi="仿宋" w:eastAsia="仿宋" w:cs="仿宋"/>
                <w:color w:val="auto"/>
                <w:sz w:val="24"/>
                <w:highlight w:val="none"/>
              </w:rPr>
            </w:pPr>
          </w:p>
        </w:tc>
      </w:tr>
      <w:tr w14:paraId="60987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16E2A5EF">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16</w:t>
            </w:r>
          </w:p>
        </w:tc>
        <w:tc>
          <w:tcPr>
            <w:tcW w:w="4883" w:type="dxa"/>
            <w:shd w:val="clear" w:color="auto" w:fill="auto"/>
            <w:tcMar>
              <w:top w:w="15" w:type="dxa"/>
              <w:left w:w="15" w:type="dxa"/>
              <w:right w:w="15" w:type="dxa"/>
            </w:tcMar>
            <w:vAlign w:val="center"/>
          </w:tcPr>
          <w:p w14:paraId="0F9A7C38">
            <w:pPr>
              <w:pStyle w:val="113"/>
              <w:textAlignment w:val="baseline"/>
              <w:rPr>
                <w:rFonts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保洁人员未按规定着装上岗；酒后上岗或者班中饮酒</w:t>
            </w:r>
            <w:r>
              <w:rPr>
                <w:rFonts w:hint="eastAsia" w:ascii="仿宋" w:hAnsi="仿宋" w:eastAsia="仿宋" w:cs="仿宋"/>
                <w:color w:val="auto"/>
                <w:kern w:val="0"/>
                <w:sz w:val="24"/>
                <w:highlight w:val="none"/>
                <w:lang w:eastAsia="zh-CN" w:bidi="ar"/>
              </w:rPr>
              <w:t>（每人次）</w:t>
            </w:r>
          </w:p>
        </w:tc>
        <w:tc>
          <w:tcPr>
            <w:tcW w:w="2070" w:type="dxa"/>
            <w:shd w:val="clear" w:color="auto" w:fill="auto"/>
            <w:tcMar>
              <w:top w:w="0" w:type="dxa"/>
              <w:left w:w="74" w:type="dxa"/>
              <w:right w:w="74" w:type="dxa"/>
            </w:tcMar>
            <w:vAlign w:val="center"/>
          </w:tcPr>
          <w:p w14:paraId="68178629">
            <w:pPr>
              <w:widowControl/>
              <w:jc w:val="center"/>
              <w:textAlignment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200</w:t>
            </w:r>
          </w:p>
        </w:tc>
        <w:tc>
          <w:tcPr>
            <w:tcW w:w="1706" w:type="dxa"/>
            <w:shd w:val="clear" w:color="auto" w:fill="auto"/>
            <w:tcMar>
              <w:top w:w="15" w:type="dxa"/>
              <w:left w:w="15" w:type="dxa"/>
              <w:right w:w="15" w:type="dxa"/>
            </w:tcMar>
            <w:vAlign w:val="center"/>
          </w:tcPr>
          <w:p w14:paraId="641FFA25">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造成后果责任自负，并赔偿招标方有关损失</w:t>
            </w:r>
          </w:p>
        </w:tc>
      </w:tr>
      <w:tr w14:paraId="57661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1AFB9632">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17</w:t>
            </w:r>
          </w:p>
        </w:tc>
        <w:tc>
          <w:tcPr>
            <w:tcW w:w="4883" w:type="dxa"/>
            <w:shd w:val="clear" w:color="auto" w:fill="auto"/>
            <w:tcMar>
              <w:top w:w="15" w:type="dxa"/>
              <w:left w:w="15" w:type="dxa"/>
              <w:right w:w="15" w:type="dxa"/>
            </w:tcMar>
            <w:vAlign w:val="center"/>
          </w:tcPr>
          <w:p w14:paraId="5C695CFC">
            <w:pPr>
              <w:widowControl/>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经查实，在</w:t>
            </w:r>
            <w:r>
              <w:rPr>
                <w:rStyle w:val="150"/>
                <w:rFonts w:hint="default" w:ascii="仿宋" w:hAnsi="仿宋" w:eastAsia="仿宋" w:cs="仿宋"/>
                <w:color w:val="auto"/>
                <w:sz w:val="24"/>
                <w:szCs w:val="24"/>
                <w:highlight w:val="none"/>
                <w:lang w:bidi="ar"/>
              </w:rPr>
              <w:t>服务区域内捡到物品未及时上交招标方或未及时归还失主的（每人次）</w:t>
            </w:r>
          </w:p>
        </w:tc>
        <w:tc>
          <w:tcPr>
            <w:tcW w:w="2070" w:type="dxa"/>
            <w:shd w:val="clear" w:color="auto" w:fill="auto"/>
            <w:tcMar>
              <w:top w:w="0" w:type="dxa"/>
              <w:left w:w="74" w:type="dxa"/>
              <w:right w:w="74" w:type="dxa"/>
            </w:tcMar>
            <w:vAlign w:val="center"/>
          </w:tcPr>
          <w:p w14:paraId="724AFB67">
            <w:pPr>
              <w:widowControl/>
              <w:jc w:val="center"/>
              <w:textAlignment w:val="center"/>
              <w:rPr>
                <w:rFonts w:hint="default" w:ascii="仿宋" w:hAnsi="仿宋" w:eastAsia="仿宋" w:cs="仿宋"/>
                <w:color w:val="auto"/>
                <w:sz w:val="24"/>
                <w:highlight w:val="none"/>
                <w:lang w:val="en-US" w:eastAsia="zh-CN"/>
              </w:rPr>
            </w:pPr>
            <w:r>
              <w:rPr>
                <w:rFonts w:hint="eastAsia" w:ascii="仿宋" w:hAnsi="仿宋" w:eastAsia="仿宋" w:cs="仿宋"/>
                <w:color w:val="auto"/>
                <w:kern w:val="0"/>
                <w:sz w:val="24"/>
                <w:highlight w:val="none"/>
                <w:lang w:val="en-US" w:eastAsia="zh-CN" w:bidi="ar"/>
              </w:rPr>
              <w:t>200</w:t>
            </w:r>
          </w:p>
        </w:tc>
        <w:tc>
          <w:tcPr>
            <w:tcW w:w="1706" w:type="dxa"/>
            <w:shd w:val="clear" w:color="auto" w:fill="auto"/>
            <w:tcMar>
              <w:top w:w="15" w:type="dxa"/>
              <w:left w:w="15" w:type="dxa"/>
              <w:right w:w="15" w:type="dxa"/>
            </w:tcMar>
            <w:vAlign w:val="center"/>
          </w:tcPr>
          <w:p w14:paraId="2F83F539">
            <w:pPr>
              <w:widowControl/>
              <w:jc w:val="center"/>
              <w:textAlignment w:val="center"/>
              <w:rPr>
                <w:rFonts w:ascii="仿宋" w:hAnsi="仿宋" w:eastAsia="仿宋" w:cs="仿宋"/>
                <w:color w:val="auto"/>
                <w:sz w:val="24"/>
                <w:highlight w:val="none"/>
              </w:rPr>
            </w:pPr>
          </w:p>
        </w:tc>
      </w:tr>
      <w:tr w14:paraId="42992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2D0CF2D8">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18</w:t>
            </w:r>
          </w:p>
        </w:tc>
        <w:tc>
          <w:tcPr>
            <w:tcW w:w="4883" w:type="dxa"/>
            <w:shd w:val="clear" w:color="auto" w:fill="auto"/>
            <w:tcMar>
              <w:top w:w="15" w:type="dxa"/>
              <w:left w:w="15" w:type="dxa"/>
              <w:right w:w="15" w:type="dxa"/>
            </w:tcMar>
            <w:vAlign w:val="center"/>
          </w:tcPr>
          <w:p w14:paraId="7DF29E59">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在禁烟区域吸烟的（每人次）</w:t>
            </w:r>
          </w:p>
        </w:tc>
        <w:tc>
          <w:tcPr>
            <w:tcW w:w="2070" w:type="dxa"/>
            <w:shd w:val="clear" w:color="auto" w:fill="auto"/>
            <w:tcMar>
              <w:top w:w="0" w:type="dxa"/>
              <w:left w:w="74" w:type="dxa"/>
              <w:right w:w="74" w:type="dxa"/>
            </w:tcMar>
            <w:vAlign w:val="center"/>
          </w:tcPr>
          <w:p w14:paraId="7993759C">
            <w:pPr>
              <w:widowControl/>
              <w:jc w:val="center"/>
              <w:textAlignment w:val="center"/>
              <w:rPr>
                <w:rFonts w:hint="default" w:ascii="仿宋" w:hAnsi="仿宋" w:eastAsia="仿宋" w:cs="仿宋"/>
                <w:color w:val="auto"/>
                <w:sz w:val="24"/>
                <w:highlight w:val="none"/>
                <w:lang w:val="en-US" w:eastAsia="zh-CN"/>
              </w:rPr>
            </w:pPr>
            <w:r>
              <w:rPr>
                <w:rFonts w:hint="eastAsia" w:ascii="仿宋" w:hAnsi="仿宋" w:eastAsia="仿宋" w:cs="仿宋"/>
                <w:color w:val="auto"/>
                <w:kern w:val="0"/>
                <w:sz w:val="24"/>
                <w:highlight w:val="none"/>
                <w:lang w:val="en-US" w:eastAsia="zh-CN" w:bidi="ar"/>
              </w:rPr>
              <w:t>200</w:t>
            </w:r>
          </w:p>
        </w:tc>
        <w:tc>
          <w:tcPr>
            <w:tcW w:w="1706" w:type="dxa"/>
            <w:shd w:val="clear" w:color="auto" w:fill="auto"/>
            <w:tcMar>
              <w:top w:w="15" w:type="dxa"/>
              <w:left w:w="15" w:type="dxa"/>
              <w:right w:w="15" w:type="dxa"/>
            </w:tcMar>
            <w:vAlign w:val="center"/>
          </w:tcPr>
          <w:p w14:paraId="0FB17E9F">
            <w:pPr>
              <w:widowControl/>
              <w:jc w:val="center"/>
              <w:textAlignment w:val="center"/>
              <w:rPr>
                <w:rFonts w:ascii="仿宋" w:hAnsi="仿宋" w:eastAsia="仿宋" w:cs="仿宋"/>
                <w:color w:val="auto"/>
                <w:sz w:val="24"/>
                <w:highlight w:val="none"/>
              </w:rPr>
            </w:pPr>
          </w:p>
        </w:tc>
      </w:tr>
      <w:tr w14:paraId="29664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7C0BE4B4">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19</w:t>
            </w:r>
          </w:p>
        </w:tc>
        <w:tc>
          <w:tcPr>
            <w:tcW w:w="4883" w:type="dxa"/>
            <w:shd w:val="clear" w:color="auto" w:fill="auto"/>
            <w:tcMar>
              <w:top w:w="15" w:type="dxa"/>
              <w:left w:w="15" w:type="dxa"/>
              <w:right w:w="15" w:type="dxa"/>
            </w:tcMar>
            <w:vAlign w:val="center"/>
          </w:tcPr>
          <w:p w14:paraId="03624C3D">
            <w:pPr>
              <w:pStyle w:val="113"/>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lang w:eastAsia="zh-CN"/>
              </w:rPr>
              <w:t xml:space="preserve">保洁人员违章蛮干或进行危险性作业但未造成影响， </w:t>
            </w:r>
          </w:p>
        </w:tc>
        <w:tc>
          <w:tcPr>
            <w:tcW w:w="2070" w:type="dxa"/>
            <w:shd w:val="clear" w:color="auto" w:fill="auto"/>
            <w:tcMar>
              <w:top w:w="0" w:type="dxa"/>
              <w:left w:w="74" w:type="dxa"/>
              <w:right w:w="74" w:type="dxa"/>
            </w:tcMar>
            <w:vAlign w:val="center"/>
          </w:tcPr>
          <w:p w14:paraId="6BFE90A4">
            <w:pPr>
              <w:widowControl/>
              <w:jc w:val="center"/>
              <w:textAlignment w:val="center"/>
              <w:rPr>
                <w:rFonts w:hint="default" w:ascii="仿宋" w:hAnsi="仿宋" w:eastAsia="仿宋" w:cs="仿宋"/>
                <w:color w:val="auto"/>
                <w:sz w:val="24"/>
                <w:highlight w:val="none"/>
                <w:lang w:val="en-US" w:eastAsia="zh-CN"/>
              </w:rPr>
            </w:pPr>
            <w:r>
              <w:rPr>
                <w:rFonts w:hint="eastAsia" w:ascii="仿宋" w:hAnsi="仿宋" w:eastAsia="仿宋" w:cs="仿宋"/>
                <w:color w:val="auto"/>
                <w:kern w:val="0"/>
                <w:sz w:val="24"/>
                <w:highlight w:val="none"/>
                <w:lang w:val="en-US" w:eastAsia="zh-CN" w:bidi="ar"/>
              </w:rPr>
              <w:t>200</w:t>
            </w:r>
          </w:p>
        </w:tc>
        <w:tc>
          <w:tcPr>
            <w:tcW w:w="1706" w:type="dxa"/>
            <w:shd w:val="clear" w:color="auto" w:fill="auto"/>
            <w:tcMar>
              <w:top w:w="15" w:type="dxa"/>
              <w:left w:w="15" w:type="dxa"/>
              <w:right w:w="15" w:type="dxa"/>
            </w:tcMar>
            <w:vAlign w:val="center"/>
          </w:tcPr>
          <w:p w14:paraId="436F84D5">
            <w:pPr>
              <w:widowControl/>
              <w:jc w:val="center"/>
              <w:textAlignment w:val="center"/>
              <w:rPr>
                <w:rFonts w:ascii="仿宋" w:hAnsi="仿宋" w:eastAsia="仿宋" w:cs="仿宋"/>
                <w:color w:val="auto"/>
                <w:sz w:val="24"/>
                <w:highlight w:val="none"/>
              </w:rPr>
            </w:pPr>
          </w:p>
        </w:tc>
      </w:tr>
      <w:tr w14:paraId="458B6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45B1BA76">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20</w:t>
            </w:r>
          </w:p>
        </w:tc>
        <w:tc>
          <w:tcPr>
            <w:tcW w:w="4883" w:type="dxa"/>
            <w:shd w:val="clear" w:color="auto" w:fill="auto"/>
            <w:tcMar>
              <w:top w:w="15" w:type="dxa"/>
              <w:left w:w="15" w:type="dxa"/>
              <w:right w:w="15" w:type="dxa"/>
            </w:tcMar>
            <w:vAlign w:val="center"/>
          </w:tcPr>
          <w:p w14:paraId="4CADF845">
            <w:pPr>
              <w:widowControl/>
              <w:jc w:val="left"/>
              <w:textAlignment w:val="center"/>
              <w:rPr>
                <w:rFonts w:ascii="仿宋" w:hAnsi="仿宋" w:eastAsia="仿宋" w:cs="仿宋"/>
                <w:color w:val="auto"/>
                <w:sz w:val="24"/>
                <w:highlight w:val="none"/>
                <w:lang w:eastAsia="zh-CN"/>
              </w:rPr>
            </w:pPr>
            <w:r>
              <w:rPr>
                <w:rFonts w:hint="eastAsia" w:ascii="仿宋" w:hAnsi="仿宋" w:eastAsia="仿宋" w:cs="仿宋"/>
                <w:color w:val="auto"/>
                <w:kern w:val="0"/>
                <w:sz w:val="24"/>
                <w:highlight w:val="none"/>
                <w:lang w:bidi="ar"/>
              </w:rPr>
              <w:t>被投诉后经查实属有责的（每次）</w:t>
            </w:r>
          </w:p>
        </w:tc>
        <w:tc>
          <w:tcPr>
            <w:tcW w:w="2070" w:type="dxa"/>
            <w:shd w:val="clear" w:color="auto" w:fill="auto"/>
            <w:tcMar>
              <w:top w:w="0" w:type="dxa"/>
              <w:left w:w="74" w:type="dxa"/>
              <w:right w:w="74" w:type="dxa"/>
            </w:tcMar>
            <w:vAlign w:val="center"/>
          </w:tcPr>
          <w:p w14:paraId="397FB09E">
            <w:pPr>
              <w:widowControl/>
              <w:jc w:val="center"/>
              <w:textAlignment w:val="center"/>
              <w:rPr>
                <w:rFonts w:hint="default" w:ascii="仿宋" w:hAnsi="仿宋" w:eastAsia="仿宋" w:cs="仿宋"/>
                <w:color w:val="auto"/>
                <w:sz w:val="24"/>
                <w:highlight w:val="none"/>
                <w:lang w:val="en-US" w:eastAsia="zh-CN"/>
              </w:rPr>
            </w:pPr>
            <w:r>
              <w:rPr>
                <w:rFonts w:hint="eastAsia" w:ascii="仿宋" w:hAnsi="仿宋" w:eastAsia="仿宋" w:cs="仿宋"/>
                <w:color w:val="auto"/>
                <w:kern w:val="0"/>
                <w:sz w:val="24"/>
                <w:highlight w:val="none"/>
                <w:lang w:val="en-US" w:eastAsia="zh-CN" w:bidi="ar"/>
              </w:rPr>
              <w:t>500</w:t>
            </w:r>
          </w:p>
        </w:tc>
        <w:tc>
          <w:tcPr>
            <w:tcW w:w="1706" w:type="dxa"/>
            <w:shd w:val="clear" w:color="auto" w:fill="auto"/>
            <w:tcMar>
              <w:top w:w="15" w:type="dxa"/>
              <w:left w:w="15" w:type="dxa"/>
              <w:right w:w="15" w:type="dxa"/>
            </w:tcMar>
            <w:vAlign w:val="center"/>
          </w:tcPr>
          <w:p w14:paraId="77A725F5">
            <w:pPr>
              <w:widowControl/>
              <w:jc w:val="center"/>
              <w:textAlignment w:val="center"/>
              <w:rPr>
                <w:rFonts w:ascii="仿宋" w:hAnsi="仿宋" w:eastAsia="仿宋" w:cs="仿宋"/>
                <w:color w:val="auto"/>
                <w:sz w:val="24"/>
                <w:highlight w:val="none"/>
              </w:rPr>
            </w:pPr>
          </w:p>
        </w:tc>
      </w:tr>
      <w:tr w14:paraId="263C8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002B0C3E">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21</w:t>
            </w:r>
          </w:p>
        </w:tc>
        <w:tc>
          <w:tcPr>
            <w:tcW w:w="4883" w:type="dxa"/>
            <w:shd w:val="clear" w:color="auto" w:fill="auto"/>
            <w:tcMar>
              <w:top w:w="15" w:type="dxa"/>
              <w:left w:w="15" w:type="dxa"/>
              <w:right w:w="15" w:type="dxa"/>
            </w:tcMar>
            <w:vAlign w:val="center"/>
          </w:tcPr>
          <w:p w14:paraId="1A024179">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保洁人员作业完毕后未及时出清现场，导致工器具遗留工作区内造成安全隐患，但未造成影响（每次）</w:t>
            </w:r>
          </w:p>
        </w:tc>
        <w:tc>
          <w:tcPr>
            <w:tcW w:w="2070" w:type="dxa"/>
            <w:shd w:val="clear" w:color="auto" w:fill="auto"/>
            <w:tcMar>
              <w:top w:w="0" w:type="dxa"/>
              <w:left w:w="74" w:type="dxa"/>
              <w:right w:w="74" w:type="dxa"/>
            </w:tcMar>
            <w:vAlign w:val="center"/>
          </w:tcPr>
          <w:p w14:paraId="5F1A93ED">
            <w:pPr>
              <w:widowControl/>
              <w:jc w:val="center"/>
              <w:textAlignment w:val="center"/>
              <w:rPr>
                <w:rFonts w:hint="default" w:ascii="仿宋" w:hAnsi="仿宋" w:eastAsia="仿宋" w:cs="仿宋"/>
                <w:color w:val="auto"/>
                <w:sz w:val="24"/>
                <w:highlight w:val="none"/>
                <w:lang w:val="en-US" w:eastAsia="zh-CN"/>
              </w:rPr>
            </w:pPr>
            <w:r>
              <w:rPr>
                <w:rFonts w:hint="eastAsia" w:ascii="仿宋" w:hAnsi="仿宋" w:eastAsia="仿宋" w:cs="仿宋"/>
                <w:color w:val="auto"/>
                <w:kern w:val="0"/>
                <w:sz w:val="24"/>
                <w:highlight w:val="none"/>
                <w:lang w:val="en-US" w:eastAsia="zh-CN" w:bidi="ar"/>
              </w:rPr>
              <w:t>500</w:t>
            </w:r>
          </w:p>
        </w:tc>
        <w:tc>
          <w:tcPr>
            <w:tcW w:w="1706" w:type="dxa"/>
            <w:shd w:val="clear" w:color="auto" w:fill="auto"/>
            <w:tcMar>
              <w:top w:w="15" w:type="dxa"/>
              <w:left w:w="15" w:type="dxa"/>
              <w:right w:w="15" w:type="dxa"/>
            </w:tcMar>
            <w:vAlign w:val="center"/>
          </w:tcPr>
          <w:p w14:paraId="54B13D39">
            <w:pPr>
              <w:widowControl/>
              <w:jc w:val="center"/>
              <w:textAlignment w:val="center"/>
              <w:rPr>
                <w:rFonts w:ascii="仿宋" w:hAnsi="仿宋" w:eastAsia="仿宋" w:cs="仿宋"/>
                <w:color w:val="auto"/>
                <w:sz w:val="24"/>
                <w:highlight w:val="none"/>
              </w:rPr>
            </w:pPr>
          </w:p>
        </w:tc>
      </w:tr>
      <w:tr w14:paraId="6E47E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680E268C">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22</w:t>
            </w:r>
          </w:p>
        </w:tc>
        <w:tc>
          <w:tcPr>
            <w:tcW w:w="4883" w:type="dxa"/>
            <w:shd w:val="clear" w:color="auto" w:fill="auto"/>
            <w:tcMar>
              <w:top w:w="15" w:type="dxa"/>
              <w:left w:w="15" w:type="dxa"/>
              <w:right w:w="15" w:type="dxa"/>
            </w:tcMar>
            <w:vAlign w:val="center"/>
          </w:tcPr>
          <w:p w14:paraId="6FD9F33C">
            <w:pPr>
              <w:pStyle w:val="113"/>
              <w:ind w:left="73"/>
              <w:textAlignment w:val="baseline"/>
              <w:rPr>
                <w:rFonts w:ascii="仿宋" w:hAnsi="仿宋" w:eastAsia="仿宋" w:cs="仿宋"/>
                <w:color w:val="auto"/>
                <w:kern w:val="0"/>
                <w:sz w:val="24"/>
                <w:highlight w:val="none"/>
                <w:lang w:bidi="ar"/>
              </w:rPr>
            </w:pPr>
            <w:r>
              <w:rPr>
                <w:rFonts w:hint="eastAsia" w:ascii="仿宋" w:hAnsi="仿宋" w:eastAsia="仿宋" w:cs="仿宋"/>
                <w:color w:val="auto"/>
                <w:sz w:val="24"/>
                <w:highlight w:val="none"/>
                <w:lang w:eastAsia="zh-CN"/>
              </w:rPr>
              <w:t>违规操作导致设备损坏，不能正常工作或影响正常运营、办公秩序的（每次)</w:t>
            </w:r>
          </w:p>
        </w:tc>
        <w:tc>
          <w:tcPr>
            <w:tcW w:w="2070" w:type="dxa"/>
            <w:shd w:val="clear" w:color="auto" w:fill="auto"/>
            <w:tcMar>
              <w:top w:w="0" w:type="dxa"/>
              <w:left w:w="74" w:type="dxa"/>
              <w:right w:w="74" w:type="dxa"/>
            </w:tcMar>
            <w:vAlign w:val="center"/>
          </w:tcPr>
          <w:p w14:paraId="3E7E8052">
            <w:pPr>
              <w:jc w:val="center"/>
              <w:textAlignment w:val="baseline"/>
              <w:rPr>
                <w:rFonts w:hint="default" w:ascii="仿宋" w:hAnsi="仿宋" w:eastAsia="仿宋" w:cs="仿宋"/>
                <w:color w:val="auto"/>
                <w:sz w:val="24"/>
                <w:highlight w:val="none"/>
                <w:lang w:val="en-US" w:eastAsia="zh-CN"/>
              </w:rPr>
            </w:pPr>
            <w:r>
              <w:rPr>
                <w:rFonts w:hint="eastAsia" w:ascii="仿宋" w:hAnsi="仿宋" w:eastAsia="仿宋" w:cs="仿宋"/>
                <w:bCs/>
                <w:color w:val="auto"/>
                <w:sz w:val="24"/>
                <w:highlight w:val="none"/>
              </w:rPr>
              <w:t>1000至</w:t>
            </w: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7C590629">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中标方承担设备设施的一切损失</w:t>
            </w:r>
          </w:p>
        </w:tc>
      </w:tr>
      <w:tr w14:paraId="0103B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7E9DFE24">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23</w:t>
            </w:r>
          </w:p>
        </w:tc>
        <w:tc>
          <w:tcPr>
            <w:tcW w:w="4883" w:type="dxa"/>
            <w:shd w:val="clear" w:color="auto" w:fill="auto"/>
            <w:tcMar>
              <w:top w:w="15" w:type="dxa"/>
              <w:left w:w="15" w:type="dxa"/>
              <w:right w:w="15" w:type="dxa"/>
            </w:tcMar>
            <w:vAlign w:val="center"/>
          </w:tcPr>
          <w:p w14:paraId="110D3C7E">
            <w:pPr>
              <w:widowControl/>
              <w:snapToGrid w:val="0"/>
              <w:jc w:val="left"/>
              <w:textAlignment w:val="center"/>
              <w:rPr>
                <w:rFonts w:ascii="仿宋" w:hAnsi="仿宋" w:eastAsia="仿宋" w:cs="仿宋"/>
                <w:bCs/>
                <w:color w:val="auto"/>
                <w:sz w:val="24"/>
                <w:highlight w:val="none"/>
                <w:lang w:eastAsia="zh-CN"/>
              </w:rPr>
            </w:pPr>
            <w:r>
              <w:rPr>
                <w:rFonts w:hint="eastAsia" w:ascii="仿宋" w:hAnsi="仿宋" w:eastAsia="仿宋" w:cs="仿宋"/>
                <w:color w:val="auto"/>
                <w:sz w:val="24"/>
                <w:highlight w:val="none"/>
              </w:rPr>
              <w:t>遇突发、紧急事故（件）不服从招标方合理调度指挥的（每次）</w:t>
            </w:r>
            <w:r>
              <w:rPr>
                <w:rFonts w:hint="eastAsia" w:ascii="仿宋" w:hAnsi="仿宋" w:eastAsia="仿宋" w:cs="仿宋"/>
                <w:bCs/>
                <w:color w:val="auto"/>
                <w:kern w:val="0"/>
                <w:sz w:val="24"/>
                <w:highlight w:val="none"/>
              </w:rPr>
              <w:t>）</w:t>
            </w:r>
          </w:p>
        </w:tc>
        <w:tc>
          <w:tcPr>
            <w:tcW w:w="2070" w:type="dxa"/>
            <w:shd w:val="clear" w:color="auto" w:fill="auto"/>
            <w:tcMar>
              <w:top w:w="0" w:type="dxa"/>
              <w:left w:w="74" w:type="dxa"/>
              <w:right w:w="74" w:type="dxa"/>
            </w:tcMar>
            <w:vAlign w:val="center"/>
          </w:tcPr>
          <w:p w14:paraId="132CF349">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rPr>
              <w:t>1000至</w:t>
            </w: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6D9601BB">
            <w:pPr>
              <w:widowControl/>
              <w:jc w:val="center"/>
              <w:textAlignment w:val="center"/>
              <w:rPr>
                <w:rFonts w:ascii="仿宋" w:hAnsi="仿宋" w:eastAsia="仿宋" w:cs="仿宋"/>
                <w:bCs/>
                <w:color w:val="auto"/>
                <w:kern w:val="0"/>
                <w:sz w:val="24"/>
                <w:highlight w:val="none"/>
              </w:rPr>
            </w:pPr>
            <w:r>
              <w:rPr>
                <w:rFonts w:hint="eastAsia" w:ascii="仿宋" w:hAnsi="仿宋" w:eastAsia="仿宋" w:cs="仿宋"/>
                <w:color w:val="auto"/>
                <w:sz w:val="24"/>
                <w:highlight w:val="none"/>
              </w:rPr>
              <w:t>中标方承担全部责任</w:t>
            </w:r>
          </w:p>
        </w:tc>
      </w:tr>
      <w:tr w14:paraId="5B538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79F6C71B">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24</w:t>
            </w:r>
          </w:p>
        </w:tc>
        <w:tc>
          <w:tcPr>
            <w:tcW w:w="4883" w:type="dxa"/>
            <w:shd w:val="clear" w:color="auto" w:fill="auto"/>
            <w:tcMar>
              <w:top w:w="15" w:type="dxa"/>
              <w:left w:w="15" w:type="dxa"/>
              <w:right w:w="15" w:type="dxa"/>
            </w:tcMar>
            <w:vAlign w:val="center"/>
          </w:tcPr>
          <w:p w14:paraId="6C0C963B">
            <w:pPr>
              <w:widowControl/>
              <w:snapToGrid w:val="0"/>
              <w:jc w:val="left"/>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上级有关单位到服务区域及工作区域进行检查，中标方不配合检查的（每次)</w:t>
            </w:r>
          </w:p>
        </w:tc>
        <w:tc>
          <w:tcPr>
            <w:tcW w:w="2070" w:type="dxa"/>
            <w:shd w:val="clear" w:color="auto" w:fill="auto"/>
            <w:tcMar>
              <w:top w:w="0" w:type="dxa"/>
              <w:left w:w="74" w:type="dxa"/>
              <w:right w:w="74" w:type="dxa"/>
            </w:tcMar>
            <w:vAlign w:val="center"/>
          </w:tcPr>
          <w:p w14:paraId="7DB312AF">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rPr>
              <w:t>1000至</w:t>
            </w: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420D69B9">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402EE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6A3FF675">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25</w:t>
            </w:r>
          </w:p>
        </w:tc>
        <w:tc>
          <w:tcPr>
            <w:tcW w:w="4883" w:type="dxa"/>
            <w:shd w:val="clear" w:color="auto" w:fill="auto"/>
            <w:tcMar>
              <w:top w:w="15" w:type="dxa"/>
              <w:left w:w="15" w:type="dxa"/>
              <w:right w:w="15" w:type="dxa"/>
            </w:tcMar>
            <w:vAlign w:val="center"/>
          </w:tcPr>
          <w:p w14:paraId="564036B7">
            <w:pPr>
              <w:widowControl/>
              <w:snapToGrid w:val="0"/>
              <w:jc w:val="left"/>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中标方人员盗窃物品、设备设施或恶意损坏设备设施的（每次)</w:t>
            </w:r>
          </w:p>
        </w:tc>
        <w:tc>
          <w:tcPr>
            <w:tcW w:w="2070" w:type="dxa"/>
            <w:shd w:val="clear" w:color="auto" w:fill="auto"/>
            <w:tcMar>
              <w:top w:w="0" w:type="dxa"/>
              <w:left w:w="74" w:type="dxa"/>
              <w:right w:w="74" w:type="dxa"/>
            </w:tcMar>
            <w:vAlign w:val="center"/>
          </w:tcPr>
          <w:p w14:paraId="20A1A0C5">
            <w:pPr>
              <w:pStyle w:val="113"/>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rPr>
              <w:t>1000至</w:t>
            </w:r>
          </w:p>
          <w:p w14:paraId="086748F8">
            <w:pPr>
              <w:widowControl/>
              <w:snapToGrid w:val="0"/>
              <w:jc w:val="center"/>
              <w:textAlignment w:val="center"/>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74F65DA0">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487BB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77C2022E">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26</w:t>
            </w:r>
          </w:p>
        </w:tc>
        <w:tc>
          <w:tcPr>
            <w:tcW w:w="4883" w:type="dxa"/>
            <w:shd w:val="clear" w:color="auto" w:fill="auto"/>
            <w:tcMar>
              <w:top w:w="15" w:type="dxa"/>
              <w:left w:w="15" w:type="dxa"/>
              <w:right w:w="15" w:type="dxa"/>
            </w:tcMar>
            <w:vAlign w:val="center"/>
          </w:tcPr>
          <w:p w14:paraId="20D0272D">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w:t>
            </w:r>
            <w:r>
              <w:rPr>
                <w:rFonts w:hint="eastAsia" w:ascii="仿宋" w:hAnsi="仿宋" w:eastAsia="仿宋" w:cs="仿宋"/>
                <w:color w:val="auto"/>
                <w:kern w:val="0"/>
                <w:sz w:val="24"/>
                <w:highlight w:val="none"/>
                <w:lang w:bidi="ar"/>
              </w:rPr>
              <w:t>未按</w:t>
            </w:r>
            <w:r>
              <w:rPr>
                <w:rFonts w:hint="eastAsia" w:ascii="仿宋" w:hAnsi="仿宋" w:eastAsia="仿宋" w:cs="仿宋"/>
                <w:color w:val="auto"/>
                <w:sz w:val="24"/>
                <w:highlight w:val="none"/>
              </w:rPr>
              <w:t>招标方</w:t>
            </w:r>
            <w:r>
              <w:rPr>
                <w:rFonts w:hint="eastAsia" w:ascii="仿宋" w:hAnsi="仿宋" w:eastAsia="仿宋" w:cs="仿宋"/>
                <w:color w:val="auto"/>
                <w:kern w:val="0"/>
                <w:sz w:val="24"/>
                <w:highlight w:val="none"/>
                <w:lang w:bidi="ar"/>
              </w:rPr>
              <w:t>要求对保洁员工开展岗前安全、消防知识培训的,经</w:t>
            </w:r>
            <w:r>
              <w:rPr>
                <w:rFonts w:hint="eastAsia" w:ascii="仿宋" w:hAnsi="仿宋" w:eastAsia="仿宋" w:cs="仿宋"/>
                <w:color w:val="auto"/>
                <w:sz w:val="24"/>
                <w:highlight w:val="none"/>
              </w:rPr>
              <w:t>招标方</w:t>
            </w:r>
            <w:r>
              <w:rPr>
                <w:rFonts w:hint="eastAsia" w:ascii="仿宋" w:hAnsi="仿宋" w:eastAsia="仿宋" w:cs="仿宋"/>
                <w:color w:val="auto"/>
                <w:kern w:val="0"/>
                <w:sz w:val="24"/>
                <w:highlight w:val="none"/>
                <w:lang w:bidi="ar"/>
              </w:rPr>
              <w:t>查出未按要求及时整改。</w:t>
            </w:r>
          </w:p>
        </w:tc>
        <w:tc>
          <w:tcPr>
            <w:tcW w:w="2070" w:type="dxa"/>
            <w:shd w:val="clear" w:color="auto" w:fill="auto"/>
            <w:tcMar>
              <w:top w:w="0" w:type="dxa"/>
              <w:left w:w="74" w:type="dxa"/>
              <w:right w:w="74" w:type="dxa"/>
            </w:tcMar>
            <w:vAlign w:val="center"/>
          </w:tcPr>
          <w:p w14:paraId="282E486A">
            <w:pPr>
              <w:pStyle w:val="113"/>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rPr>
              <w:t>1000至</w:t>
            </w:r>
          </w:p>
          <w:p w14:paraId="3F5B64E1">
            <w:pPr>
              <w:widowControl/>
              <w:snapToGrid w:val="0"/>
              <w:jc w:val="center"/>
              <w:textAlignment w:val="center"/>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7F64153B">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6E262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0" w:hRule="atLeast"/>
        </w:trPr>
        <w:tc>
          <w:tcPr>
            <w:tcW w:w="639" w:type="dxa"/>
            <w:shd w:val="clear" w:color="auto" w:fill="auto"/>
            <w:tcMar>
              <w:top w:w="15" w:type="dxa"/>
              <w:left w:w="15" w:type="dxa"/>
              <w:right w:w="15" w:type="dxa"/>
            </w:tcMar>
            <w:vAlign w:val="center"/>
          </w:tcPr>
          <w:p w14:paraId="67B9F4BB">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27</w:t>
            </w:r>
          </w:p>
        </w:tc>
        <w:tc>
          <w:tcPr>
            <w:tcW w:w="4883" w:type="dxa"/>
            <w:shd w:val="clear" w:color="auto" w:fill="auto"/>
            <w:tcMar>
              <w:top w:w="15" w:type="dxa"/>
              <w:left w:w="15" w:type="dxa"/>
              <w:right w:w="15" w:type="dxa"/>
            </w:tcMar>
            <w:vAlign w:val="center"/>
          </w:tcPr>
          <w:p w14:paraId="06D71D6A">
            <w:pPr>
              <w:widowControl/>
              <w:jc w:val="left"/>
              <w:textAlignment w:val="center"/>
              <w:rPr>
                <w:rFonts w:ascii="仿宋" w:hAnsi="仿宋" w:eastAsia="仿宋" w:cs="仿宋"/>
                <w:color w:val="auto"/>
                <w:kern w:val="0"/>
                <w:sz w:val="24"/>
                <w:highlight w:val="none"/>
                <w:lang w:bidi="ar"/>
              </w:rPr>
            </w:pPr>
            <w:r>
              <w:rPr>
                <w:rFonts w:hint="eastAsia" w:ascii="仿宋" w:hAnsi="仿宋" w:eastAsia="仿宋" w:cs="仿宋"/>
                <w:color w:val="auto"/>
                <w:kern w:val="0"/>
                <w:sz w:val="24"/>
                <w:highlight w:val="none"/>
                <w:lang w:bidi="ar"/>
              </w:rPr>
              <w:t>违反以下规定</w:t>
            </w:r>
            <w:r>
              <w:rPr>
                <w:rFonts w:hint="eastAsia" w:ascii="仿宋" w:hAnsi="仿宋" w:eastAsia="仿宋" w:cs="仿宋"/>
                <w:color w:val="auto"/>
                <w:sz w:val="24"/>
                <w:highlight w:val="none"/>
              </w:rPr>
              <w:t>中标方</w:t>
            </w:r>
            <w:r>
              <w:rPr>
                <w:rFonts w:hint="eastAsia" w:ascii="仿宋" w:hAnsi="仿宋" w:eastAsia="仿宋" w:cs="仿宋"/>
                <w:color w:val="auto"/>
                <w:kern w:val="0"/>
                <w:sz w:val="24"/>
                <w:highlight w:val="none"/>
                <w:lang w:bidi="ar"/>
              </w:rPr>
              <w:t>5个工作日未进行人员更换的：</w:t>
            </w:r>
          </w:p>
          <w:p w14:paraId="5E005984">
            <w:pPr>
              <w:widowControl/>
              <w:jc w:val="left"/>
              <w:textAlignment w:val="center"/>
              <w:rPr>
                <w:rFonts w:ascii="仿宋" w:hAnsi="仿宋" w:eastAsia="仿宋" w:cs="仿宋"/>
                <w:color w:val="auto"/>
                <w:kern w:val="0"/>
                <w:sz w:val="24"/>
                <w:highlight w:val="none"/>
                <w:lang w:bidi="ar"/>
              </w:rPr>
            </w:pPr>
            <w:r>
              <w:rPr>
                <w:rFonts w:hint="eastAsia" w:ascii="仿宋" w:hAnsi="仿宋" w:eastAsia="仿宋" w:cs="仿宋"/>
                <w:color w:val="auto"/>
                <w:kern w:val="0"/>
                <w:sz w:val="24"/>
                <w:highlight w:val="none"/>
                <w:lang w:bidi="ar"/>
              </w:rPr>
              <w:t>1.员工之间在工作期间及工作区域发生打架、斗殴；</w:t>
            </w:r>
          </w:p>
          <w:p w14:paraId="769FCB50">
            <w:pPr>
              <w:widowControl/>
              <w:jc w:val="left"/>
              <w:textAlignment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2.与</w:t>
            </w:r>
            <w:r>
              <w:rPr>
                <w:rFonts w:hint="eastAsia" w:ascii="仿宋" w:hAnsi="仿宋" w:eastAsia="仿宋" w:cs="仿宋"/>
                <w:color w:val="auto"/>
                <w:sz w:val="24"/>
                <w:highlight w:val="none"/>
              </w:rPr>
              <w:t>招标方</w:t>
            </w:r>
            <w:r>
              <w:rPr>
                <w:rFonts w:hint="eastAsia" w:ascii="仿宋" w:hAnsi="仿宋" w:eastAsia="仿宋" w:cs="仿宋"/>
                <w:color w:val="auto"/>
                <w:kern w:val="0"/>
                <w:sz w:val="24"/>
                <w:highlight w:val="none"/>
                <w:lang w:bidi="ar"/>
              </w:rPr>
              <w:t>员工发生肢体冲突且责任在</w:t>
            </w:r>
            <w:r>
              <w:rPr>
                <w:rFonts w:hint="eastAsia" w:ascii="仿宋" w:hAnsi="仿宋" w:eastAsia="仿宋" w:cs="仿宋"/>
                <w:color w:val="auto"/>
                <w:sz w:val="24"/>
                <w:highlight w:val="none"/>
              </w:rPr>
              <w:t>中标方</w:t>
            </w:r>
            <w:r>
              <w:rPr>
                <w:rFonts w:hint="eastAsia" w:ascii="仿宋" w:hAnsi="仿宋" w:eastAsia="仿宋" w:cs="仿宋"/>
                <w:color w:val="auto"/>
                <w:kern w:val="0"/>
                <w:sz w:val="24"/>
                <w:highlight w:val="none"/>
                <w:lang w:bidi="ar"/>
              </w:rPr>
              <w:t>人员；</w:t>
            </w:r>
          </w:p>
        </w:tc>
        <w:tc>
          <w:tcPr>
            <w:tcW w:w="2070" w:type="dxa"/>
            <w:shd w:val="clear" w:color="auto" w:fill="auto"/>
            <w:tcMar>
              <w:top w:w="0" w:type="dxa"/>
              <w:left w:w="74" w:type="dxa"/>
              <w:right w:w="74" w:type="dxa"/>
            </w:tcMar>
            <w:vAlign w:val="center"/>
          </w:tcPr>
          <w:p w14:paraId="61381CE0">
            <w:pPr>
              <w:pStyle w:val="113"/>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rPr>
              <w:t>1000至</w:t>
            </w:r>
          </w:p>
          <w:p w14:paraId="35446951">
            <w:pPr>
              <w:widowControl/>
              <w:snapToGrid w:val="0"/>
              <w:jc w:val="center"/>
              <w:textAlignment w:val="center"/>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12CD3343">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05545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1DD9BDD8">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28</w:t>
            </w:r>
          </w:p>
        </w:tc>
        <w:tc>
          <w:tcPr>
            <w:tcW w:w="4883" w:type="dxa"/>
            <w:shd w:val="clear" w:color="auto" w:fill="auto"/>
            <w:tcMar>
              <w:top w:w="15" w:type="dxa"/>
              <w:left w:w="15" w:type="dxa"/>
              <w:right w:w="15" w:type="dxa"/>
            </w:tcMar>
            <w:vAlign w:val="center"/>
          </w:tcPr>
          <w:p w14:paraId="5A4861C9">
            <w:pPr>
              <w:textAlignment w:val="baseline"/>
              <w:rPr>
                <w:rFonts w:ascii="仿宋" w:hAnsi="仿宋" w:eastAsia="仿宋" w:cs="仿宋"/>
                <w:color w:val="auto"/>
                <w:kern w:val="0"/>
                <w:sz w:val="24"/>
                <w:highlight w:val="none"/>
                <w:lang w:bidi="ar"/>
              </w:rPr>
            </w:pPr>
            <w:r>
              <w:rPr>
                <w:rFonts w:hint="eastAsia" w:ascii="仿宋" w:hAnsi="仿宋" w:eastAsia="仿宋" w:cs="仿宋"/>
                <w:color w:val="auto"/>
                <w:sz w:val="24"/>
                <w:highlight w:val="none"/>
              </w:rPr>
              <w:t>经查实中标方留用有精神病史、吸毒、非法上访、参加邪教组织等有犯罪前科史的或有吸毒、非法上访、参加邪教组织等犯罪违法活动的人员（每人次)</w:t>
            </w:r>
          </w:p>
        </w:tc>
        <w:tc>
          <w:tcPr>
            <w:tcW w:w="2070" w:type="dxa"/>
            <w:shd w:val="clear" w:color="auto" w:fill="auto"/>
            <w:tcMar>
              <w:top w:w="0" w:type="dxa"/>
              <w:left w:w="74" w:type="dxa"/>
              <w:right w:w="74" w:type="dxa"/>
            </w:tcMar>
            <w:vAlign w:val="center"/>
          </w:tcPr>
          <w:p w14:paraId="4FBFCCEF">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000至</w:t>
            </w:r>
            <w:r>
              <w:rPr>
                <w:rFonts w:hint="eastAsia" w:ascii="仿宋" w:hAnsi="仿宋" w:eastAsia="仿宋" w:cs="仿宋"/>
                <w:bCs/>
                <w:color w:val="auto"/>
                <w:sz w:val="24"/>
                <w:highlight w:val="none"/>
                <w:lang w:val="en-US" w:eastAsia="zh-CN"/>
              </w:rPr>
              <w:t>5</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5E3D0AEF">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59065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26546CAD">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29</w:t>
            </w:r>
          </w:p>
        </w:tc>
        <w:tc>
          <w:tcPr>
            <w:tcW w:w="4883" w:type="dxa"/>
            <w:shd w:val="clear" w:color="auto" w:fill="auto"/>
            <w:tcMar>
              <w:top w:w="15" w:type="dxa"/>
              <w:left w:w="15" w:type="dxa"/>
              <w:right w:w="15" w:type="dxa"/>
            </w:tcMar>
            <w:vAlign w:val="center"/>
          </w:tcPr>
          <w:p w14:paraId="440D4EFC">
            <w:pP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中标方被投诉后经查实属有责的，并造成影响的（每次)</w:t>
            </w:r>
          </w:p>
        </w:tc>
        <w:tc>
          <w:tcPr>
            <w:tcW w:w="2070" w:type="dxa"/>
            <w:shd w:val="clear" w:color="auto" w:fill="auto"/>
            <w:tcMar>
              <w:top w:w="0" w:type="dxa"/>
              <w:left w:w="74" w:type="dxa"/>
              <w:right w:w="74" w:type="dxa"/>
            </w:tcMar>
            <w:vAlign w:val="center"/>
          </w:tcPr>
          <w:p w14:paraId="64074612">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000至</w:t>
            </w:r>
            <w:r>
              <w:rPr>
                <w:rFonts w:hint="eastAsia" w:ascii="仿宋" w:hAnsi="仿宋" w:eastAsia="仿宋" w:cs="仿宋"/>
                <w:bCs/>
                <w:color w:val="auto"/>
                <w:sz w:val="24"/>
                <w:highlight w:val="none"/>
                <w:lang w:val="en-US" w:eastAsia="zh-CN"/>
              </w:rPr>
              <w:t>5</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1B1EC040">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2FE77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2EF4B159">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30</w:t>
            </w:r>
          </w:p>
        </w:tc>
        <w:tc>
          <w:tcPr>
            <w:tcW w:w="4883" w:type="dxa"/>
            <w:shd w:val="clear" w:color="auto" w:fill="auto"/>
            <w:tcMar>
              <w:top w:w="15" w:type="dxa"/>
              <w:left w:w="15" w:type="dxa"/>
              <w:right w:w="15" w:type="dxa"/>
            </w:tcMar>
            <w:vAlign w:val="center"/>
          </w:tcPr>
          <w:p w14:paraId="0A2A0F3D">
            <w:pPr>
              <w:pStyle w:val="113"/>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lang w:eastAsia="zh-CN"/>
              </w:rPr>
              <w:t>中标方员工通过网络社交平台发布负面内容；被其他人员通过网络社交平台发布负面内容或被媒体曝光产生负面新闻，影响公司形象的（每次)</w:t>
            </w:r>
          </w:p>
        </w:tc>
        <w:tc>
          <w:tcPr>
            <w:tcW w:w="2070" w:type="dxa"/>
            <w:shd w:val="clear" w:color="auto" w:fill="auto"/>
            <w:tcMar>
              <w:top w:w="0" w:type="dxa"/>
              <w:left w:w="74" w:type="dxa"/>
              <w:right w:w="74" w:type="dxa"/>
            </w:tcMar>
            <w:vAlign w:val="center"/>
          </w:tcPr>
          <w:p w14:paraId="365F23B9">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000至</w:t>
            </w:r>
            <w:r>
              <w:rPr>
                <w:rFonts w:hint="eastAsia" w:ascii="仿宋" w:hAnsi="仿宋" w:eastAsia="仿宋" w:cs="仿宋"/>
                <w:bCs/>
                <w:color w:val="auto"/>
                <w:sz w:val="24"/>
                <w:highlight w:val="none"/>
                <w:lang w:val="en-US" w:eastAsia="zh-CN"/>
              </w:rPr>
              <w:t>5</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705C708D">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74931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3DFA980E">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31</w:t>
            </w:r>
          </w:p>
        </w:tc>
        <w:tc>
          <w:tcPr>
            <w:tcW w:w="4883" w:type="dxa"/>
            <w:shd w:val="clear" w:color="auto" w:fill="auto"/>
            <w:tcMar>
              <w:top w:w="15" w:type="dxa"/>
              <w:left w:w="15" w:type="dxa"/>
              <w:right w:w="15" w:type="dxa"/>
            </w:tcMar>
            <w:vAlign w:val="center"/>
          </w:tcPr>
          <w:p w14:paraId="505B30E0">
            <w:pPr>
              <w:textAlignment w:val="baseline"/>
              <w:rPr>
                <w:rFonts w:ascii="仿宋" w:hAnsi="仿宋" w:eastAsia="仿宋" w:cs="仿宋"/>
                <w:color w:val="auto"/>
                <w:sz w:val="24"/>
                <w:highlight w:val="none"/>
                <w:lang w:eastAsia="zh-CN"/>
              </w:rPr>
            </w:pPr>
            <w:r>
              <w:rPr>
                <w:rFonts w:hint="eastAsia" w:ascii="仿宋" w:hAnsi="仿宋" w:eastAsia="仿宋" w:cs="仿宋"/>
                <w:color w:val="auto"/>
                <w:sz w:val="24"/>
                <w:highlight w:val="none"/>
              </w:rPr>
              <w:t>被上级部门通报的（每次)</w:t>
            </w:r>
          </w:p>
        </w:tc>
        <w:tc>
          <w:tcPr>
            <w:tcW w:w="2070" w:type="dxa"/>
            <w:shd w:val="clear" w:color="auto" w:fill="auto"/>
            <w:tcMar>
              <w:top w:w="0" w:type="dxa"/>
              <w:left w:w="74" w:type="dxa"/>
              <w:right w:w="74" w:type="dxa"/>
            </w:tcMar>
            <w:vAlign w:val="center"/>
          </w:tcPr>
          <w:p w14:paraId="4D8AD30E">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rPr>
              <w:t>1000至</w:t>
            </w: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2AFFFDFA">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0A434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6DDE8C64">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sz w:val="24"/>
                <w:highlight w:val="none"/>
                <w:lang w:val="en-US" w:eastAsia="zh-CN"/>
              </w:rPr>
              <w:t>32</w:t>
            </w:r>
            <w:bookmarkStart w:id="248" w:name="_GoBack"/>
            <w:bookmarkEnd w:id="248"/>
          </w:p>
        </w:tc>
        <w:tc>
          <w:tcPr>
            <w:tcW w:w="4883" w:type="dxa"/>
            <w:shd w:val="clear" w:color="auto" w:fill="auto"/>
            <w:tcMar>
              <w:top w:w="15" w:type="dxa"/>
              <w:left w:w="15" w:type="dxa"/>
              <w:right w:w="15" w:type="dxa"/>
            </w:tcMar>
            <w:vAlign w:val="center"/>
          </w:tcPr>
          <w:p w14:paraId="0472348C">
            <w:pPr>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因中标方问题，被新闻媒体负面报道经查属实或被新闻单位通报批评，影响公司形象的（每次)</w:t>
            </w:r>
          </w:p>
        </w:tc>
        <w:tc>
          <w:tcPr>
            <w:tcW w:w="2070" w:type="dxa"/>
            <w:shd w:val="clear" w:color="auto" w:fill="auto"/>
            <w:tcMar>
              <w:top w:w="0" w:type="dxa"/>
              <w:left w:w="74" w:type="dxa"/>
              <w:right w:w="74" w:type="dxa"/>
            </w:tcMar>
            <w:vAlign w:val="center"/>
          </w:tcPr>
          <w:p w14:paraId="5BF4D342">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000至</w:t>
            </w:r>
            <w:r>
              <w:rPr>
                <w:rFonts w:hint="eastAsia" w:ascii="仿宋" w:hAnsi="仿宋" w:eastAsia="仿宋" w:cs="仿宋"/>
                <w:bCs/>
                <w:color w:val="auto"/>
                <w:sz w:val="24"/>
                <w:highlight w:val="none"/>
                <w:lang w:val="en-US" w:eastAsia="zh-CN"/>
              </w:rPr>
              <w:t>5</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0E6DCBEC">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56FE7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0404FC45">
            <w:pPr>
              <w:widowControl/>
              <w:jc w:val="center"/>
              <w:textAlignment w:val="center"/>
              <w:rPr>
                <w:rFonts w:hint="default" w:ascii="仿宋" w:hAnsi="仿宋" w:eastAsia="仿宋" w:cs="仿宋"/>
                <w:bCs/>
                <w:color w:val="auto"/>
                <w:sz w:val="24"/>
                <w:highlight w:val="none"/>
                <w:lang w:val="en-US" w:eastAsia="zh-CN"/>
              </w:rPr>
            </w:pPr>
            <w:r>
              <w:rPr>
                <w:rFonts w:hint="eastAsia" w:ascii="仿宋" w:hAnsi="仿宋" w:eastAsia="仿宋" w:cs="仿宋"/>
                <w:bCs/>
                <w:color w:val="auto"/>
                <w:kern w:val="0"/>
                <w:sz w:val="24"/>
                <w:highlight w:val="none"/>
                <w:lang w:val="en-US" w:eastAsia="zh-CN"/>
              </w:rPr>
              <w:t>33</w:t>
            </w:r>
          </w:p>
        </w:tc>
        <w:tc>
          <w:tcPr>
            <w:tcW w:w="4883" w:type="dxa"/>
            <w:shd w:val="clear" w:color="auto" w:fill="auto"/>
            <w:tcMar>
              <w:top w:w="15" w:type="dxa"/>
              <w:left w:w="15" w:type="dxa"/>
              <w:right w:w="15" w:type="dxa"/>
            </w:tcMar>
            <w:vAlign w:val="center"/>
          </w:tcPr>
          <w:p w14:paraId="29A02F8D">
            <w:pPr>
              <w:pStyle w:val="113"/>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lang w:eastAsia="zh-CN"/>
              </w:rPr>
              <w:t>中标方未按要求派遣人员，对运营造成影响，导致工作无法开展的（每次)</w:t>
            </w:r>
          </w:p>
        </w:tc>
        <w:tc>
          <w:tcPr>
            <w:tcW w:w="2070" w:type="dxa"/>
            <w:shd w:val="clear" w:color="auto" w:fill="auto"/>
            <w:tcMar>
              <w:top w:w="0" w:type="dxa"/>
              <w:left w:w="74" w:type="dxa"/>
              <w:right w:w="74" w:type="dxa"/>
            </w:tcMar>
            <w:vAlign w:val="center"/>
          </w:tcPr>
          <w:p w14:paraId="099E9031">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000至</w:t>
            </w:r>
            <w:r>
              <w:rPr>
                <w:rFonts w:hint="eastAsia" w:ascii="仿宋" w:hAnsi="仿宋" w:eastAsia="仿宋" w:cs="仿宋"/>
                <w:bCs/>
                <w:color w:val="auto"/>
                <w:sz w:val="24"/>
                <w:highlight w:val="none"/>
                <w:lang w:val="en-US" w:eastAsia="zh-CN"/>
              </w:rPr>
              <w:t>5</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781AC0DD">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0EDDF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372FE5CA">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34</w:t>
            </w:r>
          </w:p>
        </w:tc>
        <w:tc>
          <w:tcPr>
            <w:tcW w:w="4883" w:type="dxa"/>
            <w:shd w:val="clear" w:color="auto" w:fill="auto"/>
            <w:tcMar>
              <w:top w:w="15" w:type="dxa"/>
              <w:left w:w="15" w:type="dxa"/>
              <w:right w:w="15" w:type="dxa"/>
            </w:tcMar>
            <w:vAlign w:val="center"/>
          </w:tcPr>
          <w:p w14:paraId="466C63E8">
            <w:pPr>
              <w:pStyle w:val="113"/>
              <w:textAlignment w:val="baseline"/>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eastAsia="zh-CN"/>
              </w:rPr>
              <w:t>中标方</w:t>
            </w:r>
            <w:r>
              <w:rPr>
                <w:rFonts w:hint="eastAsia" w:ascii="仿宋" w:hAnsi="仿宋" w:eastAsia="仿宋" w:cs="仿宋"/>
                <w:color w:val="auto"/>
                <w:kern w:val="0"/>
                <w:sz w:val="24"/>
                <w:highlight w:val="none"/>
                <w:lang w:eastAsia="zh-CN" w:bidi="ar"/>
              </w:rPr>
              <w:t>提供不合格的消杀、保洁药品药剂，被检查或造成后果的。</w:t>
            </w:r>
          </w:p>
        </w:tc>
        <w:tc>
          <w:tcPr>
            <w:tcW w:w="2070" w:type="dxa"/>
            <w:shd w:val="clear" w:color="auto" w:fill="auto"/>
            <w:tcMar>
              <w:top w:w="0" w:type="dxa"/>
              <w:left w:w="74" w:type="dxa"/>
              <w:right w:w="74" w:type="dxa"/>
            </w:tcMar>
            <w:vAlign w:val="center"/>
          </w:tcPr>
          <w:p w14:paraId="794EB6D3">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000至</w:t>
            </w:r>
            <w:r>
              <w:rPr>
                <w:rFonts w:hint="eastAsia" w:ascii="仿宋" w:hAnsi="仿宋" w:eastAsia="仿宋" w:cs="仿宋"/>
                <w:bCs/>
                <w:color w:val="auto"/>
                <w:sz w:val="24"/>
                <w:highlight w:val="none"/>
                <w:lang w:val="en-US" w:eastAsia="zh-CN"/>
              </w:rPr>
              <w:t>5</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2A46D7FB">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465D1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6797EF48">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35</w:t>
            </w:r>
          </w:p>
        </w:tc>
        <w:tc>
          <w:tcPr>
            <w:tcW w:w="4883" w:type="dxa"/>
            <w:shd w:val="clear" w:color="auto" w:fill="auto"/>
            <w:tcMar>
              <w:top w:w="15" w:type="dxa"/>
              <w:left w:w="15" w:type="dxa"/>
              <w:right w:w="15" w:type="dxa"/>
            </w:tcMar>
            <w:vAlign w:val="center"/>
          </w:tcPr>
          <w:p w14:paraId="52129CF8">
            <w:pPr>
              <w:pStyle w:val="113"/>
              <w:textAlignment w:val="baseline"/>
              <w:rPr>
                <w:rFonts w:ascii="仿宋" w:hAnsi="仿宋" w:eastAsia="仿宋" w:cs="仿宋"/>
                <w:color w:val="auto"/>
                <w:sz w:val="24"/>
                <w:highlight w:val="none"/>
                <w:lang w:eastAsia="zh-CN"/>
              </w:rPr>
            </w:pPr>
            <w:r>
              <w:rPr>
                <w:rFonts w:hint="eastAsia" w:ascii="仿宋" w:hAnsi="仿宋" w:eastAsia="仿宋" w:cs="仿宋"/>
                <w:color w:val="auto"/>
                <w:kern w:val="0"/>
                <w:sz w:val="24"/>
                <w:highlight w:val="none"/>
                <w:lang w:eastAsia="zh-CN" w:bidi="ar"/>
              </w:rPr>
              <w:t>保洁作业期间发生影响运营安全的一般事故以下的事件。</w:t>
            </w:r>
          </w:p>
        </w:tc>
        <w:tc>
          <w:tcPr>
            <w:tcW w:w="2070" w:type="dxa"/>
            <w:shd w:val="clear" w:color="auto" w:fill="auto"/>
            <w:tcMar>
              <w:top w:w="0" w:type="dxa"/>
              <w:left w:w="74" w:type="dxa"/>
              <w:right w:w="74" w:type="dxa"/>
            </w:tcMar>
            <w:vAlign w:val="center"/>
          </w:tcPr>
          <w:p w14:paraId="34D04BCC">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000至</w:t>
            </w:r>
            <w:r>
              <w:rPr>
                <w:rFonts w:hint="eastAsia" w:ascii="仿宋" w:hAnsi="仿宋" w:eastAsia="仿宋" w:cs="仿宋"/>
                <w:bCs/>
                <w:color w:val="auto"/>
                <w:sz w:val="24"/>
                <w:highlight w:val="none"/>
                <w:lang w:val="en-US" w:eastAsia="zh-CN"/>
              </w:rPr>
              <w:t>5</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4C93221F">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3BB4A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001AF27B">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36</w:t>
            </w:r>
          </w:p>
        </w:tc>
        <w:tc>
          <w:tcPr>
            <w:tcW w:w="4883" w:type="dxa"/>
            <w:shd w:val="clear" w:color="auto" w:fill="auto"/>
            <w:tcMar>
              <w:top w:w="15" w:type="dxa"/>
              <w:left w:w="15" w:type="dxa"/>
              <w:right w:w="15" w:type="dxa"/>
            </w:tcMar>
            <w:vAlign w:val="center"/>
          </w:tcPr>
          <w:p w14:paraId="75668337">
            <w:pPr>
              <w:pStyle w:val="113"/>
              <w:textAlignment w:val="baseline"/>
              <w:rPr>
                <w:rFonts w:ascii="仿宋" w:hAnsi="仿宋" w:eastAsia="仿宋" w:cs="仿宋"/>
                <w:color w:val="auto"/>
                <w:sz w:val="24"/>
                <w:highlight w:val="none"/>
                <w:lang w:eastAsia="zh-CN"/>
              </w:rPr>
            </w:pPr>
            <w:r>
              <w:rPr>
                <w:rFonts w:hint="eastAsia" w:ascii="仿宋" w:hAnsi="仿宋" w:eastAsia="仿宋" w:cs="仿宋"/>
                <w:color w:val="auto"/>
                <w:kern w:val="0"/>
                <w:sz w:val="24"/>
                <w:highlight w:val="none"/>
                <w:lang w:eastAsia="zh-CN" w:bidi="ar"/>
              </w:rPr>
              <w:t>保洁作业期间发生影响运营安全的一般事故以上的事件。</w:t>
            </w:r>
          </w:p>
        </w:tc>
        <w:tc>
          <w:tcPr>
            <w:tcW w:w="2070" w:type="dxa"/>
            <w:shd w:val="clear" w:color="auto" w:fill="auto"/>
            <w:tcMar>
              <w:top w:w="0" w:type="dxa"/>
              <w:left w:w="74" w:type="dxa"/>
              <w:right w:w="74" w:type="dxa"/>
            </w:tcMar>
            <w:vAlign w:val="center"/>
          </w:tcPr>
          <w:p w14:paraId="55824221">
            <w:pPr>
              <w:jc w:val="center"/>
              <w:textAlignment w:val="baseline"/>
              <w:rPr>
                <w:rFonts w:ascii="仿宋" w:hAnsi="仿宋" w:eastAsia="仿宋" w:cs="仿宋"/>
                <w:bCs/>
                <w:color w:val="auto"/>
                <w:sz w:val="24"/>
                <w:highlight w:val="none"/>
              </w:rPr>
            </w:pPr>
            <w:r>
              <w:rPr>
                <w:rFonts w:hint="eastAsia" w:ascii="仿宋" w:hAnsi="仿宋" w:eastAsia="仿宋" w:cs="仿宋"/>
                <w:bCs/>
                <w:color w:val="auto"/>
                <w:sz w:val="24"/>
                <w:highlight w:val="none"/>
                <w:lang w:val="en-US" w:eastAsia="zh-CN"/>
              </w:rPr>
              <w:t>2</w:t>
            </w:r>
            <w:r>
              <w:rPr>
                <w:rFonts w:hint="eastAsia" w:ascii="仿宋" w:hAnsi="仿宋" w:eastAsia="仿宋" w:cs="仿宋"/>
                <w:bCs/>
                <w:color w:val="auto"/>
                <w:sz w:val="24"/>
                <w:highlight w:val="none"/>
              </w:rPr>
              <w:t>000至</w:t>
            </w:r>
            <w:r>
              <w:rPr>
                <w:rFonts w:hint="eastAsia" w:ascii="仿宋" w:hAnsi="仿宋" w:eastAsia="仿宋" w:cs="仿宋"/>
                <w:bCs/>
                <w:color w:val="auto"/>
                <w:sz w:val="24"/>
                <w:highlight w:val="none"/>
                <w:lang w:val="en-US" w:eastAsia="zh-CN"/>
              </w:rPr>
              <w:t>5</w:t>
            </w:r>
            <w:r>
              <w:rPr>
                <w:rFonts w:hint="eastAsia" w:ascii="仿宋" w:hAnsi="仿宋" w:eastAsia="仿宋" w:cs="仿宋"/>
                <w:bCs/>
                <w:color w:val="auto"/>
                <w:sz w:val="24"/>
                <w:highlight w:val="none"/>
              </w:rPr>
              <w:t>000</w:t>
            </w:r>
          </w:p>
        </w:tc>
        <w:tc>
          <w:tcPr>
            <w:tcW w:w="1706" w:type="dxa"/>
            <w:shd w:val="clear" w:color="auto" w:fill="auto"/>
            <w:tcMar>
              <w:top w:w="15" w:type="dxa"/>
              <w:left w:w="15" w:type="dxa"/>
              <w:right w:w="15" w:type="dxa"/>
            </w:tcMar>
            <w:vAlign w:val="center"/>
          </w:tcPr>
          <w:p w14:paraId="4E95C324">
            <w:pPr>
              <w:widowControl/>
              <w:jc w:val="center"/>
              <w:textAlignment w:val="center"/>
              <w:rPr>
                <w:rFonts w:ascii="仿宋" w:hAnsi="仿宋" w:eastAsia="仿宋" w:cs="仿宋"/>
                <w:color w:val="auto"/>
                <w:sz w:val="24"/>
                <w:highlight w:val="none"/>
              </w:rPr>
            </w:pPr>
            <w:r>
              <w:rPr>
                <w:rFonts w:hint="eastAsia" w:ascii="仿宋" w:hAnsi="仿宋" w:eastAsia="仿宋" w:cs="仿宋"/>
                <w:color w:val="auto"/>
                <w:sz w:val="24"/>
                <w:highlight w:val="none"/>
              </w:rPr>
              <w:t>中标方承担全部责任</w:t>
            </w:r>
          </w:p>
        </w:tc>
      </w:tr>
      <w:tr w14:paraId="2D2F9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74F1414E">
            <w:pPr>
              <w:widowControl/>
              <w:jc w:val="center"/>
              <w:textAlignment w:val="center"/>
              <w:rPr>
                <w:rFonts w:hint="default" w:ascii="仿宋" w:hAnsi="仿宋" w:eastAsia="仿宋" w:cs="仿宋"/>
                <w:bCs/>
                <w:color w:val="auto"/>
                <w:kern w:val="0"/>
                <w:sz w:val="24"/>
                <w:highlight w:val="none"/>
                <w:lang w:val="en-US" w:eastAsia="zh-CN"/>
              </w:rPr>
            </w:pPr>
            <w:r>
              <w:rPr>
                <w:rFonts w:hint="eastAsia" w:ascii="仿宋" w:hAnsi="仿宋" w:eastAsia="仿宋" w:cs="仿宋"/>
                <w:bCs/>
                <w:color w:val="auto"/>
                <w:kern w:val="0"/>
                <w:sz w:val="24"/>
                <w:highlight w:val="none"/>
                <w:lang w:val="en-US" w:eastAsia="zh-CN"/>
              </w:rPr>
              <w:t>37</w:t>
            </w:r>
          </w:p>
        </w:tc>
        <w:tc>
          <w:tcPr>
            <w:tcW w:w="4883" w:type="dxa"/>
            <w:shd w:val="clear" w:color="auto" w:fill="auto"/>
            <w:tcMar>
              <w:top w:w="15" w:type="dxa"/>
              <w:left w:w="15" w:type="dxa"/>
              <w:right w:w="15" w:type="dxa"/>
            </w:tcMar>
            <w:vAlign w:val="center"/>
          </w:tcPr>
          <w:p w14:paraId="2457EEF3">
            <w:pPr>
              <w:pStyle w:val="113"/>
              <w:textAlignment w:val="baseline"/>
              <w:rPr>
                <w:rFonts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已下发书面《整改通知书》，到期再检查，未能及时整改到位的</w:t>
            </w:r>
          </w:p>
        </w:tc>
        <w:tc>
          <w:tcPr>
            <w:tcW w:w="2070" w:type="dxa"/>
            <w:shd w:val="clear" w:color="auto" w:fill="auto"/>
            <w:tcMar>
              <w:top w:w="0" w:type="dxa"/>
              <w:left w:w="74" w:type="dxa"/>
              <w:right w:w="74" w:type="dxa"/>
            </w:tcMar>
            <w:vAlign w:val="center"/>
          </w:tcPr>
          <w:p w14:paraId="49CFEDA0">
            <w:pPr>
              <w:widowControl/>
              <w:textAlignment w:val="center"/>
              <w:rPr>
                <w:rFonts w:ascii="仿宋" w:hAnsi="仿宋" w:eastAsia="仿宋" w:cs="仿宋"/>
                <w:bCs/>
                <w:color w:val="auto"/>
                <w:sz w:val="24"/>
                <w:highlight w:val="none"/>
              </w:rPr>
            </w:pPr>
            <w:r>
              <w:rPr>
                <w:rFonts w:hint="eastAsia" w:ascii="仿宋" w:hAnsi="仿宋" w:eastAsia="仿宋" w:cs="仿宋"/>
                <w:color w:val="auto"/>
                <w:sz w:val="24"/>
                <w:highlight w:val="none"/>
              </w:rPr>
              <w:t>在上一份整改通知书的基础上，加倍罚款</w:t>
            </w:r>
          </w:p>
        </w:tc>
        <w:tc>
          <w:tcPr>
            <w:tcW w:w="1706" w:type="dxa"/>
            <w:shd w:val="clear" w:color="auto" w:fill="auto"/>
            <w:tcMar>
              <w:top w:w="15" w:type="dxa"/>
              <w:left w:w="15" w:type="dxa"/>
              <w:right w:w="15" w:type="dxa"/>
            </w:tcMar>
            <w:vAlign w:val="center"/>
          </w:tcPr>
          <w:p w14:paraId="2491230C">
            <w:pPr>
              <w:widowControl/>
              <w:jc w:val="center"/>
              <w:textAlignment w:val="center"/>
              <w:rPr>
                <w:rFonts w:ascii="仿宋" w:hAnsi="仿宋" w:eastAsia="仿宋" w:cs="仿宋"/>
                <w:color w:val="auto"/>
                <w:sz w:val="24"/>
                <w:highlight w:val="none"/>
              </w:rPr>
            </w:pPr>
          </w:p>
        </w:tc>
      </w:tr>
      <w:tr w14:paraId="79B9D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14:paraId="55282271">
            <w:pPr>
              <w:widowControl/>
              <w:jc w:val="center"/>
              <w:textAlignment w:val="center"/>
              <w:rPr>
                <w:rFonts w:hint="default" w:ascii="仿宋" w:hAnsi="仿宋" w:eastAsia="仿宋" w:cs="仿宋"/>
                <w:bCs/>
                <w:color w:val="auto"/>
                <w:kern w:val="0"/>
                <w:sz w:val="24"/>
                <w:szCs w:val="24"/>
                <w:highlight w:val="none"/>
                <w:lang w:val="en-US" w:eastAsia="zh-CN" w:bidi="ar-SA"/>
              </w:rPr>
            </w:pPr>
            <w:r>
              <w:rPr>
                <w:rFonts w:hint="eastAsia" w:ascii="仿宋" w:hAnsi="仿宋" w:eastAsia="仿宋" w:cs="仿宋"/>
                <w:bCs/>
                <w:color w:val="auto"/>
                <w:kern w:val="0"/>
                <w:sz w:val="24"/>
                <w:highlight w:val="none"/>
                <w:lang w:val="en-US" w:eastAsia="zh-CN"/>
              </w:rPr>
              <w:t>38</w:t>
            </w:r>
          </w:p>
        </w:tc>
        <w:tc>
          <w:tcPr>
            <w:tcW w:w="4883" w:type="dxa"/>
            <w:shd w:val="clear" w:color="auto" w:fill="auto"/>
            <w:tcMar>
              <w:top w:w="15" w:type="dxa"/>
              <w:left w:w="15" w:type="dxa"/>
              <w:right w:w="15" w:type="dxa"/>
            </w:tcMar>
            <w:vAlign w:val="center"/>
          </w:tcPr>
          <w:p w14:paraId="778687F5">
            <w:pPr>
              <w:pStyle w:val="113"/>
              <w:textAlignment w:val="baseline"/>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highlight w:val="none"/>
                <w:lang w:val="en-US" w:eastAsia="zh-CN" w:bidi="ar"/>
              </w:rPr>
              <w:t>杂草清理及绿化修剪不及时（每个停车场）</w:t>
            </w:r>
          </w:p>
        </w:tc>
        <w:tc>
          <w:tcPr>
            <w:tcW w:w="2070" w:type="dxa"/>
            <w:shd w:val="clear" w:color="auto" w:fill="auto"/>
            <w:tcMar>
              <w:top w:w="0" w:type="dxa"/>
              <w:left w:w="74" w:type="dxa"/>
              <w:right w:w="74" w:type="dxa"/>
            </w:tcMar>
            <w:vAlign w:val="center"/>
          </w:tcPr>
          <w:p w14:paraId="285D6605">
            <w:pPr>
              <w:widowControl/>
              <w:textAlignment w:val="center"/>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2000元</w:t>
            </w:r>
          </w:p>
        </w:tc>
        <w:tc>
          <w:tcPr>
            <w:tcW w:w="1706" w:type="dxa"/>
            <w:shd w:val="clear" w:color="auto" w:fill="auto"/>
            <w:tcMar>
              <w:top w:w="15" w:type="dxa"/>
              <w:left w:w="15" w:type="dxa"/>
              <w:right w:w="15" w:type="dxa"/>
            </w:tcMar>
            <w:vAlign w:val="center"/>
          </w:tcPr>
          <w:p w14:paraId="25F87001">
            <w:pPr>
              <w:widowControl/>
              <w:jc w:val="center"/>
              <w:textAlignment w:val="center"/>
              <w:rPr>
                <w:rFonts w:ascii="仿宋" w:hAnsi="仿宋" w:eastAsia="仿宋" w:cs="仿宋"/>
                <w:color w:val="auto"/>
                <w:sz w:val="24"/>
                <w:highlight w:val="none"/>
              </w:rPr>
            </w:pPr>
          </w:p>
        </w:tc>
      </w:tr>
    </w:tbl>
    <w:p w14:paraId="747329D0">
      <w:pPr>
        <w:textAlignment w:val="baseline"/>
        <w:rPr>
          <w:rFonts w:ascii="宋体" w:hAnsi="宋体" w:cs="宋体"/>
          <w:b/>
          <w:color w:val="auto"/>
          <w:kern w:val="32"/>
          <w:szCs w:val="21"/>
          <w:highlight w:val="none"/>
        </w:rPr>
      </w:pPr>
    </w:p>
    <w:p w14:paraId="659B1AEC">
      <w:pPr>
        <w:pStyle w:val="2"/>
        <w:rPr>
          <w:color w:val="auto"/>
          <w:highlight w:val="none"/>
        </w:rPr>
      </w:pPr>
    </w:p>
    <w:p w14:paraId="71520635">
      <w:pPr>
        <w:textAlignment w:val="baseline"/>
        <w:rPr>
          <w:rFonts w:ascii="宋体" w:hAnsi="宋体" w:cs="宋体"/>
          <w:b/>
          <w:color w:val="auto"/>
          <w:kern w:val="32"/>
          <w:szCs w:val="21"/>
          <w:highlight w:val="none"/>
        </w:rPr>
      </w:pPr>
    </w:p>
    <w:p w14:paraId="36AB1430">
      <w:pPr>
        <w:textAlignment w:val="baseline"/>
        <w:rPr>
          <w:rFonts w:ascii="宋体" w:hAnsi="宋体" w:cs="宋体"/>
          <w:b/>
          <w:color w:val="auto"/>
          <w:kern w:val="32"/>
          <w:szCs w:val="21"/>
          <w:highlight w:val="none"/>
        </w:rPr>
      </w:pPr>
    </w:p>
    <w:p w14:paraId="06771EFB">
      <w:pPr>
        <w:textAlignment w:val="baseline"/>
        <w:rPr>
          <w:rFonts w:ascii="宋体" w:hAnsi="宋体" w:cs="宋体"/>
          <w:b/>
          <w:color w:val="auto"/>
          <w:kern w:val="32"/>
          <w:szCs w:val="21"/>
          <w:highlight w:val="none"/>
        </w:rPr>
      </w:pPr>
    </w:p>
    <w:p w14:paraId="5F52D5CA">
      <w:pPr>
        <w:textAlignment w:val="baseline"/>
        <w:rPr>
          <w:rFonts w:ascii="宋体" w:hAnsi="宋体" w:cs="宋体"/>
          <w:b/>
          <w:color w:val="auto"/>
          <w:kern w:val="32"/>
          <w:szCs w:val="21"/>
          <w:highlight w:val="none"/>
        </w:rPr>
      </w:pPr>
    </w:p>
    <w:p w14:paraId="166551CF">
      <w:pPr>
        <w:textAlignment w:val="baseline"/>
        <w:rPr>
          <w:rFonts w:ascii="宋体" w:hAnsi="宋体" w:cs="宋体"/>
          <w:b/>
          <w:color w:val="auto"/>
          <w:kern w:val="32"/>
          <w:szCs w:val="21"/>
          <w:highlight w:val="none"/>
        </w:rPr>
      </w:pPr>
    </w:p>
    <w:p w14:paraId="40C75322">
      <w:pPr>
        <w:textAlignment w:val="baseline"/>
        <w:rPr>
          <w:rFonts w:ascii="宋体" w:hAnsi="宋体" w:cs="宋体"/>
          <w:b/>
          <w:color w:val="auto"/>
          <w:kern w:val="32"/>
          <w:szCs w:val="21"/>
          <w:highlight w:val="none"/>
        </w:rPr>
      </w:pPr>
    </w:p>
    <w:p w14:paraId="4C732A11">
      <w:pPr>
        <w:textAlignment w:val="baseline"/>
        <w:rPr>
          <w:rFonts w:ascii="宋体" w:hAnsi="宋体" w:cs="宋体"/>
          <w:b/>
          <w:color w:val="auto"/>
          <w:kern w:val="32"/>
          <w:szCs w:val="21"/>
          <w:highlight w:val="none"/>
        </w:rPr>
      </w:pPr>
    </w:p>
    <w:p w14:paraId="393FD665">
      <w:pPr>
        <w:textAlignment w:val="baseline"/>
        <w:rPr>
          <w:rFonts w:ascii="宋体" w:hAnsi="宋体" w:cs="宋体"/>
          <w:b/>
          <w:color w:val="auto"/>
          <w:kern w:val="32"/>
          <w:szCs w:val="21"/>
          <w:highlight w:val="none"/>
        </w:rPr>
      </w:pPr>
    </w:p>
    <w:p w14:paraId="0F76F31A">
      <w:pPr>
        <w:textAlignment w:val="baseline"/>
        <w:rPr>
          <w:rFonts w:ascii="宋体" w:hAnsi="宋体" w:cs="宋体"/>
          <w:b/>
          <w:color w:val="auto"/>
          <w:kern w:val="32"/>
          <w:szCs w:val="21"/>
          <w:highlight w:val="none"/>
        </w:rPr>
      </w:pPr>
    </w:p>
    <w:p w14:paraId="28FE92A5">
      <w:pPr>
        <w:textAlignment w:val="baseline"/>
        <w:rPr>
          <w:rFonts w:ascii="宋体" w:hAnsi="宋体" w:cs="宋体"/>
          <w:b/>
          <w:color w:val="auto"/>
          <w:kern w:val="32"/>
          <w:szCs w:val="21"/>
          <w:highlight w:val="none"/>
        </w:rPr>
      </w:pPr>
    </w:p>
    <w:p w14:paraId="321C016C">
      <w:pPr>
        <w:textAlignment w:val="baseline"/>
        <w:rPr>
          <w:rFonts w:ascii="宋体" w:hAnsi="宋体" w:cs="宋体"/>
          <w:b/>
          <w:color w:val="auto"/>
          <w:kern w:val="32"/>
          <w:szCs w:val="21"/>
          <w:highlight w:val="none"/>
        </w:rPr>
      </w:pPr>
    </w:p>
    <w:p w14:paraId="0BB5CA3D">
      <w:pPr>
        <w:textAlignment w:val="baseline"/>
        <w:rPr>
          <w:rFonts w:ascii="仿宋" w:hAnsi="仿宋" w:eastAsia="仿宋" w:cs="仿宋"/>
          <w:bCs/>
          <w:color w:val="auto"/>
          <w:sz w:val="30"/>
          <w:szCs w:val="30"/>
          <w:highlight w:val="none"/>
        </w:rPr>
      </w:pPr>
    </w:p>
    <w:p w14:paraId="0CBB8EE6">
      <w:pPr>
        <w:textAlignment w:val="baseline"/>
        <w:rPr>
          <w:rFonts w:ascii="仿宋" w:hAnsi="仿宋" w:eastAsia="仿宋" w:cs="仿宋"/>
          <w:bCs/>
          <w:color w:val="auto"/>
          <w:sz w:val="30"/>
          <w:szCs w:val="30"/>
          <w:highlight w:val="none"/>
        </w:rPr>
      </w:pPr>
    </w:p>
    <w:p w14:paraId="560B306F">
      <w:pPr>
        <w:textAlignment w:val="baseline"/>
        <w:rPr>
          <w:rFonts w:hint="eastAsia" w:ascii="仿宋" w:hAnsi="仿宋" w:eastAsia="仿宋" w:cs="仿宋"/>
          <w:bCs/>
          <w:color w:val="auto"/>
          <w:sz w:val="30"/>
          <w:szCs w:val="30"/>
          <w:highlight w:val="none"/>
        </w:rPr>
      </w:pPr>
    </w:p>
    <w:p w14:paraId="6749580B">
      <w:pPr>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br w:type="page"/>
      </w:r>
    </w:p>
    <w:p w14:paraId="11762375">
      <w:pPr>
        <w:textAlignment w:val="baseline"/>
        <w:rPr>
          <w:rFonts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附件</w:t>
      </w:r>
      <w:r>
        <w:rPr>
          <w:rFonts w:ascii="仿宋" w:hAnsi="仿宋" w:eastAsia="仿宋" w:cs="仿宋"/>
          <w:bCs/>
          <w:color w:val="auto"/>
          <w:sz w:val="30"/>
          <w:szCs w:val="30"/>
          <w:highlight w:val="none"/>
        </w:rPr>
        <w:t>2</w:t>
      </w:r>
    </w:p>
    <w:p w14:paraId="55682ABF">
      <w:pPr>
        <w:jc w:val="center"/>
        <w:textAlignment w:val="baseline"/>
        <w:rPr>
          <w:color w:val="auto"/>
          <w:sz w:val="28"/>
          <w:szCs w:val="28"/>
          <w:highlight w:val="none"/>
        </w:rPr>
      </w:pPr>
      <w:r>
        <w:rPr>
          <w:rFonts w:hint="eastAsia" w:ascii="宋体" w:hAnsi="宋体" w:cs="宋体"/>
          <w:b/>
          <w:color w:val="auto"/>
          <w:sz w:val="36"/>
          <w:szCs w:val="36"/>
          <w:highlight w:val="none"/>
        </w:rPr>
        <w:t>整改（考核）通知书</w:t>
      </w:r>
      <w:r>
        <w:rPr>
          <w:rFonts w:hint="eastAsia"/>
          <w:color w:val="auto"/>
          <w:sz w:val="28"/>
          <w:szCs w:val="28"/>
          <w:highlight w:val="none"/>
        </w:rPr>
        <w:t xml:space="preserve">                               </w:t>
      </w:r>
    </w:p>
    <w:tbl>
      <w:tblPr>
        <w:tblStyle w:val="37"/>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2892"/>
        <w:gridCol w:w="1538"/>
        <w:gridCol w:w="3010"/>
      </w:tblGrid>
      <w:tr w14:paraId="34D63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Align w:val="center"/>
          </w:tcPr>
          <w:p w14:paraId="11A073BB">
            <w:pPr>
              <w:jc w:val="cente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下达单位</w:t>
            </w:r>
          </w:p>
        </w:tc>
        <w:tc>
          <w:tcPr>
            <w:tcW w:w="2892" w:type="dxa"/>
            <w:vAlign w:val="center"/>
          </w:tcPr>
          <w:p w14:paraId="0464C4DE">
            <w:pPr>
              <w:jc w:val="center"/>
              <w:textAlignment w:val="baseline"/>
              <w:rPr>
                <w:rFonts w:ascii="仿宋_GB2312" w:hAnsi="仿宋_GB2312" w:eastAsia="仿宋_GB2312" w:cs="仿宋_GB2312"/>
                <w:color w:val="auto"/>
                <w:kern w:val="0"/>
                <w:sz w:val="24"/>
                <w:highlight w:val="none"/>
              </w:rPr>
            </w:pPr>
          </w:p>
          <w:p w14:paraId="0E85260E">
            <w:pPr>
              <w:jc w:val="center"/>
              <w:textAlignment w:val="baseline"/>
              <w:rPr>
                <w:rFonts w:ascii="仿宋_GB2312" w:hAnsi="仿宋_GB2312" w:eastAsia="仿宋_GB2312" w:cs="仿宋_GB2312"/>
                <w:color w:val="auto"/>
                <w:kern w:val="0"/>
                <w:sz w:val="24"/>
                <w:highlight w:val="none"/>
              </w:rPr>
            </w:pPr>
          </w:p>
        </w:tc>
        <w:tc>
          <w:tcPr>
            <w:tcW w:w="1538" w:type="dxa"/>
            <w:vAlign w:val="center"/>
          </w:tcPr>
          <w:p w14:paraId="17CA0181">
            <w:pPr>
              <w:jc w:val="cente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下达时间</w:t>
            </w:r>
          </w:p>
        </w:tc>
        <w:tc>
          <w:tcPr>
            <w:tcW w:w="3010" w:type="dxa"/>
            <w:vAlign w:val="center"/>
          </w:tcPr>
          <w:p w14:paraId="599A6518">
            <w:pPr>
              <w:jc w:val="center"/>
              <w:textAlignment w:val="baseline"/>
              <w:rPr>
                <w:rFonts w:ascii="仿宋_GB2312" w:hAnsi="仿宋_GB2312" w:eastAsia="仿宋_GB2312" w:cs="仿宋_GB2312"/>
                <w:color w:val="auto"/>
                <w:kern w:val="0"/>
                <w:sz w:val="24"/>
                <w:highlight w:val="none"/>
              </w:rPr>
            </w:pPr>
          </w:p>
        </w:tc>
      </w:tr>
      <w:tr w14:paraId="62D8B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Align w:val="center"/>
          </w:tcPr>
          <w:p w14:paraId="13DEF8BC">
            <w:pPr>
              <w:jc w:val="cente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受检单位</w:t>
            </w:r>
          </w:p>
        </w:tc>
        <w:tc>
          <w:tcPr>
            <w:tcW w:w="2892" w:type="dxa"/>
            <w:vAlign w:val="center"/>
          </w:tcPr>
          <w:p w14:paraId="2A6E3C05">
            <w:pPr>
              <w:jc w:val="center"/>
              <w:textAlignment w:val="baseline"/>
              <w:rPr>
                <w:rFonts w:ascii="仿宋_GB2312" w:hAnsi="仿宋_GB2312" w:eastAsia="仿宋_GB2312" w:cs="仿宋_GB2312"/>
                <w:color w:val="auto"/>
                <w:kern w:val="0"/>
                <w:sz w:val="24"/>
                <w:highlight w:val="none"/>
              </w:rPr>
            </w:pPr>
          </w:p>
          <w:p w14:paraId="3BE86959">
            <w:pPr>
              <w:jc w:val="center"/>
              <w:textAlignment w:val="baseline"/>
              <w:rPr>
                <w:rFonts w:ascii="仿宋_GB2312" w:hAnsi="仿宋_GB2312" w:eastAsia="仿宋_GB2312" w:cs="仿宋_GB2312"/>
                <w:color w:val="auto"/>
                <w:kern w:val="0"/>
                <w:sz w:val="24"/>
                <w:highlight w:val="none"/>
              </w:rPr>
            </w:pPr>
          </w:p>
        </w:tc>
        <w:tc>
          <w:tcPr>
            <w:tcW w:w="1538" w:type="dxa"/>
            <w:vAlign w:val="center"/>
          </w:tcPr>
          <w:p w14:paraId="60FB319B">
            <w:pPr>
              <w:jc w:val="cente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检查时间</w:t>
            </w:r>
          </w:p>
        </w:tc>
        <w:tc>
          <w:tcPr>
            <w:tcW w:w="3010" w:type="dxa"/>
            <w:vAlign w:val="center"/>
          </w:tcPr>
          <w:p w14:paraId="563E95CE">
            <w:pPr>
              <w:jc w:val="center"/>
              <w:textAlignment w:val="baseline"/>
              <w:rPr>
                <w:rFonts w:ascii="仿宋_GB2312" w:hAnsi="仿宋_GB2312" w:eastAsia="仿宋_GB2312" w:cs="仿宋_GB2312"/>
                <w:color w:val="auto"/>
                <w:kern w:val="0"/>
                <w:sz w:val="24"/>
                <w:highlight w:val="none"/>
              </w:rPr>
            </w:pPr>
          </w:p>
        </w:tc>
      </w:tr>
      <w:tr w14:paraId="402DC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4" w:hRule="atLeast"/>
          <w:jc w:val="center"/>
        </w:trPr>
        <w:tc>
          <w:tcPr>
            <w:tcW w:w="8853" w:type="dxa"/>
            <w:gridSpan w:val="4"/>
            <w:vAlign w:val="center"/>
          </w:tcPr>
          <w:p w14:paraId="356D5E7E">
            <w:pP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检查情况:</w:t>
            </w:r>
          </w:p>
          <w:p w14:paraId="134557D6">
            <w:pPr>
              <w:jc w:val="center"/>
              <w:textAlignment w:val="baseline"/>
              <w:rPr>
                <w:rFonts w:ascii="仿宋_GB2312" w:hAnsi="仿宋_GB2312" w:eastAsia="仿宋_GB2312" w:cs="仿宋_GB2312"/>
                <w:color w:val="auto"/>
                <w:kern w:val="0"/>
                <w:sz w:val="24"/>
                <w:highlight w:val="none"/>
              </w:rPr>
            </w:pPr>
          </w:p>
          <w:p w14:paraId="1FDFC530">
            <w:pPr>
              <w:jc w:val="center"/>
              <w:textAlignment w:val="baseline"/>
              <w:rPr>
                <w:rFonts w:ascii="仿宋_GB2312" w:hAnsi="仿宋_GB2312" w:eastAsia="仿宋_GB2312" w:cs="仿宋_GB2312"/>
                <w:color w:val="auto"/>
                <w:kern w:val="0"/>
                <w:sz w:val="24"/>
                <w:highlight w:val="none"/>
              </w:rPr>
            </w:pPr>
          </w:p>
          <w:p w14:paraId="0DF27ECD">
            <w:pPr>
              <w:jc w:val="center"/>
              <w:textAlignment w:val="baseline"/>
              <w:rPr>
                <w:rFonts w:ascii="仿宋_GB2312" w:hAnsi="仿宋_GB2312" w:eastAsia="仿宋_GB2312" w:cs="仿宋_GB2312"/>
                <w:color w:val="auto"/>
                <w:kern w:val="0"/>
                <w:sz w:val="24"/>
                <w:highlight w:val="none"/>
              </w:rPr>
            </w:pPr>
          </w:p>
          <w:p w14:paraId="1F402C5B">
            <w:pPr>
              <w:jc w:val="center"/>
              <w:textAlignment w:val="baseline"/>
              <w:rPr>
                <w:rFonts w:ascii="仿宋_GB2312" w:hAnsi="仿宋_GB2312" w:eastAsia="仿宋_GB2312" w:cs="仿宋_GB2312"/>
                <w:color w:val="auto"/>
                <w:kern w:val="0"/>
                <w:sz w:val="24"/>
                <w:highlight w:val="none"/>
              </w:rPr>
            </w:pPr>
          </w:p>
          <w:p w14:paraId="3D9B7EE0">
            <w:pPr>
              <w:jc w:val="center"/>
              <w:textAlignment w:val="baseline"/>
              <w:rPr>
                <w:rFonts w:ascii="仿宋_GB2312" w:hAnsi="仿宋_GB2312" w:eastAsia="仿宋_GB2312" w:cs="仿宋_GB2312"/>
                <w:color w:val="auto"/>
                <w:kern w:val="0"/>
                <w:sz w:val="24"/>
                <w:highlight w:val="none"/>
              </w:rPr>
            </w:pPr>
          </w:p>
          <w:p w14:paraId="1AFFDE79">
            <w:pPr>
              <w:jc w:val="center"/>
              <w:textAlignment w:val="baseline"/>
              <w:rPr>
                <w:rFonts w:ascii="仿宋_GB2312" w:hAnsi="仿宋_GB2312" w:eastAsia="仿宋_GB2312" w:cs="仿宋_GB2312"/>
                <w:color w:val="auto"/>
                <w:kern w:val="0"/>
                <w:sz w:val="24"/>
                <w:highlight w:val="none"/>
              </w:rPr>
            </w:pPr>
          </w:p>
          <w:p w14:paraId="736C61B0">
            <w:pPr>
              <w:jc w:val="center"/>
              <w:textAlignment w:val="baseline"/>
              <w:rPr>
                <w:rFonts w:ascii="仿宋_GB2312" w:hAnsi="仿宋_GB2312" w:eastAsia="仿宋_GB2312" w:cs="仿宋_GB2312"/>
                <w:color w:val="auto"/>
                <w:kern w:val="0"/>
                <w:sz w:val="24"/>
                <w:highlight w:val="none"/>
              </w:rPr>
            </w:pPr>
          </w:p>
          <w:p w14:paraId="19A01F48">
            <w:pPr>
              <w:jc w:val="center"/>
              <w:textAlignment w:val="baseline"/>
              <w:rPr>
                <w:rFonts w:ascii="仿宋_GB2312" w:hAnsi="仿宋_GB2312" w:eastAsia="仿宋_GB2312" w:cs="仿宋_GB2312"/>
                <w:color w:val="auto"/>
                <w:kern w:val="0"/>
                <w:sz w:val="24"/>
                <w:highlight w:val="none"/>
              </w:rPr>
            </w:pPr>
          </w:p>
          <w:p w14:paraId="38BDC62A">
            <w:pPr>
              <w:ind w:firstLine="630"/>
              <w:jc w:val="center"/>
              <w:textAlignment w:val="baseline"/>
              <w:rPr>
                <w:rFonts w:ascii="仿宋_GB2312" w:hAnsi="仿宋_GB2312" w:eastAsia="仿宋_GB2312" w:cs="仿宋_GB2312"/>
                <w:color w:val="auto"/>
                <w:kern w:val="0"/>
                <w:sz w:val="24"/>
                <w:highlight w:val="none"/>
              </w:rPr>
            </w:pPr>
          </w:p>
          <w:p w14:paraId="2C4AEC60">
            <w:pPr>
              <w:ind w:firstLine="630"/>
              <w:jc w:val="center"/>
              <w:textAlignment w:val="baseline"/>
              <w:rPr>
                <w:rFonts w:ascii="仿宋_GB2312" w:hAnsi="仿宋_GB2312" w:eastAsia="仿宋_GB2312" w:cs="仿宋_GB2312"/>
                <w:color w:val="auto"/>
                <w:kern w:val="0"/>
                <w:sz w:val="24"/>
                <w:highlight w:val="none"/>
              </w:rPr>
            </w:pPr>
          </w:p>
          <w:p w14:paraId="617991D7">
            <w:pPr>
              <w:ind w:firstLine="630"/>
              <w:jc w:val="center"/>
              <w:textAlignment w:val="baseline"/>
              <w:rPr>
                <w:rFonts w:ascii="仿宋_GB2312" w:hAnsi="仿宋_GB2312" w:eastAsia="仿宋_GB2312" w:cs="仿宋_GB2312"/>
                <w:color w:val="auto"/>
                <w:kern w:val="0"/>
                <w:sz w:val="24"/>
                <w:highlight w:val="none"/>
              </w:rPr>
            </w:pPr>
          </w:p>
          <w:p w14:paraId="121FB109">
            <w:pPr>
              <w:jc w:val="cente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 xml:space="preserve"> </w:t>
            </w:r>
            <w:r>
              <w:rPr>
                <w:rFonts w:ascii="仿宋_GB2312" w:hAnsi="仿宋_GB2312" w:eastAsia="仿宋_GB2312" w:cs="仿宋_GB2312"/>
                <w:color w:val="auto"/>
                <w:kern w:val="0"/>
                <w:sz w:val="24"/>
                <w:highlight w:val="none"/>
              </w:rPr>
              <w:t xml:space="preserve">         </w:t>
            </w:r>
            <w:r>
              <w:rPr>
                <w:rFonts w:hint="eastAsia" w:ascii="仿宋_GB2312" w:hAnsi="仿宋_GB2312" w:eastAsia="仿宋_GB2312" w:cs="仿宋_GB2312"/>
                <w:color w:val="auto"/>
                <w:kern w:val="0"/>
                <w:sz w:val="24"/>
                <w:highlight w:val="none"/>
              </w:rPr>
              <w:t xml:space="preserve">检查人：                      </w:t>
            </w:r>
          </w:p>
        </w:tc>
      </w:tr>
      <w:tr w14:paraId="1E983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13" w:type="dxa"/>
            <w:vAlign w:val="center"/>
          </w:tcPr>
          <w:p w14:paraId="1D2F6F56">
            <w:pPr>
              <w:jc w:val="cente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整改期限</w:t>
            </w:r>
          </w:p>
        </w:tc>
        <w:tc>
          <w:tcPr>
            <w:tcW w:w="2892" w:type="dxa"/>
            <w:vAlign w:val="center"/>
          </w:tcPr>
          <w:p w14:paraId="13293098">
            <w:pPr>
              <w:jc w:val="center"/>
              <w:textAlignment w:val="baseline"/>
              <w:rPr>
                <w:rFonts w:ascii="仿宋_GB2312" w:hAnsi="仿宋_GB2312" w:eastAsia="仿宋_GB2312" w:cs="仿宋_GB2312"/>
                <w:color w:val="auto"/>
                <w:kern w:val="0"/>
                <w:sz w:val="24"/>
                <w:highlight w:val="none"/>
              </w:rPr>
            </w:pPr>
          </w:p>
        </w:tc>
        <w:tc>
          <w:tcPr>
            <w:tcW w:w="1538" w:type="dxa"/>
            <w:vAlign w:val="center"/>
          </w:tcPr>
          <w:p w14:paraId="4500E756">
            <w:pPr>
              <w:jc w:val="cente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责任人签认</w:t>
            </w:r>
          </w:p>
        </w:tc>
        <w:tc>
          <w:tcPr>
            <w:tcW w:w="3010" w:type="dxa"/>
            <w:vAlign w:val="center"/>
          </w:tcPr>
          <w:p w14:paraId="2C24DC5D">
            <w:pPr>
              <w:jc w:val="center"/>
              <w:textAlignment w:val="baseline"/>
              <w:rPr>
                <w:rFonts w:ascii="仿宋_GB2312" w:hAnsi="仿宋_GB2312" w:eastAsia="仿宋_GB2312" w:cs="仿宋_GB2312"/>
                <w:color w:val="auto"/>
                <w:kern w:val="0"/>
                <w:sz w:val="24"/>
                <w:highlight w:val="none"/>
              </w:rPr>
            </w:pPr>
          </w:p>
        </w:tc>
      </w:tr>
      <w:tr w14:paraId="161C8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jc w:val="center"/>
        </w:trPr>
        <w:tc>
          <w:tcPr>
            <w:tcW w:w="8853" w:type="dxa"/>
            <w:gridSpan w:val="4"/>
            <w:vAlign w:val="center"/>
          </w:tcPr>
          <w:p w14:paraId="2842AFE9">
            <w:pP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复查情况:</w:t>
            </w:r>
          </w:p>
          <w:p w14:paraId="3078BDE0">
            <w:pPr>
              <w:jc w:val="center"/>
              <w:textAlignment w:val="baseline"/>
              <w:rPr>
                <w:rFonts w:ascii="仿宋_GB2312" w:hAnsi="仿宋_GB2312" w:eastAsia="仿宋_GB2312" w:cs="仿宋_GB2312"/>
                <w:color w:val="auto"/>
                <w:kern w:val="0"/>
                <w:sz w:val="24"/>
                <w:highlight w:val="none"/>
              </w:rPr>
            </w:pPr>
          </w:p>
          <w:p w14:paraId="46405C87">
            <w:pPr>
              <w:jc w:val="center"/>
              <w:textAlignment w:val="baseline"/>
              <w:rPr>
                <w:rFonts w:ascii="仿宋_GB2312" w:hAnsi="仿宋_GB2312" w:eastAsia="仿宋_GB2312" w:cs="仿宋_GB2312"/>
                <w:color w:val="auto"/>
                <w:kern w:val="0"/>
                <w:sz w:val="24"/>
                <w:highlight w:val="none"/>
              </w:rPr>
            </w:pPr>
          </w:p>
          <w:p w14:paraId="5B358277">
            <w:pPr>
              <w:jc w:val="center"/>
              <w:textAlignment w:val="baseline"/>
              <w:rPr>
                <w:rFonts w:ascii="仿宋_GB2312" w:hAnsi="仿宋_GB2312" w:eastAsia="仿宋_GB2312" w:cs="仿宋_GB2312"/>
                <w:color w:val="auto"/>
                <w:kern w:val="0"/>
                <w:sz w:val="24"/>
                <w:highlight w:val="none"/>
              </w:rPr>
            </w:pPr>
          </w:p>
          <w:p w14:paraId="47621313">
            <w:pPr>
              <w:jc w:val="center"/>
              <w:textAlignment w:val="baseline"/>
              <w:rPr>
                <w:rFonts w:ascii="仿宋_GB2312" w:hAnsi="仿宋_GB2312" w:eastAsia="仿宋_GB2312" w:cs="仿宋_GB2312"/>
                <w:color w:val="auto"/>
                <w:kern w:val="0"/>
                <w:sz w:val="24"/>
                <w:highlight w:val="none"/>
              </w:rPr>
            </w:pPr>
          </w:p>
          <w:p w14:paraId="1C24746C">
            <w:pPr>
              <w:jc w:val="center"/>
              <w:textAlignment w:val="baseline"/>
              <w:rPr>
                <w:rFonts w:ascii="仿宋_GB2312" w:hAnsi="仿宋_GB2312" w:eastAsia="仿宋_GB2312" w:cs="仿宋_GB2312"/>
                <w:color w:val="auto"/>
                <w:kern w:val="0"/>
                <w:sz w:val="24"/>
                <w:highlight w:val="none"/>
              </w:rPr>
            </w:pPr>
          </w:p>
          <w:p w14:paraId="6BC43224">
            <w:pPr>
              <w:jc w:val="center"/>
              <w:textAlignment w:val="baseline"/>
              <w:rPr>
                <w:rFonts w:ascii="仿宋_GB2312" w:hAnsi="仿宋_GB2312" w:eastAsia="仿宋_GB2312" w:cs="仿宋_GB2312"/>
                <w:color w:val="auto"/>
                <w:kern w:val="0"/>
                <w:sz w:val="24"/>
                <w:highlight w:val="none"/>
              </w:rPr>
            </w:pPr>
          </w:p>
          <w:p w14:paraId="6B6AFE7A">
            <w:pPr>
              <w:jc w:val="cente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 xml:space="preserve">     </w:t>
            </w:r>
          </w:p>
          <w:p w14:paraId="6FFDB17C">
            <w:pPr>
              <w:jc w:val="center"/>
              <w:textAlignment w:val="baseline"/>
              <w:rPr>
                <w:rFonts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 xml:space="preserve">                           检查人:</w:t>
            </w:r>
          </w:p>
        </w:tc>
      </w:tr>
    </w:tbl>
    <w:p w14:paraId="5A0C5301">
      <w:pPr>
        <w:rPr>
          <w:rFonts w:hint="eastAsia" w:ascii="宋体"/>
          <w:b/>
          <w:color w:val="auto"/>
          <w:sz w:val="32"/>
          <w:szCs w:val="32"/>
          <w:highlight w:val="none"/>
        </w:rPr>
      </w:pPr>
      <w:r>
        <w:rPr>
          <w:rFonts w:hint="eastAsia" w:ascii="宋体"/>
          <w:b/>
          <w:color w:val="auto"/>
          <w:sz w:val="32"/>
          <w:szCs w:val="32"/>
          <w:highlight w:val="none"/>
        </w:rPr>
        <w:br w:type="page"/>
      </w:r>
    </w:p>
    <w:p w14:paraId="07A16614">
      <w:pPr>
        <w:numPr>
          <w:ilvl w:val="0"/>
          <w:numId w:val="0"/>
        </w:numPr>
        <w:spacing w:before="156" w:beforeLines="50" w:after="156" w:afterLines="50"/>
        <w:jc w:val="center"/>
        <w:outlineLvl w:val="0"/>
        <w:rPr>
          <w:rFonts w:hint="eastAsia" w:ascii="宋体"/>
          <w:b/>
          <w:color w:val="auto"/>
          <w:sz w:val="32"/>
          <w:szCs w:val="32"/>
          <w:highlight w:val="none"/>
          <w:lang w:val="en-US" w:eastAsia="zh-CN"/>
        </w:rPr>
      </w:pPr>
      <w:r>
        <w:rPr>
          <w:rFonts w:hint="eastAsia" w:ascii="宋体"/>
          <w:b/>
          <w:color w:val="auto"/>
          <w:sz w:val="32"/>
          <w:szCs w:val="32"/>
          <w:highlight w:val="none"/>
          <w:lang w:val="en-US" w:eastAsia="zh-CN"/>
        </w:rPr>
        <w:t xml:space="preserve">第五章  </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合同格式（参考）</w:t>
      </w:r>
    </w:p>
    <w:p w14:paraId="1C1D08E8">
      <w:pPr>
        <w:widowControl/>
        <w:spacing w:line="400" w:lineRule="exact"/>
        <w:ind w:left="360"/>
        <w:jc w:val="center"/>
        <w:textAlignment w:val="baseline"/>
        <w:outlineLvl w:val="1"/>
        <w:rPr>
          <w:rFonts w:hint="eastAsia" w:ascii="宋体"/>
          <w:b/>
          <w:color w:val="auto"/>
          <w:sz w:val="30"/>
          <w:szCs w:val="30"/>
          <w:highlight w:val="none"/>
        </w:rPr>
      </w:pPr>
    </w:p>
    <w:p w14:paraId="5832ADEE">
      <w:pPr>
        <w:widowControl/>
        <w:spacing w:line="400" w:lineRule="exact"/>
        <w:ind w:left="360"/>
        <w:jc w:val="center"/>
        <w:textAlignment w:val="baseline"/>
        <w:outlineLvl w:val="1"/>
        <w:rPr>
          <w:rFonts w:hint="eastAsia" w:ascii="黑体" w:eastAsia="黑体"/>
          <w:b/>
          <w:color w:val="auto"/>
          <w:sz w:val="30"/>
          <w:szCs w:val="30"/>
          <w:highlight w:val="none"/>
        </w:rPr>
      </w:pPr>
      <w:r>
        <w:rPr>
          <w:rFonts w:hint="eastAsia" w:ascii="宋体"/>
          <w:b/>
          <w:color w:val="auto"/>
          <w:sz w:val="30"/>
          <w:szCs w:val="30"/>
          <w:highlight w:val="none"/>
        </w:rPr>
        <w:t>一</w:t>
      </w:r>
      <w:bookmarkStart w:id="109" w:name="_Toc449028946"/>
      <w:r>
        <w:rPr>
          <w:rFonts w:hint="eastAsia" w:ascii="宋体"/>
          <w:b/>
          <w:color w:val="auto"/>
          <w:sz w:val="30"/>
          <w:szCs w:val="30"/>
          <w:highlight w:val="none"/>
        </w:rPr>
        <w:t>、合同协议书（格式）</w:t>
      </w:r>
      <w:bookmarkEnd w:id="109"/>
    </w:p>
    <w:p w14:paraId="15A746C6">
      <w:pPr>
        <w:spacing w:before="120" w:line="480" w:lineRule="auto"/>
        <w:ind w:left="960"/>
        <w:rPr>
          <w:rFonts w:hint="eastAsia" w:ascii="宋体" w:hAnsi="宋体"/>
          <w:color w:val="auto"/>
          <w:sz w:val="24"/>
          <w:highlight w:val="none"/>
        </w:rPr>
      </w:pPr>
    </w:p>
    <w:p w14:paraId="06A3B562">
      <w:pPr>
        <w:spacing w:before="120" w:line="480" w:lineRule="auto"/>
        <w:ind w:left="960"/>
        <w:rPr>
          <w:rFonts w:hint="eastAsia" w:ascii="宋体" w:hAnsi="宋体"/>
          <w:color w:val="auto"/>
          <w:sz w:val="24"/>
          <w:highlight w:val="none"/>
        </w:rPr>
      </w:pPr>
    </w:p>
    <w:p w14:paraId="4F8BE643">
      <w:pPr>
        <w:spacing w:before="120" w:line="480" w:lineRule="auto"/>
        <w:ind w:left="960"/>
        <w:rPr>
          <w:rFonts w:hint="eastAsia" w:ascii="宋体" w:hAnsi="宋体"/>
          <w:color w:val="auto"/>
          <w:sz w:val="24"/>
          <w:highlight w:val="none"/>
        </w:rPr>
      </w:pPr>
    </w:p>
    <w:p w14:paraId="3DD2F57C">
      <w:pPr>
        <w:spacing w:before="120" w:line="480" w:lineRule="auto"/>
        <w:ind w:left="960"/>
        <w:rPr>
          <w:rFonts w:hint="eastAsia" w:ascii="宋体" w:hAnsi="宋体"/>
          <w:color w:val="auto"/>
          <w:sz w:val="24"/>
          <w:highlight w:val="none"/>
        </w:rPr>
      </w:pPr>
    </w:p>
    <w:p w14:paraId="00D25EC1">
      <w:pPr>
        <w:spacing w:before="120" w:line="480" w:lineRule="auto"/>
        <w:ind w:left="960"/>
        <w:rPr>
          <w:rFonts w:hint="eastAsia" w:ascii="宋体" w:hAnsi="宋体"/>
          <w:color w:val="auto"/>
          <w:sz w:val="24"/>
          <w:highlight w:val="none"/>
        </w:rPr>
      </w:pPr>
    </w:p>
    <w:p w14:paraId="393E8AF6">
      <w:pPr>
        <w:spacing w:before="120" w:line="480" w:lineRule="auto"/>
        <w:ind w:left="960"/>
        <w:rPr>
          <w:rFonts w:hint="eastAsia" w:ascii="宋体" w:hAnsi="宋体"/>
          <w:color w:val="auto"/>
          <w:szCs w:val="21"/>
          <w:highlight w:val="none"/>
        </w:rPr>
      </w:pPr>
      <w:r>
        <w:rPr>
          <w:rFonts w:hint="eastAsia" w:ascii="宋体" w:hAnsi="宋体"/>
          <w:color w:val="auto"/>
          <w:szCs w:val="21"/>
          <w:highlight w:val="none"/>
        </w:rPr>
        <w:t xml:space="preserve">项目名称：    </w:t>
      </w:r>
    </w:p>
    <w:p w14:paraId="5F6646C2">
      <w:pPr>
        <w:spacing w:before="120" w:line="480" w:lineRule="auto"/>
        <w:ind w:left="960"/>
        <w:rPr>
          <w:rFonts w:ascii="宋体" w:hAnsi="宋体"/>
          <w:color w:val="auto"/>
          <w:szCs w:val="21"/>
          <w:highlight w:val="none"/>
        </w:rPr>
      </w:pPr>
      <w:r>
        <w:rPr>
          <w:rFonts w:hint="eastAsia" w:ascii="宋体" w:hAnsi="宋体"/>
          <w:color w:val="auto"/>
          <w:szCs w:val="21"/>
          <w:highlight w:val="none"/>
        </w:rPr>
        <w:t>项目编号：</w:t>
      </w:r>
    </w:p>
    <w:p w14:paraId="63CEF4C4">
      <w:pPr>
        <w:spacing w:before="120" w:line="480" w:lineRule="auto"/>
        <w:ind w:left="960"/>
        <w:rPr>
          <w:rFonts w:ascii="宋体" w:hAnsi="宋体"/>
          <w:color w:val="auto"/>
          <w:szCs w:val="21"/>
          <w:highlight w:val="none"/>
          <w:u w:val="single"/>
        </w:rPr>
      </w:pPr>
      <w:r>
        <w:rPr>
          <w:rFonts w:hint="eastAsia" w:ascii="宋体" w:hAnsi="宋体"/>
          <w:color w:val="auto"/>
          <w:szCs w:val="21"/>
          <w:highlight w:val="none"/>
        </w:rPr>
        <w:t>甲方（</w:t>
      </w:r>
      <w:r>
        <w:rPr>
          <w:rFonts w:hint="eastAsia" w:ascii="宋体" w:hAnsi="宋体"/>
          <w:color w:val="auto"/>
          <w:szCs w:val="21"/>
          <w:highlight w:val="none"/>
          <w:lang w:val="en-US" w:eastAsia="zh-CN"/>
        </w:rPr>
        <w:t>招标</w:t>
      </w:r>
      <w:r>
        <w:rPr>
          <w:rFonts w:hint="eastAsia" w:ascii="宋体" w:hAnsi="宋体"/>
          <w:color w:val="auto"/>
          <w:szCs w:val="21"/>
          <w:highlight w:val="none"/>
        </w:rPr>
        <w:t>人）：</w:t>
      </w:r>
      <w:r>
        <w:rPr>
          <w:rFonts w:hint="eastAsia" w:ascii="宋体" w:hAnsi="宋体"/>
          <w:color w:val="auto"/>
          <w:szCs w:val="21"/>
          <w:highlight w:val="none"/>
          <w:u w:val="single"/>
        </w:rPr>
        <w:t xml:space="preserve">                              </w:t>
      </w:r>
    </w:p>
    <w:p w14:paraId="01FFE275">
      <w:pPr>
        <w:spacing w:before="120" w:line="480" w:lineRule="auto"/>
        <w:ind w:left="960"/>
        <w:rPr>
          <w:rFonts w:ascii="宋体" w:hAnsi="宋体"/>
          <w:color w:val="auto"/>
          <w:szCs w:val="21"/>
          <w:highlight w:val="none"/>
          <w:u w:val="single"/>
        </w:rPr>
      </w:pPr>
      <w:r>
        <w:rPr>
          <w:rFonts w:hint="eastAsia" w:ascii="宋体" w:hAnsi="宋体"/>
          <w:color w:val="auto"/>
          <w:szCs w:val="21"/>
          <w:highlight w:val="none"/>
        </w:rPr>
        <w:t>乙方（中标人）：</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p w14:paraId="10DE0371">
      <w:pPr>
        <w:spacing w:before="120" w:line="480" w:lineRule="auto"/>
        <w:ind w:firstLine="840" w:firstLineChars="400"/>
        <w:rPr>
          <w:rFonts w:ascii="宋体" w:hAnsi="宋体"/>
          <w:color w:val="auto"/>
          <w:szCs w:val="21"/>
          <w:highlight w:val="none"/>
          <w:u w:val="single"/>
        </w:rPr>
      </w:pPr>
      <w:r>
        <w:rPr>
          <w:rFonts w:hint="eastAsia" w:ascii="宋体" w:hAnsi="宋体"/>
          <w:color w:val="auto"/>
          <w:szCs w:val="21"/>
          <w:highlight w:val="none"/>
        </w:rPr>
        <w:t>签订地：</w:t>
      </w:r>
      <w:r>
        <w:rPr>
          <w:rFonts w:hint="eastAsia" w:ascii="宋体" w:hAnsi="宋体"/>
          <w:color w:val="auto"/>
          <w:szCs w:val="21"/>
          <w:highlight w:val="none"/>
          <w:u w:val="single"/>
        </w:rPr>
        <w:t xml:space="preserve">                                     </w:t>
      </w:r>
    </w:p>
    <w:p w14:paraId="7B4959CB">
      <w:pPr>
        <w:spacing w:before="120" w:line="480" w:lineRule="auto"/>
        <w:ind w:firstLine="840" w:firstLineChars="400"/>
        <w:rPr>
          <w:rFonts w:ascii="宋体" w:hAnsi="宋体"/>
          <w:color w:val="auto"/>
          <w:szCs w:val="21"/>
          <w:highlight w:val="none"/>
        </w:rPr>
      </w:pPr>
      <w:r>
        <w:rPr>
          <w:rFonts w:hint="eastAsia" w:ascii="宋体" w:hAnsi="宋体"/>
          <w:color w:val="auto"/>
          <w:szCs w:val="21"/>
          <w:highlight w:val="none"/>
        </w:rPr>
        <w:t>签订日期：</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17AB2EE5">
      <w:pPr>
        <w:widowControl/>
        <w:jc w:val="left"/>
        <w:rPr>
          <w:rFonts w:ascii="宋体" w:hAnsi="宋体"/>
          <w:color w:val="auto"/>
          <w:szCs w:val="21"/>
          <w:highlight w:val="none"/>
        </w:rPr>
      </w:pPr>
      <w:r>
        <w:rPr>
          <w:rFonts w:ascii="宋体" w:hAnsi="宋体"/>
          <w:color w:val="auto"/>
          <w:szCs w:val="21"/>
          <w:highlight w:val="none"/>
        </w:rPr>
        <w:br w:type="page"/>
      </w:r>
    </w:p>
    <w:p w14:paraId="5D9B3F91">
      <w:pPr>
        <w:spacing w:line="360" w:lineRule="auto"/>
        <w:ind w:firstLine="435"/>
        <w:rPr>
          <w:rFonts w:ascii="宋体" w:hAnsi="宋体"/>
          <w:color w:val="auto"/>
          <w:szCs w:val="21"/>
          <w:highlight w:val="none"/>
        </w:rPr>
      </w:pPr>
      <w:r>
        <w:rPr>
          <w:rFonts w:hint="eastAsia" w:ascii="宋体" w:hAnsi="宋体"/>
          <w:i/>
          <w:iCs/>
          <w:color w:val="auto"/>
          <w:szCs w:val="21"/>
          <w:highlight w:val="none"/>
          <w:u w:val="single"/>
        </w:rPr>
        <w:t>（</w:t>
      </w:r>
      <w:r>
        <w:rPr>
          <w:rFonts w:hint="eastAsia" w:ascii="宋体" w:hAnsi="宋体"/>
          <w:i/>
          <w:iCs/>
          <w:color w:val="auto"/>
          <w:szCs w:val="21"/>
          <w:highlight w:val="none"/>
          <w:u w:val="single"/>
          <w:lang w:val="en-US" w:eastAsia="zh-CN"/>
        </w:rPr>
        <w:t>招标</w:t>
      </w:r>
      <w:r>
        <w:rPr>
          <w:rFonts w:hint="eastAsia" w:ascii="宋体" w:hAnsi="宋体"/>
          <w:i/>
          <w:iCs/>
          <w:color w:val="auto"/>
          <w:szCs w:val="21"/>
          <w:highlight w:val="none"/>
          <w:u w:val="single"/>
        </w:rPr>
        <w:t>人名称）</w:t>
      </w:r>
      <w:r>
        <w:rPr>
          <w:rFonts w:hint="eastAsia" w:ascii="宋体" w:hAnsi="宋体"/>
          <w:color w:val="auto"/>
          <w:szCs w:val="21"/>
          <w:highlight w:val="none"/>
        </w:rPr>
        <w:t>（</w:t>
      </w:r>
      <w:r>
        <w:rPr>
          <w:rFonts w:hint="eastAsia" w:ascii="宋体" w:hAnsi="宋体"/>
          <w:color w:val="auto"/>
          <w:szCs w:val="21"/>
          <w:highlight w:val="none"/>
          <w:lang w:val="zh-CN"/>
        </w:rPr>
        <w:t>以下简称：甲方</w:t>
      </w:r>
      <w:r>
        <w:rPr>
          <w:rFonts w:hint="eastAsia" w:ascii="宋体" w:hAnsi="宋体"/>
          <w:color w:val="auto"/>
          <w:szCs w:val="21"/>
          <w:highlight w:val="none"/>
        </w:rPr>
        <w:t>）通过公开招标，经评标委员会评定，确定</w:t>
      </w:r>
      <w:r>
        <w:rPr>
          <w:rFonts w:hint="eastAsia" w:ascii="宋体" w:hAnsi="宋体"/>
          <w:i/>
          <w:iCs/>
          <w:color w:val="auto"/>
          <w:szCs w:val="21"/>
          <w:highlight w:val="none"/>
          <w:u w:val="single"/>
        </w:rPr>
        <w:t>（中标人名称）</w:t>
      </w:r>
      <w:r>
        <w:rPr>
          <w:rFonts w:hint="eastAsia" w:ascii="宋体" w:hAnsi="宋体"/>
          <w:color w:val="auto"/>
          <w:szCs w:val="21"/>
          <w:highlight w:val="none"/>
        </w:rPr>
        <w:t>（</w:t>
      </w:r>
      <w:r>
        <w:rPr>
          <w:rFonts w:hint="eastAsia" w:ascii="宋体" w:hAnsi="宋体"/>
          <w:color w:val="auto"/>
          <w:szCs w:val="21"/>
          <w:highlight w:val="none"/>
          <w:lang w:val="zh-CN"/>
        </w:rPr>
        <w:t>以下简称：乙方</w:t>
      </w:r>
      <w:r>
        <w:rPr>
          <w:rFonts w:hint="eastAsia" w:ascii="宋体" w:hAnsi="宋体"/>
          <w:color w:val="auto"/>
          <w:szCs w:val="21"/>
          <w:highlight w:val="none"/>
        </w:rPr>
        <w:t>）为本项目中标人，现按照采购文件确定的事项签订本合同。</w:t>
      </w:r>
    </w:p>
    <w:p w14:paraId="25179812">
      <w:pPr>
        <w:spacing w:line="360" w:lineRule="auto"/>
        <w:ind w:firstLine="435"/>
        <w:rPr>
          <w:rFonts w:ascii="宋体" w:hAnsi="宋体"/>
          <w:color w:val="auto"/>
          <w:szCs w:val="21"/>
          <w:highlight w:val="none"/>
          <w:lang w:val="zh-CN"/>
        </w:rPr>
      </w:pPr>
      <w:r>
        <w:rPr>
          <w:rFonts w:hint="eastAsia" w:ascii="宋体" w:hAnsi="宋体"/>
          <w:color w:val="auto"/>
          <w:szCs w:val="21"/>
          <w:highlight w:val="none"/>
        </w:rPr>
        <w:t>根据《中华人民共和国民法典》、《中华人民共和国</w:t>
      </w:r>
      <w:r>
        <w:rPr>
          <w:rFonts w:hint="eastAsia" w:ascii="宋体" w:hAnsi="宋体"/>
          <w:color w:val="auto"/>
          <w:szCs w:val="21"/>
          <w:highlight w:val="none"/>
          <w:lang w:val="en-US" w:eastAsia="zh-CN"/>
        </w:rPr>
        <w:t>招标投标法</w:t>
      </w:r>
      <w:r>
        <w:rPr>
          <w:rFonts w:hint="eastAsia" w:ascii="宋体" w:hAnsi="宋体"/>
          <w:color w:val="auto"/>
          <w:szCs w:val="21"/>
          <w:highlight w:val="none"/>
        </w:rPr>
        <w:t>》等相关法律法规之规定，按照平等、自愿、公平和诚实信用的原则，经甲方和乙方协商一致，约定以下合同条款，以兹共同遵守、全面履行。</w:t>
      </w:r>
    </w:p>
    <w:p w14:paraId="5CA2F07B">
      <w:pPr>
        <w:spacing w:line="360" w:lineRule="auto"/>
        <w:ind w:firstLine="437"/>
        <w:outlineLvl w:val="3"/>
        <w:rPr>
          <w:rFonts w:ascii="宋体" w:hAnsi="宋体"/>
          <w:b/>
          <w:bCs/>
          <w:color w:val="auto"/>
          <w:szCs w:val="21"/>
          <w:highlight w:val="none"/>
          <w:lang w:val="zh-CN"/>
        </w:rPr>
      </w:pPr>
      <w:bookmarkStart w:id="110" w:name="_Toc3029"/>
      <w:bookmarkStart w:id="111" w:name="_Toc24059"/>
      <w:bookmarkStart w:id="112" w:name="_Toc2232"/>
      <w:r>
        <w:rPr>
          <w:rFonts w:hint="eastAsia" w:ascii="宋体" w:hAnsi="宋体"/>
          <w:b/>
          <w:bCs/>
          <w:color w:val="auto"/>
          <w:szCs w:val="21"/>
          <w:highlight w:val="none"/>
          <w:lang w:val="zh-CN"/>
        </w:rPr>
        <w:t>1.1</w:t>
      </w:r>
      <w:r>
        <w:rPr>
          <w:rFonts w:ascii="宋体" w:hAnsi="宋体"/>
          <w:b/>
          <w:bCs/>
          <w:color w:val="auto"/>
          <w:szCs w:val="21"/>
          <w:highlight w:val="none"/>
          <w:lang w:val="zh-CN"/>
        </w:rPr>
        <w:t xml:space="preserve"> </w:t>
      </w:r>
      <w:r>
        <w:rPr>
          <w:rFonts w:hint="eastAsia" w:ascii="宋体" w:hAnsi="宋体"/>
          <w:b/>
          <w:bCs/>
          <w:color w:val="auto"/>
          <w:szCs w:val="21"/>
          <w:highlight w:val="none"/>
          <w:lang w:val="zh-CN"/>
        </w:rPr>
        <w:t>合同组成部分</w:t>
      </w:r>
      <w:bookmarkEnd w:id="110"/>
      <w:bookmarkEnd w:id="111"/>
      <w:bookmarkEnd w:id="112"/>
    </w:p>
    <w:p w14:paraId="011F367F">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34C9AD97">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1.1.1本合同及其补充合同、变更协议；</w:t>
      </w:r>
    </w:p>
    <w:p w14:paraId="183A2025">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1.1.2中标通知书；</w:t>
      </w:r>
    </w:p>
    <w:p w14:paraId="631DAF26">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1.1.3投标文件（含澄清或者说明文件）；</w:t>
      </w:r>
    </w:p>
    <w:p w14:paraId="3C8CC507">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1.1.4招标文件（含澄清或者修改文件）；</w:t>
      </w:r>
    </w:p>
    <w:p w14:paraId="36435288">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1.1.5其他相关采购文件。</w:t>
      </w:r>
    </w:p>
    <w:p w14:paraId="6448D42B">
      <w:pPr>
        <w:spacing w:line="360" w:lineRule="auto"/>
        <w:ind w:firstLine="437"/>
        <w:outlineLvl w:val="3"/>
        <w:rPr>
          <w:rFonts w:ascii="宋体" w:hAnsi="宋体"/>
          <w:b/>
          <w:bCs/>
          <w:color w:val="auto"/>
          <w:szCs w:val="21"/>
          <w:highlight w:val="none"/>
          <w:lang w:val="zh-CN"/>
        </w:rPr>
      </w:pPr>
      <w:bookmarkStart w:id="113" w:name="_Toc2918"/>
      <w:bookmarkStart w:id="114" w:name="_Toc6773"/>
      <w:bookmarkStart w:id="115" w:name="_Toc18585"/>
      <w:bookmarkStart w:id="116" w:name="_Toc6311"/>
      <w:bookmarkStart w:id="117" w:name="_Toc22185"/>
      <w:r>
        <w:rPr>
          <w:rFonts w:hint="eastAsia" w:ascii="宋体" w:hAnsi="宋体"/>
          <w:b/>
          <w:bCs/>
          <w:color w:val="auto"/>
          <w:szCs w:val="21"/>
          <w:highlight w:val="none"/>
          <w:lang w:val="zh-CN"/>
        </w:rPr>
        <w:t xml:space="preserve">1.2 </w:t>
      </w:r>
      <w:bookmarkEnd w:id="113"/>
      <w:bookmarkEnd w:id="114"/>
      <w:bookmarkEnd w:id="115"/>
      <w:bookmarkEnd w:id="116"/>
      <w:bookmarkEnd w:id="117"/>
      <w:r>
        <w:rPr>
          <w:rFonts w:hint="eastAsia" w:ascii="宋体" w:hAnsi="宋体"/>
          <w:b/>
          <w:bCs/>
          <w:color w:val="auto"/>
          <w:szCs w:val="21"/>
          <w:highlight w:val="none"/>
          <w:lang w:val="zh-CN"/>
        </w:rPr>
        <w:t>服务</w:t>
      </w:r>
    </w:p>
    <w:p w14:paraId="6C70AAAB">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1.2.1服务</w:t>
      </w:r>
      <w:r>
        <w:rPr>
          <w:rFonts w:ascii="宋体" w:hAnsi="宋体"/>
          <w:color w:val="auto"/>
          <w:szCs w:val="21"/>
          <w:highlight w:val="none"/>
        </w:rPr>
        <w:t>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360DF72E">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1.2.2服务内容</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454CC9FC">
      <w:pPr>
        <w:spacing w:line="360" w:lineRule="auto"/>
        <w:ind w:firstLine="435"/>
        <w:rPr>
          <w:rFonts w:ascii="宋体" w:hAnsi="宋体"/>
          <w:color w:val="auto"/>
          <w:szCs w:val="21"/>
          <w:highlight w:val="none"/>
        </w:rPr>
      </w:pPr>
      <w:r>
        <w:rPr>
          <w:rFonts w:hint="eastAsia" w:ascii="宋体" w:hAnsi="宋体"/>
          <w:color w:val="auto"/>
          <w:szCs w:val="21"/>
          <w:highlight w:val="none"/>
        </w:rPr>
        <w:t>1.2.3服务质量：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02748BB2">
      <w:pPr>
        <w:spacing w:line="360" w:lineRule="auto"/>
        <w:ind w:firstLine="437"/>
        <w:outlineLvl w:val="3"/>
        <w:rPr>
          <w:rFonts w:ascii="宋体" w:hAnsi="宋体"/>
          <w:b/>
          <w:bCs/>
          <w:color w:val="auto"/>
          <w:szCs w:val="21"/>
          <w:highlight w:val="none"/>
          <w:lang w:val="zh-CN"/>
        </w:rPr>
      </w:pPr>
      <w:bookmarkStart w:id="118" w:name="_Toc23292"/>
      <w:bookmarkStart w:id="119" w:name="_Toc21631"/>
      <w:bookmarkStart w:id="120" w:name="_Toc21551"/>
      <w:r>
        <w:rPr>
          <w:rFonts w:hint="eastAsia" w:ascii="宋体" w:hAnsi="宋体"/>
          <w:b/>
          <w:bCs/>
          <w:color w:val="auto"/>
          <w:szCs w:val="21"/>
          <w:highlight w:val="none"/>
          <w:lang w:val="zh-CN"/>
        </w:rPr>
        <w:t>1.</w:t>
      </w:r>
      <w:r>
        <w:rPr>
          <w:rFonts w:ascii="宋体" w:hAnsi="宋体"/>
          <w:b/>
          <w:bCs/>
          <w:color w:val="auto"/>
          <w:szCs w:val="21"/>
          <w:highlight w:val="none"/>
          <w:lang w:val="zh-CN"/>
        </w:rPr>
        <w:t xml:space="preserve">3 </w:t>
      </w:r>
      <w:r>
        <w:rPr>
          <w:rFonts w:hint="eastAsia" w:ascii="宋体" w:hAnsi="宋体"/>
          <w:b/>
          <w:bCs/>
          <w:color w:val="auto"/>
          <w:szCs w:val="21"/>
          <w:highlight w:val="none"/>
          <w:lang w:val="zh-CN"/>
        </w:rPr>
        <w:t>价款</w:t>
      </w:r>
      <w:bookmarkEnd w:id="118"/>
      <w:bookmarkEnd w:id="119"/>
      <w:bookmarkEnd w:id="120"/>
    </w:p>
    <w:p w14:paraId="09CDC4BE">
      <w:pPr>
        <w:spacing w:line="360" w:lineRule="auto"/>
        <w:ind w:firstLine="435"/>
        <w:rPr>
          <w:rFonts w:ascii="宋体" w:hAnsi="宋体"/>
          <w:color w:val="auto"/>
          <w:szCs w:val="21"/>
          <w:highlight w:val="none"/>
        </w:rPr>
      </w:pPr>
      <w:r>
        <w:rPr>
          <w:rFonts w:ascii="宋体" w:hAnsi="宋体"/>
          <w:color w:val="auto"/>
          <w:szCs w:val="21"/>
          <w:highlight w:val="none"/>
        </w:rPr>
        <w:t>本合同总价为</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ascii="宋体" w:hAnsi="宋体"/>
          <w:color w:val="auto"/>
          <w:szCs w:val="21"/>
          <w:highlight w:val="none"/>
        </w:rPr>
        <w:t>元</w:t>
      </w:r>
      <w:r>
        <w:rPr>
          <w:rFonts w:hint="eastAsia" w:ascii="宋体" w:hAnsi="宋体"/>
          <w:color w:val="auto"/>
          <w:szCs w:val="21"/>
          <w:highlight w:val="none"/>
        </w:rPr>
        <w:t>（大写：人民币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w:t>
      </w:r>
      <w:r>
        <w:rPr>
          <w:rFonts w:ascii="宋体" w:hAnsi="宋体"/>
          <w:color w:val="auto"/>
          <w:szCs w:val="21"/>
          <w:highlight w:val="none"/>
        </w:rPr>
        <w:t>。</w:t>
      </w:r>
    </w:p>
    <w:p w14:paraId="73C5C477">
      <w:pPr>
        <w:spacing w:line="360" w:lineRule="auto"/>
        <w:ind w:firstLine="437"/>
        <w:outlineLvl w:val="3"/>
        <w:rPr>
          <w:rFonts w:ascii="宋体" w:hAnsi="宋体"/>
          <w:b/>
          <w:bCs/>
          <w:color w:val="auto"/>
          <w:szCs w:val="21"/>
          <w:highlight w:val="none"/>
          <w:lang w:val="zh-CN"/>
        </w:rPr>
      </w:pPr>
      <w:bookmarkStart w:id="121" w:name="_Toc10340"/>
      <w:bookmarkStart w:id="122" w:name="_Toc22618"/>
      <w:bookmarkStart w:id="123" w:name="_Toc1814"/>
      <w:r>
        <w:rPr>
          <w:rFonts w:hint="eastAsia" w:ascii="宋体" w:hAnsi="宋体"/>
          <w:b/>
          <w:bCs/>
          <w:color w:val="auto"/>
          <w:szCs w:val="21"/>
          <w:highlight w:val="none"/>
          <w:lang w:val="zh-CN"/>
        </w:rPr>
        <w:t>1.</w:t>
      </w:r>
      <w:r>
        <w:rPr>
          <w:rFonts w:ascii="宋体" w:hAnsi="宋体"/>
          <w:b/>
          <w:bCs/>
          <w:color w:val="auto"/>
          <w:szCs w:val="21"/>
          <w:highlight w:val="none"/>
          <w:lang w:val="zh-CN"/>
        </w:rPr>
        <w:t>4 付款方式和发票开具方式</w:t>
      </w:r>
      <w:bookmarkEnd w:id="121"/>
      <w:bookmarkEnd w:id="122"/>
      <w:bookmarkEnd w:id="123"/>
    </w:p>
    <w:p w14:paraId="1DBC37F1">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cs="Times New Roman"/>
          <w:color w:val="auto"/>
          <w:sz w:val="21"/>
          <w:szCs w:val="21"/>
          <w:highlight w:val="none"/>
          <w:u w:val="single"/>
        </w:rPr>
      </w:pPr>
      <w:r>
        <w:rPr>
          <w:rFonts w:hint="eastAsia" w:cs="Times New Roman"/>
          <w:color w:val="auto"/>
          <w:sz w:val="21"/>
          <w:szCs w:val="21"/>
          <w:highlight w:val="none"/>
        </w:rPr>
        <w:t>1.4.1</w:t>
      </w:r>
      <w:r>
        <w:rPr>
          <w:rFonts w:cs="Times New Roman"/>
          <w:color w:val="auto"/>
          <w:sz w:val="21"/>
          <w:szCs w:val="21"/>
          <w:highlight w:val="none"/>
        </w:rPr>
        <w:t>付款方式：</w:t>
      </w:r>
      <w:r>
        <w:rPr>
          <w:rFonts w:hint="eastAsia" w:cs="Times New Roman"/>
          <w:b/>
          <w:bCs/>
          <w:color w:val="auto"/>
          <w:sz w:val="21"/>
          <w:szCs w:val="21"/>
          <w:highlight w:val="none"/>
          <w:u w:val="single"/>
          <w:lang w:val="en-US" w:eastAsia="zh-CN"/>
        </w:rPr>
        <w:t>根据考核结果按月支付服务费用，服务费用为年中标总价/12-考核扣款金额。</w:t>
      </w:r>
    </w:p>
    <w:p w14:paraId="79AD3B69">
      <w:pPr>
        <w:spacing w:line="360" w:lineRule="auto"/>
        <w:ind w:firstLine="435"/>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1.4.2发票开具方式：</w:t>
      </w:r>
      <w:r>
        <w:rPr>
          <w:rFonts w:hint="eastAsia" w:ascii="宋体" w:hAnsi="宋体" w:eastAsia="宋体" w:cs="Times New Roman"/>
          <w:color w:val="auto"/>
          <w:szCs w:val="21"/>
          <w:highlight w:val="none"/>
          <w:u w:val="single"/>
          <w:lang w:eastAsia="zh-CN"/>
        </w:rPr>
        <w:t>次月由乙方</w:t>
      </w:r>
      <w:r>
        <w:rPr>
          <w:rFonts w:hint="eastAsia" w:ascii="宋体" w:hAnsi="宋体" w:eastAsia="宋体" w:cs="Times New Roman"/>
          <w:color w:val="auto"/>
          <w:szCs w:val="21"/>
          <w:highlight w:val="none"/>
          <w:u w:val="single"/>
        </w:rPr>
        <w:t>开具</w:t>
      </w:r>
      <w:r>
        <w:rPr>
          <w:rFonts w:hint="eastAsia" w:ascii="宋体" w:hAnsi="宋体" w:eastAsia="宋体" w:cs="Times New Roman"/>
          <w:color w:val="auto"/>
          <w:szCs w:val="21"/>
          <w:highlight w:val="none"/>
          <w:u w:val="single"/>
          <w:lang w:eastAsia="zh-CN"/>
        </w:rPr>
        <w:t>增值税</w:t>
      </w:r>
      <w:r>
        <w:rPr>
          <w:rFonts w:hint="eastAsia" w:ascii="宋体" w:hAnsi="宋体" w:eastAsia="宋体" w:cs="Times New Roman"/>
          <w:color w:val="auto"/>
          <w:szCs w:val="21"/>
          <w:highlight w:val="none"/>
          <w:u w:val="single"/>
        </w:rPr>
        <w:t>（</w:t>
      </w:r>
      <w:r>
        <w:rPr>
          <w:rFonts w:hint="eastAsia" w:ascii="宋体" w:hAnsi="宋体" w:cs="Times New Roman"/>
          <w:color w:val="auto"/>
          <w:szCs w:val="21"/>
          <w:highlight w:val="none"/>
          <w:u w:val="single"/>
          <w:lang w:eastAsia="zh-CN"/>
        </w:rPr>
        <w:t>□</w:t>
      </w:r>
      <w:r>
        <w:rPr>
          <w:rFonts w:hint="eastAsia" w:ascii="宋体" w:hAnsi="宋体" w:eastAsia="宋体" w:cs="Times New Roman"/>
          <w:color w:val="auto"/>
          <w:szCs w:val="21"/>
          <w:highlight w:val="none"/>
          <w:u w:val="single"/>
        </w:rPr>
        <w:t>普通、</w:t>
      </w:r>
      <w:r>
        <w:rPr>
          <w:rFonts w:hint="eastAsia" w:ascii="宋体" w:hAnsi="宋体" w:eastAsia="宋体" w:cs="Times New Roman"/>
          <w:color w:val="auto"/>
          <w:szCs w:val="21"/>
          <w:highlight w:val="none"/>
          <w:u w:val="single"/>
          <w:lang w:eastAsia="zh-CN"/>
        </w:rPr>
        <w:sym w:font="Wingdings 2" w:char="0052"/>
      </w:r>
      <w:r>
        <w:rPr>
          <w:rFonts w:hint="eastAsia" w:ascii="宋体" w:hAnsi="宋体" w:eastAsia="宋体" w:cs="Times New Roman"/>
          <w:color w:val="auto"/>
          <w:szCs w:val="21"/>
          <w:highlight w:val="none"/>
          <w:u w:val="single"/>
        </w:rPr>
        <w:t>专用）发票</w:t>
      </w:r>
      <w:r>
        <w:rPr>
          <w:rFonts w:hint="eastAsia" w:ascii="宋体" w:hAnsi="宋体" w:eastAsia="宋体" w:cs="Times New Roman"/>
          <w:color w:val="auto"/>
          <w:szCs w:val="21"/>
          <w:highlight w:val="none"/>
          <w:u w:val="single"/>
          <w:lang w:eastAsia="zh-CN"/>
        </w:rPr>
        <w:t>。</w:t>
      </w:r>
      <w:r>
        <w:rPr>
          <w:rFonts w:hint="eastAsia" w:ascii="宋体" w:hAnsi="宋体" w:eastAsia="宋体" w:cs="Times New Roman"/>
          <w:color w:val="auto"/>
          <w:szCs w:val="21"/>
          <w:highlight w:val="none"/>
          <w:u w:val="single"/>
          <w:lang w:val="en-US" w:eastAsia="zh-CN"/>
        </w:rPr>
        <w:t>待甲</w:t>
      </w:r>
      <w:r>
        <w:rPr>
          <w:rFonts w:hint="eastAsia" w:ascii="宋体" w:hAnsi="宋体" w:eastAsia="宋体" w:cs="Times New Roman"/>
          <w:color w:val="auto"/>
          <w:szCs w:val="21"/>
          <w:highlight w:val="none"/>
          <w:u w:val="single"/>
        </w:rPr>
        <w:t>方收到发票后</w:t>
      </w:r>
      <w:r>
        <w:rPr>
          <w:rFonts w:hint="eastAsia" w:ascii="宋体" w:hAnsi="宋体" w:eastAsia="宋体" w:cs="Times New Roman"/>
          <w:color w:val="auto"/>
          <w:szCs w:val="21"/>
          <w:highlight w:val="none"/>
          <w:u w:val="single"/>
          <w:lang w:eastAsia="zh-CN"/>
        </w:rPr>
        <w:t>【</w:t>
      </w:r>
      <w:r>
        <w:rPr>
          <w:rFonts w:hint="eastAsia" w:ascii="宋体" w:hAnsi="宋体" w:eastAsia="宋体" w:cs="Times New Roman"/>
          <w:color w:val="auto"/>
          <w:szCs w:val="21"/>
          <w:highlight w:val="none"/>
          <w:u w:val="single"/>
          <w:lang w:val="en-US" w:eastAsia="zh-CN"/>
        </w:rPr>
        <w:t>15】</w:t>
      </w:r>
      <w:r>
        <w:rPr>
          <w:rFonts w:hint="eastAsia" w:ascii="宋体" w:hAnsi="宋体" w:eastAsia="宋体" w:cs="Times New Roman"/>
          <w:color w:val="auto"/>
          <w:szCs w:val="21"/>
          <w:highlight w:val="none"/>
          <w:u w:val="single"/>
        </w:rPr>
        <w:t>日内将相应款项按相应要求支付给乙方。</w:t>
      </w:r>
    </w:p>
    <w:p w14:paraId="367A2032">
      <w:pPr>
        <w:spacing w:line="360" w:lineRule="auto"/>
        <w:ind w:firstLine="437"/>
        <w:outlineLvl w:val="3"/>
        <w:rPr>
          <w:rFonts w:ascii="宋体" w:hAnsi="宋体"/>
          <w:b/>
          <w:bCs/>
          <w:color w:val="auto"/>
          <w:szCs w:val="21"/>
          <w:highlight w:val="none"/>
          <w:lang w:val="zh-CN"/>
        </w:rPr>
      </w:pPr>
      <w:bookmarkStart w:id="124" w:name="_Toc19304"/>
      <w:bookmarkStart w:id="125" w:name="_Toc2846"/>
      <w:bookmarkStart w:id="126" w:name="_Toc32071"/>
      <w:r>
        <w:rPr>
          <w:rFonts w:hint="eastAsia" w:ascii="宋体" w:hAnsi="宋体"/>
          <w:b/>
          <w:bCs/>
          <w:color w:val="auto"/>
          <w:szCs w:val="21"/>
          <w:highlight w:val="none"/>
          <w:lang w:val="zh-CN"/>
        </w:rPr>
        <w:t>1.</w:t>
      </w:r>
      <w:r>
        <w:rPr>
          <w:rFonts w:ascii="宋体" w:hAnsi="宋体"/>
          <w:b/>
          <w:bCs/>
          <w:color w:val="auto"/>
          <w:szCs w:val="21"/>
          <w:highlight w:val="none"/>
          <w:lang w:val="zh-CN"/>
        </w:rPr>
        <w:t xml:space="preserve">5 </w:t>
      </w:r>
      <w:r>
        <w:rPr>
          <w:rFonts w:hint="eastAsia" w:ascii="宋体" w:hAnsi="宋体"/>
          <w:b/>
          <w:bCs/>
          <w:color w:val="auto"/>
          <w:szCs w:val="21"/>
          <w:highlight w:val="none"/>
          <w:lang w:val="zh-CN"/>
        </w:rPr>
        <w:t>服务</w:t>
      </w:r>
      <w:r>
        <w:rPr>
          <w:rFonts w:ascii="宋体" w:hAnsi="宋体"/>
          <w:b/>
          <w:bCs/>
          <w:color w:val="auto"/>
          <w:szCs w:val="21"/>
          <w:highlight w:val="none"/>
          <w:lang w:val="zh-CN"/>
        </w:rPr>
        <w:t>期限</w:t>
      </w:r>
      <w:r>
        <w:rPr>
          <w:rFonts w:hint="eastAsia" w:ascii="宋体" w:hAnsi="宋体"/>
          <w:b/>
          <w:bCs/>
          <w:color w:val="auto"/>
          <w:szCs w:val="21"/>
          <w:highlight w:val="none"/>
          <w:lang w:val="zh-CN"/>
        </w:rPr>
        <w:t>、地点和方式</w:t>
      </w:r>
      <w:bookmarkEnd w:id="124"/>
      <w:bookmarkEnd w:id="125"/>
      <w:bookmarkEnd w:id="126"/>
    </w:p>
    <w:p w14:paraId="14E3C7AD">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1.5.1服务</w:t>
      </w:r>
      <w:r>
        <w:rPr>
          <w:rFonts w:hint="eastAsia" w:ascii="宋体" w:hAnsi="宋体" w:eastAsia="宋体" w:cs="Times New Roman"/>
          <w:color w:val="auto"/>
          <w:szCs w:val="21"/>
          <w:highlight w:val="none"/>
        </w:rPr>
        <w:t xml:space="preserve">期限： </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5A90113D">
      <w:pPr>
        <w:spacing w:line="360" w:lineRule="auto"/>
        <w:ind w:firstLine="435"/>
        <w:rPr>
          <w:rFonts w:ascii="宋体" w:hAnsi="宋体"/>
          <w:color w:val="auto"/>
          <w:szCs w:val="21"/>
          <w:highlight w:val="none"/>
        </w:rPr>
      </w:pPr>
      <w:r>
        <w:rPr>
          <w:rFonts w:hint="eastAsia" w:ascii="宋体" w:hAnsi="宋体"/>
          <w:color w:val="auto"/>
          <w:szCs w:val="21"/>
          <w:highlight w:val="none"/>
        </w:rPr>
        <w:t>1.5.2服务地点</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1EA0EAC6">
      <w:pPr>
        <w:spacing w:line="360" w:lineRule="auto"/>
        <w:ind w:firstLine="435"/>
        <w:rPr>
          <w:rFonts w:ascii="宋体" w:hAnsi="宋体"/>
          <w:color w:val="auto"/>
          <w:szCs w:val="21"/>
          <w:highlight w:val="none"/>
        </w:rPr>
      </w:pPr>
      <w:r>
        <w:rPr>
          <w:rFonts w:hint="eastAsia" w:ascii="宋体" w:hAnsi="宋体"/>
          <w:color w:val="auto"/>
          <w:szCs w:val="21"/>
          <w:highlight w:val="none"/>
        </w:rPr>
        <w:t>1.5.3服务方式：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4A4006A2">
      <w:pPr>
        <w:spacing w:line="360" w:lineRule="auto"/>
        <w:ind w:firstLine="437"/>
        <w:outlineLvl w:val="3"/>
        <w:rPr>
          <w:rFonts w:ascii="宋体" w:hAnsi="宋体"/>
          <w:b/>
          <w:bCs/>
          <w:color w:val="auto"/>
          <w:szCs w:val="21"/>
          <w:highlight w:val="none"/>
          <w:lang w:val="zh-CN"/>
        </w:rPr>
      </w:pPr>
      <w:bookmarkStart w:id="127" w:name="_Toc19554"/>
      <w:bookmarkStart w:id="128" w:name="_Toc21423"/>
      <w:bookmarkStart w:id="129" w:name="_Toc27250"/>
      <w:r>
        <w:rPr>
          <w:rFonts w:hint="eastAsia" w:ascii="宋体" w:hAnsi="宋体"/>
          <w:b/>
          <w:bCs/>
          <w:color w:val="auto"/>
          <w:szCs w:val="21"/>
          <w:highlight w:val="none"/>
          <w:lang w:val="zh-CN"/>
        </w:rPr>
        <w:t>1.6 违约责任</w:t>
      </w:r>
      <w:bookmarkEnd w:id="127"/>
      <w:bookmarkEnd w:id="128"/>
      <w:bookmarkEnd w:id="129"/>
    </w:p>
    <w:p w14:paraId="62E04EC8">
      <w:pPr>
        <w:spacing w:line="360" w:lineRule="auto"/>
        <w:ind w:firstLine="435"/>
        <w:rPr>
          <w:rFonts w:ascii="宋体" w:hAnsi="宋体"/>
          <w:color w:val="auto"/>
          <w:szCs w:val="21"/>
          <w:highlight w:val="none"/>
        </w:rPr>
      </w:pPr>
      <w:r>
        <w:rPr>
          <w:rFonts w:hint="eastAsia" w:ascii="宋体" w:hAnsi="宋体"/>
          <w:color w:val="auto"/>
          <w:szCs w:val="21"/>
          <w:highlight w:val="none"/>
        </w:rPr>
        <w:t>1.6.1</w:t>
      </w:r>
      <w:r>
        <w:rPr>
          <w:rFonts w:ascii="宋体" w:hAnsi="宋体"/>
          <w:color w:val="auto"/>
          <w:szCs w:val="21"/>
          <w:highlight w:val="none"/>
        </w:rPr>
        <w:t>除不可抗力外，如果乙方没有按照本合同约定的期限</w:t>
      </w:r>
      <w:r>
        <w:rPr>
          <w:rFonts w:hint="eastAsia" w:ascii="宋体" w:hAnsi="宋体"/>
          <w:color w:val="auto"/>
          <w:szCs w:val="21"/>
          <w:highlight w:val="none"/>
        </w:rPr>
        <w:t>、</w:t>
      </w:r>
      <w:r>
        <w:rPr>
          <w:rFonts w:ascii="宋体" w:hAnsi="宋体"/>
          <w:color w:val="auto"/>
          <w:szCs w:val="21"/>
          <w:highlight w:val="none"/>
        </w:rPr>
        <w:t>地点和方式</w:t>
      </w:r>
      <w:r>
        <w:rPr>
          <w:rFonts w:hint="eastAsia" w:ascii="宋体" w:hAnsi="宋体"/>
          <w:color w:val="auto"/>
          <w:szCs w:val="21"/>
          <w:highlight w:val="none"/>
        </w:rPr>
        <w:t>履行</w:t>
      </w:r>
      <w:r>
        <w:rPr>
          <w:rFonts w:ascii="宋体" w:hAnsi="宋体"/>
          <w:color w:val="auto"/>
          <w:szCs w:val="21"/>
          <w:highlight w:val="none"/>
        </w:rPr>
        <w:t>，那么甲方可要求乙方支付违约金</w:t>
      </w:r>
      <w:r>
        <w:rPr>
          <w:rFonts w:hint="eastAsia" w:ascii="宋体" w:hAnsi="宋体"/>
          <w:color w:val="auto"/>
          <w:szCs w:val="21"/>
          <w:highlight w:val="none"/>
        </w:rPr>
        <w:t>，</w:t>
      </w:r>
      <w:r>
        <w:rPr>
          <w:rFonts w:ascii="宋体" w:hAnsi="宋体"/>
          <w:color w:val="auto"/>
          <w:szCs w:val="21"/>
          <w:highlight w:val="none"/>
        </w:rPr>
        <w:t>违约金按每迟延</w:t>
      </w:r>
      <w:r>
        <w:rPr>
          <w:rFonts w:hint="eastAsia" w:ascii="宋体" w:hAnsi="宋体"/>
          <w:color w:val="auto"/>
          <w:szCs w:val="21"/>
          <w:highlight w:val="none"/>
        </w:rPr>
        <w:t>履行</w:t>
      </w:r>
      <w:r>
        <w:rPr>
          <w:rFonts w:ascii="宋体" w:hAnsi="宋体"/>
          <w:color w:val="auto"/>
          <w:szCs w:val="21"/>
          <w:highlight w:val="none"/>
        </w:rPr>
        <w:t>一日的应提供而未</w:t>
      </w:r>
      <w:r>
        <w:rPr>
          <w:rFonts w:hint="eastAsia" w:ascii="宋体" w:hAnsi="宋体"/>
          <w:color w:val="auto"/>
          <w:szCs w:val="21"/>
          <w:highlight w:val="none"/>
        </w:rPr>
        <w:t>提供</w:t>
      </w:r>
      <w:r>
        <w:rPr>
          <w:rFonts w:ascii="宋体" w:hAnsi="宋体"/>
          <w:color w:val="auto"/>
          <w:szCs w:val="21"/>
          <w:highlight w:val="none"/>
        </w:rPr>
        <w:t>服务价格的</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%计算</w:t>
      </w:r>
      <w:r>
        <w:rPr>
          <w:rFonts w:hint="eastAsia" w:ascii="宋体" w:hAnsi="宋体"/>
          <w:color w:val="auto"/>
          <w:szCs w:val="21"/>
          <w:highlight w:val="none"/>
        </w:rPr>
        <w:t>，</w:t>
      </w:r>
      <w:r>
        <w:rPr>
          <w:rFonts w:ascii="宋体" w:hAnsi="宋体"/>
          <w:color w:val="auto"/>
          <w:szCs w:val="21"/>
          <w:highlight w:val="none"/>
        </w:rPr>
        <w:t>最高限额为</w:t>
      </w:r>
      <w:r>
        <w:rPr>
          <w:rFonts w:hint="eastAsia" w:ascii="宋体" w:hAnsi="宋体"/>
          <w:color w:val="auto"/>
          <w:szCs w:val="21"/>
          <w:highlight w:val="none"/>
        </w:rPr>
        <w:t>本</w:t>
      </w:r>
      <w:r>
        <w:rPr>
          <w:rFonts w:ascii="宋体" w:hAnsi="宋体"/>
          <w:color w:val="auto"/>
          <w:szCs w:val="21"/>
          <w:highlight w:val="none"/>
        </w:rPr>
        <w:t>合同总价的</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迟延</w:t>
      </w:r>
      <w:r>
        <w:rPr>
          <w:rFonts w:hint="eastAsia" w:ascii="宋体" w:hAnsi="宋体"/>
          <w:color w:val="auto"/>
          <w:szCs w:val="21"/>
          <w:highlight w:val="none"/>
        </w:rPr>
        <w:t>履行</w:t>
      </w:r>
      <w:r>
        <w:rPr>
          <w:rFonts w:ascii="宋体" w:hAnsi="宋体"/>
          <w:color w:val="auto"/>
          <w:szCs w:val="21"/>
          <w:highlight w:val="none"/>
        </w:rPr>
        <w:t>的违约金计算数额达到前述最高限额之日起</w:t>
      </w:r>
      <w:r>
        <w:rPr>
          <w:rFonts w:hint="eastAsia" w:ascii="宋体" w:hAnsi="宋体"/>
          <w:color w:val="auto"/>
          <w:szCs w:val="21"/>
          <w:highlight w:val="none"/>
        </w:rPr>
        <w:t>，</w:t>
      </w:r>
      <w:r>
        <w:rPr>
          <w:rFonts w:ascii="宋体" w:hAnsi="宋体"/>
          <w:color w:val="auto"/>
          <w:szCs w:val="21"/>
          <w:highlight w:val="none"/>
        </w:rPr>
        <w:t>甲方有权在要求乙方支付违约金的同时</w:t>
      </w:r>
      <w:r>
        <w:rPr>
          <w:rFonts w:hint="eastAsia" w:ascii="宋体" w:hAnsi="宋体"/>
          <w:color w:val="auto"/>
          <w:szCs w:val="21"/>
          <w:highlight w:val="none"/>
        </w:rPr>
        <w:t>，书面通知乙方</w:t>
      </w:r>
      <w:r>
        <w:rPr>
          <w:rFonts w:ascii="宋体" w:hAnsi="宋体"/>
          <w:color w:val="auto"/>
          <w:szCs w:val="21"/>
          <w:highlight w:val="none"/>
        </w:rPr>
        <w:t>解除本合同</w:t>
      </w:r>
      <w:r>
        <w:rPr>
          <w:rFonts w:hint="eastAsia" w:ascii="宋体" w:hAnsi="宋体"/>
          <w:color w:val="auto"/>
          <w:szCs w:val="21"/>
          <w:highlight w:val="none"/>
        </w:rPr>
        <w:t>；</w:t>
      </w:r>
    </w:p>
    <w:p w14:paraId="32006E1F">
      <w:pPr>
        <w:spacing w:line="360" w:lineRule="auto"/>
        <w:ind w:firstLine="435"/>
        <w:rPr>
          <w:rFonts w:ascii="宋体" w:hAnsi="宋体"/>
          <w:color w:val="auto"/>
          <w:szCs w:val="21"/>
          <w:highlight w:val="none"/>
        </w:rPr>
      </w:pPr>
      <w:r>
        <w:rPr>
          <w:rFonts w:hint="eastAsia" w:ascii="宋体" w:hAnsi="宋体"/>
          <w:color w:val="auto"/>
          <w:szCs w:val="21"/>
          <w:highlight w:val="none"/>
        </w:rPr>
        <w:t>1.6.2</w:t>
      </w:r>
      <w:r>
        <w:rPr>
          <w:rFonts w:ascii="宋体" w:hAnsi="宋体"/>
          <w:color w:val="auto"/>
          <w:szCs w:val="21"/>
          <w:highlight w:val="none"/>
        </w:rPr>
        <w:t>除不可抗力外，如果甲方没有按照本合同约定的付款方式付款，那么乙方可要求甲方支付违约金</w:t>
      </w:r>
      <w:r>
        <w:rPr>
          <w:rFonts w:hint="eastAsia" w:ascii="宋体" w:hAnsi="宋体"/>
          <w:color w:val="auto"/>
          <w:szCs w:val="21"/>
          <w:highlight w:val="none"/>
        </w:rPr>
        <w:t>，</w:t>
      </w:r>
      <w:r>
        <w:rPr>
          <w:rFonts w:ascii="宋体" w:hAnsi="宋体"/>
          <w:color w:val="auto"/>
          <w:szCs w:val="21"/>
          <w:highlight w:val="none"/>
        </w:rPr>
        <w:t>违约金按每迟延</w:t>
      </w:r>
      <w:r>
        <w:rPr>
          <w:rFonts w:hint="eastAsia" w:ascii="宋体" w:hAnsi="宋体"/>
          <w:color w:val="auto"/>
          <w:szCs w:val="21"/>
          <w:highlight w:val="none"/>
        </w:rPr>
        <w:t>付款</w:t>
      </w:r>
      <w:r>
        <w:rPr>
          <w:rFonts w:ascii="宋体" w:hAnsi="宋体"/>
          <w:color w:val="auto"/>
          <w:szCs w:val="21"/>
          <w:highlight w:val="none"/>
        </w:rPr>
        <w:t>一日的应付而未付款的</w:t>
      </w:r>
      <w:r>
        <w:rPr>
          <w:rFonts w:hint="eastAsia" w:ascii="宋体" w:hAnsi="宋体"/>
          <w:color w:val="auto"/>
          <w:szCs w:val="21"/>
          <w:highlight w:val="none"/>
          <w:u w:val="single"/>
        </w:rPr>
        <w:t xml:space="preserve">  /  </w:t>
      </w:r>
      <w:r>
        <w:rPr>
          <w:rFonts w:ascii="宋体" w:hAnsi="宋体"/>
          <w:color w:val="auto"/>
          <w:szCs w:val="21"/>
          <w:highlight w:val="none"/>
        </w:rPr>
        <w:t>%计算</w:t>
      </w:r>
      <w:r>
        <w:rPr>
          <w:rFonts w:hint="eastAsia" w:ascii="宋体" w:hAnsi="宋体"/>
          <w:color w:val="auto"/>
          <w:szCs w:val="21"/>
          <w:highlight w:val="none"/>
        </w:rPr>
        <w:t>，</w:t>
      </w:r>
      <w:r>
        <w:rPr>
          <w:rFonts w:ascii="宋体" w:hAnsi="宋体"/>
          <w:color w:val="auto"/>
          <w:szCs w:val="21"/>
          <w:highlight w:val="none"/>
        </w:rPr>
        <w:t>最高限额为</w:t>
      </w:r>
      <w:r>
        <w:rPr>
          <w:rFonts w:hint="eastAsia" w:ascii="宋体" w:hAnsi="宋体"/>
          <w:color w:val="auto"/>
          <w:szCs w:val="21"/>
          <w:highlight w:val="none"/>
        </w:rPr>
        <w:t>本</w:t>
      </w:r>
      <w:r>
        <w:rPr>
          <w:rFonts w:ascii="宋体" w:hAnsi="宋体"/>
          <w:color w:val="auto"/>
          <w:szCs w:val="21"/>
          <w:highlight w:val="none"/>
        </w:rPr>
        <w:t>合同总价的</w:t>
      </w:r>
      <w:r>
        <w:rPr>
          <w:rFonts w:hint="eastAsia" w:ascii="宋体" w:hAnsi="宋体"/>
          <w:color w:val="auto"/>
          <w:szCs w:val="21"/>
          <w:highlight w:val="none"/>
          <w:u w:val="single"/>
        </w:rPr>
        <w:t xml:space="preserve"> / </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迟延</w:t>
      </w:r>
      <w:r>
        <w:rPr>
          <w:rFonts w:hint="eastAsia" w:ascii="宋体" w:hAnsi="宋体"/>
          <w:color w:val="auto"/>
          <w:szCs w:val="21"/>
          <w:highlight w:val="none"/>
        </w:rPr>
        <w:t>付款</w:t>
      </w:r>
      <w:r>
        <w:rPr>
          <w:rFonts w:ascii="宋体" w:hAnsi="宋体"/>
          <w:color w:val="auto"/>
          <w:szCs w:val="21"/>
          <w:highlight w:val="none"/>
        </w:rPr>
        <w:t>的违约金计算数额达到前述最高限额之日起</w:t>
      </w:r>
      <w:r>
        <w:rPr>
          <w:rFonts w:hint="eastAsia" w:ascii="宋体" w:hAnsi="宋体"/>
          <w:color w:val="auto"/>
          <w:szCs w:val="21"/>
          <w:highlight w:val="none"/>
        </w:rPr>
        <w:t>，乙</w:t>
      </w:r>
      <w:r>
        <w:rPr>
          <w:rFonts w:ascii="宋体" w:hAnsi="宋体"/>
          <w:color w:val="auto"/>
          <w:szCs w:val="21"/>
          <w:highlight w:val="none"/>
        </w:rPr>
        <w:t>方有权在要求甲方支付违约金的同时</w:t>
      </w:r>
      <w:r>
        <w:rPr>
          <w:rFonts w:hint="eastAsia" w:ascii="宋体" w:hAnsi="宋体"/>
          <w:color w:val="auto"/>
          <w:szCs w:val="21"/>
          <w:highlight w:val="none"/>
        </w:rPr>
        <w:t>，书面通知甲方</w:t>
      </w:r>
      <w:r>
        <w:rPr>
          <w:rFonts w:ascii="宋体" w:hAnsi="宋体"/>
          <w:color w:val="auto"/>
          <w:szCs w:val="21"/>
          <w:highlight w:val="none"/>
        </w:rPr>
        <w:t>解除本合同</w:t>
      </w:r>
      <w:r>
        <w:rPr>
          <w:rFonts w:hint="eastAsia" w:ascii="宋体" w:hAnsi="宋体"/>
          <w:color w:val="auto"/>
          <w:szCs w:val="21"/>
          <w:highlight w:val="none"/>
        </w:rPr>
        <w:t>；</w:t>
      </w:r>
    </w:p>
    <w:p w14:paraId="5436F305">
      <w:pPr>
        <w:spacing w:line="360" w:lineRule="auto"/>
        <w:ind w:firstLine="435"/>
        <w:rPr>
          <w:rFonts w:ascii="宋体" w:hAnsi="宋体"/>
          <w:color w:val="auto"/>
          <w:szCs w:val="21"/>
          <w:highlight w:val="none"/>
        </w:rPr>
      </w:pPr>
      <w:r>
        <w:rPr>
          <w:rFonts w:hint="eastAsia" w:ascii="宋体" w:hAnsi="宋体"/>
          <w:color w:val="auto"/>
          <w:szCs w:val="21"/>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12F2A13C">
      <w:pPr>
        <w:spacing w:line="360" w:lineRule="auto"/>
        <w:ind w:firstLine="435"/>
        <w:rPr>
          <w:rFonts w:ascii="宋体" w:hAnsi="宋体"/>
          <w:color w:val="auto"/>
          <w:szCs w:val="21"/>
          <w:highlight w:val="none"/>
        </w:rPr>
      </w:pPr>
      <w:r>
        <w:rPr>
          <w:rFonts w:hint="eastAsia" w:ascii="宋体" w:hAnsi="宋体"/>
          <w:color w:val="auto"/>
          <w:szCs w:val="21"/>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524A0880">
      <w:pPr>
        <w:spacing w:line="360" w:lineRule="auto"/>
        <w:ind w:firstLine="435"/>
        <w:rPr>
          <w:rFonts w:ascii="宋体" w:hAnsi="宋体"/>
          <w:color w:val="auto"/>
          <w:szCs w:val="21"/>
          <w:highlight w:val="none"/>
        </w:rPr>
      </w:pPr>
      <w:r>
        <w:rPr>
          <w:rFonts w:hint="eastAsia" w:ascii="宋体" w:hAnsi="宋体"/>
          <w:color w:val="auto"/>
          <w:szCs w:val="21"/>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DE768F6">
      <w:pPr>
        <w:spacing w:line="360" w:lineRule="auto"/>
        <w:ind w:firstLine="435"/>
        <w:rPr>
          <w:rFonts w:ascii="宋体" w:hAnsi="宋体"/>
          <w:color w:val="auto"/>
          <w:szCs w:val="21"/>
          <w:highlight w:val="none"/>
        </w:rPr>
      </w:pPr>
      <w:r>
        <w:rPr>
          <w:rFonts w:hint="eastAsia" w:ascii="宋体" w:hAnsi="宋体"/>
          <w:color w:val="auto"/>
          <w:szCs w:val="21"/>
          <w:highlight w:val="none"/>
        </w:rPr>
        <w:t>1.6.6如果出现政府采购监督管理部门在处理投诉事项期间，书面通知甲方暂停采购活动的情形，或者询问或质疑事项可能影响中标结果的，导致甲方中止履行合同的情形，均不视为甲方违约。</w:t>
      </w:r>
    </w:p>
    <w:p w14:paraId="0BA1FEA7">
      <w:pPr>
        <w:spacing w:line="360" w:lineRule="auto"/>
        <w:ind w:firstLine="437"/>
        <w:outlineLvl w:val="3"/>
        <w:rPr>
          <w:rFonts w:ascii="宋体" w:hAnsi="宋体"/>
          <w:b/>
          <w:bCs/>
          <w:color w:val="auto"/>
          <w:szCs w:val="21"/>
          <w:highlight w:val="none"/>
          <w:lang w:val="zh-CN"/>
        </w:rPr>
      </w:pPr>
      <w:bookmarkStart w:id="130" w:name="_Toc15583"/>
      <w:bookmarkStart w:id="131" w:name="_Toc28375"/>
      <w:bookmarkStart w:id="132" w:name="_Toc16021"/>
      <w:r>
        <w:rPr>
          <w:rFonts w:hint="eastAsia" w:ascii="宋体" w:hAnsi="宋体"/>
          <w:b/>
          <w:bCs/>
          <w:color w:val="auto"/>
          <w:szCs w:val="21"/>
          <w:highlight w:val="none"/>
          <w:lang w:val="zh-CN"/>
        </w:rPr>
        <w:t>1.7</w:t>
      </w:r>
      <w:r>
        <w:rPr>
          <w:rFonts w:ascii="宋体" w:hAnsi="宋体"/>
          <w:b/>
          <w:bCs/>
          <w:color w:val="auto"/>
          <w:szCs w:val="21"/>
          <w:highlight w:val="none"/>
          <w:lang w:val="zh-CN"/>
        </w:rPr>
        <w:t xml:space="preserve"> </w:t>
      </w:r>
      <w:r>
        <w:rPr>
          <w:rFonts w:hint="eastAsia" w:ascii="宋体" w:hAnsi="宋体"/>
          <w:b/>
          <w:bCs/>
          <w:color w:val="auto"/>
          <w:szCs w:val="21"/>
          <w:highlight w:val="none"/>
          <w:lang w:val="zh-CN"/>
        </w:rPr>
        <w:t>合同</w:t>
      </w:r>
      <w:r>
        <w:rPr>
          <w:rFonts w:ascii="宋体" w:hAnsi="宋体"/>
          <w:b/>
          <w:bCs/>
          <w:color w:val="auto"/>
          <w:szCs w:val="21"/>
          <w:highlight w:val="none"/>
          <w:lang w:val="zh-CN"/>
        </w:rPr>
        <w:t>争议的解决</w:t>
      </w:r>
      <w:bookmarkEnd w:id="130"/>
      <w:bookmarkEnd w:id="131"/>
      <w:bookmarkEnd w:id="132"/>
    </w:p>
    <w:p w14:paraId="02A79CFE">
      <w:pPr>
        <w:spacing w:line="360" w:lineRule="auto"/>
        <w:ind w:firstLine="435"/>
        <w:rPr>
          <w:rFonts w:ascii="宋体" w:hAnsi="宋体"/>
          <w:color w:val="auto"/>
          <w:szCs w:val="21"/>
          <w:highlight w:val="none"/>
        </w:rPr>
      </w:pPr>
      <w:r>
        <w:rPr>
          <w:rFonts w:hint="eastAsia" w:ascii="宋体" w:hAnsi="宋体"/>
          <w:color w:val="auto"/>
          <w:szCs w:val="21"/>
          <w:highlight w:val="none"/>
        </w:rPr>
        <w:t>本合</w:t>
      </w:r>
      <w:r>
        <w:rPr>
          <w:rFonts w:ascii="宋体" w:hAnsi="宋体"/>
          <w:color w:val="auto"/>
          <w:szCs w:val="21"/>
          <w:highlight w:val="none"/>
        </w:rPr>
        <w:t>同履行过程中发生的任何争议，双方当事人均可</w:t>
      </w:r>
      <w:r>
        <w:rPr>
          <w:rFonts w:hint="eastAsia" w:ascii="宋体" w:hAnsi="宋体"/>
          <w:color w:val="auto"/>
          <w:szCs w:val="21"/>
          <w:highlight w:val="none"/>
        </w:rPr>
        <w:t>通过和解或者调解解决；不愿和解、调解或者和解、调解不成的，可以选择下列第</w:t>
      </w:r>
      <w:r>
        <w:rPr>
          <w:rFonts w:hint="eastAsia" w:ascii="宋体" w:hAnsi="宋体"/>
          <w:color w:val="auto"/>
          <w:szCs w:val="21"/>
          <w:highlight w:val="none"/>
          <w:u w:val="single"/>
        </w:rPr>
        <w:t xml:space="preserve">    </w:t>
      </w:r>
      <w:r>
        <w:rPr>
          <w:rFonts w:hint="eastAsia" w:ascii="宋体" w:hAnsi="宋体"/>
          <w:color w:val="auto"/>
          <w:szCs w:val="21"/>
          <w:highlight w:val="none"/>
        </w:rPr>
        <w:t>种方式解决：</w:t>
      </w:r>
    </w:p>
    <w:p w14:paraId="38EF3739">
      <w:pPr>
        <w:spacing w:line="360" w:lineRule="auto"/>
        <w:ind w:firstLine="435"/>
        <w:rPr>
          <w:rFonts w:ascii="宋体" w:hAnsi="宋体"/>
          <w:color w:val="auto"/>
          <w:szCs w:val="21"/>
          <w:highlight w:val="none"/>
        </w:rPr>
      </w:pPr>
      <w:r>
        <w:rPr>
          <w:rFonts w:hint="eastAsia" w:ascii="宋体" w:hAnsi="宋体"/>
          <w:color w:val="auto"/>
          <w:szCs w:val="21"/>
          <w:highlight w:val="none"/>
        </w:rPr>
        <w:t>1.7.1将争议提交滁州仲裁委员会依申请仲裁时其现行有效的仲裁规则裁决；</w:t>
      </w:r>
    </w:p>
    <w:p w14:paraId="3CAA899C">
      <w:pPr>
        <w:spacing w:line="360" w:lineRule="auto"/>
        <w:ind w:firstLine="435"/>
        <w:rPr>
          <w:rFonts w:ascii="宋体" w:hAnsi="宋体"/>
          <w:color w:val="auto"/>
          <w:szCs w:val="21"/>
          <w:highlight w:val="none"/>
        </w:rPr>
      </w:pPr>
      <w:r>
        <w:rPr>
          <w:rFonts w:hint="eastAsia" w:ascii="宋体" w:hAnsi="宋体"/>
          <w:color w:val="auto"/>
          <w:szCs w:val="21"/>
          <w:highlight w:val="none"/>
        </w:rPr>
        <w:t>1.7.2向甲方（采购人）</w:t>
      </w:r>
      <w:r>
        <w:rPr>
          <w:rFonts w:hint="eastAsia" w:ascii="宋体" w:cs="宋体"/>
          <w:color w:val="auto"/>
          <w:szCs w:val="21"/>
          <w:highlight w:val="none"/>
          <w:u w:val="none" w:color="000000"/>
        </w:rPr>
        <w:t>所在地</w:t>
      </w:r>
      <w:r>
        <w:rPr>
          <w:rFonts w:hint="eastAsia" w:ascii="宋体" w:hAnsi="宋体"/>
          <w:color w:val="auto"/>
          <w:szCs w:val="21"/>
          <w:highlight w:val="none"/>
        </w:rPr>
        <w:t>人民法院起诉。</w:t>
      </w:r>
    </w:p>
    <w:p w14:paraId="44466F80">
      <w:pPr>
        <w:spacing w:line="360" w:lineRule="auto"/>
        <w:ind w:firstLine="437"/>
        <w:outlineLvl w:val="3"/>
        <w:rPr>
          <w:rFonts w:ascii="宋体" w:hAnsi="宋体"/>
          <w:b/>
          <w:bCs/>
          <w:color w:val="auto"/>
          <w:szCs w:val="21"/>
          <w:highlight w:val="none"/>
          <w:lang w:val="zh-CN"/>
        </w:rPr>
      </w:pPr>
      <w:bookmarkStart w:id="133" w:name="_Toc15322"/>
      <w:bookmarkStart w:id="134" w:name="_Toc11173"/>
      <w:bookmarkStart w:id="135" w:name="_Toc7245"/>
      <w:r>
        <w:rPr>
          <w:rFonts w:hint="eastAsia" w:ascii="宋体" w:hAnsi="宋体"/>
          <w:b/>
          <w:bCs/>
          <w:color w:val="auto"/>
          <w:szCs w:val="21"/>
          <w:highlight w:val="none"/>
          <w:lang w:val="zh-CN"/>
        </w:rPr>
        <w:t>1.8</w:t>
      </w:r>
      <w:r>
        <w:rPr>
          <w:rFonts w:ascii="宋体" w:hAnsi="宋体"/>
          <w:b/>
          <w:bCs/>
          <w:color w:val="auto"/>
          <w:szCs w:val="21"/>
          <w:highlight w:val="none"/>
          <w:lang w:val="zh-CN"/>
        </w:rPr>
        <w:t xml:space="preserve"> 合同生效</w:t>
      </w:r>
      <w:bookmarkEnd w:id="133"/>
      <w:bookmarkEnd w:id="134"/>
      <w:bookmarkEnd w:id="135"/>
    </w:p>
    <w:p w14:paraId="04B897CB">
      <w:pPr>
        <w:spacing w:line="360" w:lineRule="auto"/>
        <w:ind w:firstLine="435"/>
        <w:rPr>
          <w:rFonts w:ascii="宋体" w:hAnsi="宋体"/>
          <w:color w:val="auto"/>
          <w:szCs w:val="21"/>
          <w:highlight w:val="none"/>
        </w:rPr>
      </w:pPr>
      <w:r>
        <w:rPr>
          <w:rFonts w:ascii="宋体" w:hAnsi="宋体"/>
          <w:color w:val="auto"/>
          <w:szCs w:val="21"/>
          <w:highlight w:val="none"/>
        </w:rPr>
        <w:t>本合同自</w:t>
      </w:r>
      <w:r>
        <w:rPr>
          <w:rFonts w:hint="eastAsia" w:ascii="宋体" w:hAnsi="宋体"/>
          <w:color w:val="auto"/>
          <w:szCs w:val="21"/>
          <w:highlight w:val="none"/>
        </w:rPr>
        <w:t>双方当事人盖章时</w:t>
      </w:r>
      <w:r>
        <w:rPr>
          <w:rFonts w:ascii="宋体" w:hAnsi="宋体"/>
          <w:color w:val="auto"/>
          <w:szCs w:val="21"/>
          <w:highlight w:val="none"/>
        </w:rPr>
        <w:t>生效。</w:t>
      </w:r>
    </w:p>
    <w:p w14:paraId="67C33054">
      <w:pPr>
        <w:autoSpaceDE w:val="0"/>
        <w:autoSpaceDN w:val="0"/>
        <w:adjustRightInd w:val="0"/>
        <w:spacing w:line="560" w:lineRule="exact"/>
        <w:rPr>
          <w:rFonts w:ascii="宋体" w:hAnsi="宋体"/>
          <w:color w:val="auto"/>
          <w:szCs w:val="21"/>
          <w:highlight w:val="none"/>
          <w:lang w:val="zh-CN"/>
        </w:rPr>
      </w:pPr>
    </w:p>
    <w:p w14:paraId="542003E6">
      <w:pPr>
        <w:autoSpaceDE w:val="0"/>
        <w:autoSpaceDN w:val="0"/>
        <w:adjustRightInd w:val="0"/>
        <w:spacing w:line="560" w:lineRule="exact"/>
        <w:rPr>
          <w:rFonts w:ascii="宋体" w:hAnsi="宋体"/>
          <w:color w:val="auto"/>
          <w:szCs w:val="21"/>
          <w:highlight w:val="none"/>
          <w:lang w:val="zh-CN"/>
        </w:rPr>
      </w:pPr>
    </w:p>
    <w:p w14:paraId="4BEC374E">
      <w:pPr>
        <w:autoSpaceDE w:val="0"/>
        <w:autoSpaceDN w:val="0"/>
        <w:adjustRightInd w:val="0"/>
        <w:spacing w:line="560" w:lineRule="exact"/>
        <w:rPr>
          <w:rFonts w:ascii="宋体" w:hAnsi="宋体"/>
          <w:bCs/>
          <w:color w:val="auto"/>
          <w:szCs w:val="21"/>
          <w:highlight w:val="none"/>
          <w:lang w:val="zh-CN"/>
        </w:rPr>
      </w:pPr>
      <w:r>
        <w:rPr>
          <w:rFonts w:hint="eastAsia" w:ascii="宋体" w:hAnsi="宋体"/>
          <w:bCs/>
          <w:color w:val="auto"/>
          <w:szCs w:val="21"/>
          <w:highlight w:val="none"/>
          <w:lang w:val="zh-CN"/>
        </w:rPr>
        <w:t xml:space="preserve">甲 </w:t>
      </w:r>
      <w:r>
        <w:rPr>
          <w:rFonts w:ascii="宋体" w:hAnsi="宋体"/>
          <w:bCs/>
          <w:color w:val="auto"/>
          <w:szCs w:val="21"/>
          <w:highlight w:val="none"/>
          <w:lang w:val="zh-CN"/>
        </w:rPr>
        <w:t xml:space="preserve">   </w:t>
      </w:r>
      <w:r>
        <w:rPr>
          <w:rFonts w:hint="eastAsia" w:ascii="宋体" w:hAnsi="宋体"/>
          <w:bCs/>
          <w:color w:val="auto"/>
          <w:szCs w:val="21"/>
          <w:highlight w:val="none"/>
          <w:lang w:val="zh-CN"/>
        </w:rPr>
        <w:t>方：</w:t>
      </w:r>
      <w:r>
        <w:rPr>
          <w:rFonts w:hint="eastAsia" w:ascii="宋体" w:hAnsi="宋体"/>
          <w:bCs/>
          <w:color w:val="auto"/>
          <w:szCs w:val="21"/>
          <w:highlight w:val="none"/>
          <w:u w:val="single"/>
          <w:lang w:val="zh-CN"/>
        </w:rPr>
        <w:t xml:space="preserve">    （单位盖章）     </w:t>
      </w:r>
      <w:r>
        <w:rPr>
          <w:rFonts w:hint="eastAsia" w:ascii="宋体" w:hAnsi="宋体"/>
          <w:bCs/>
          <w:color w:val="auto"/>
          <w:szCs w:val="21"/>
          <w:highlight w:val="none"/>
          <w:lang w:val="zh-CN"/>
        </w:rPr>
        <w:t xml:space="preserve">          乙</w:t>
      </w:r>
      <w:r>
        <w:rPr>
          <w:rFonts w:hint="eastAsia" w:ascii="宋体" w:hAnsi="宋体"/>
          <w:bCs/>
          <w:color w:val="auto"/>
          <w:szCs w:val="21"/>
          <w:highlight w:val="none"/>
        </w:rPr>
        <w:t xml:space="preserve">    </w:t>
      </w:r>
      <w:r>
        <w:rPr>
          <w:rFonts w:hint="eastAsia" w:ascii="宋体" w:hAnsi="宋体"/>
          <w:bCs/>
          <w:color w:val="auto"/>
          <w:szCs w:val="21"/>
          <w:highlight w:val="none"/>
          <w:lang w:val="zh-CN"/>
        </w:rPr>
        <w:t>方：</w:t>
      </w:r>
      <w:r>
        <w:rPr>
          <w:rFonts w:hint="eastAsia" w:ascii="宋体" w:hAnsi="宋体"/>
          <w:bCs/>
          <w:color w:val="auto"/>
          <w:szCs w:val="21"/>
          <w:highlight w:val="none"/>
          <w:u w:val="single"/>
          <w:lang w:val="zh-CN"/>
        </w:rPr>
        <w:t xml:space="preserve">    （单位盖章）     </w:t>
      </w:r>
    </w:p>
    <w:p w14:paraId="115E106C">
      <w:pPr>
        <w:autoSpaceDE w:val="0"/>
        <w:autoSpaceDN w:val="0"/>
        <w:adjustRightInd w:val="0"/>
        <w:spacing w:line="560" w:lineRule="exact"/>
        <w:rPr>
          <w:rFonts w:ascii="宋体" w:hAnsi="宋体"/>
          <w:color w:val="auto"/>
          <w:szCs w:val="21"/>
          <w:highlight w:val="none"/>
          <w:lang w:val="zh-CN"/>
        </w:rPr>
      </w:pPr>
      <w:r>
        <w:rPr>
          <w:rFonts w:hint="eastAsia" w:ascii="宋体" w:hAnsi="宋体"/>
          <w:color w:val="auto"/>
          <w:szCs w:val="21"/>
          <w:highlight w:val="none"/>
          <w:lang w:val="zh-CN"/>
        </w:rPr>
        <w:t xml:space="preserve">法定代表人                             </w:t>
      </w:r>
      <w:r>
        <w:rPr>
          <w:rFonts w:ascii="宋体" w:hAnsi="宋体"/>
          <w:color w:val="auto"/>
          <w:szCs w:val="21"/>
          <w:highlight w:val="none"/>
          <w:lang w:val="zh-CN"/>
        </w:rPr>
        <w:t xml:space="preserve">  </w:t>
      </w:r>
      <w:r>
        <w:rPr>
          <w:rFonts w:hint="eastAsia" w:ascii="宋体" w:hAnsi="宋体"/>
          <w:color w:val="auto"/>
          <w:szCs w:val="21"/>
          <w:highlight w:val="none"/>
          <w:lang w:val="zh-CN"/>
        </w:rPr>
        <w:t>法定代表人</w:t>
      </w:r>
    </w:p>
    <w:p w14:paraId="50214813">
      <w:pPr>
        <w:autoSpaceDE w:val="0"/>
        <w:autoSpaceDN w:val="0"/>
        <w:adjustRightInd w:val="0"/>
        <w:spacing w:line="560" w:lineRule="exact"/>
        <w:rPr>
          <w:rFonts w:ascii="宋体" w:hAnsi="宋体"/>
          <w:color w:val="auto"/>
          <w:szCs w:val="21"/>
          <w:highlight w:val="none"/>
          <w:lang w:val="zh-CN"/>
        </w:rPr>
      </w:pPr>
      <w:r>
        <w:rPr>
          <w:rFonts w:hint="eastAsia" w:ascii="宋体" w:hAnsi="宋体"/>
          <w:color w:val="auto"/>
          <w:szCs w:val="21"/>
          <w:highlight w:val="none"/>
          <w:lang w:val="zh-CN"/>
        </w:rPr>
        <w:t>或授权代表（签字）：                     或授权代表（签字）：</w:t>
      </w:r>
    </w:p>
    <w:p w14:paraId="1D5E6105">
      <w:pPr>
        <w:widowControl/>
        <w:spacing w:line="560" w:lineRule="exact"/>
        <w:jc w:val="left"/>
        <w:rPr>
          <w:rFonts w:ascii="宋体" w:hAnsi="宋体"/>
          <w:bCs/>
          <w:color w:val="auto"/>
          <w:szCs w:val="21"/>
          <w:highlight w:val="none"/>
        </w:rPr>
      </w:pPr>
      <w:bookmarkStart w:id="136" w:name="_Toc331685783"/>
      <w:r>
        <w:rPr>
          <w:rFonts w:hint="eastAsia" w:ascii="宋体" w:hAnsi="宋体"/>
          <w:bCs/>
          <w:color w:val="auto"/>
          <w:szCs w:val="21"/>
          <w:highlight w:val="none"/>
        </w:rPr>
        <w:t>时间：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               时间：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14:paraId="4C29CB7B">
      <w:pPr>
        <w:widowControl/>
        <w:jc w:val="left"/>
        <w:rPr>
          <w:rFonts w:ascii="宋体" w:hAnsi="宋体"/>
          <w:b/>
          <w:color w:val="auto"/>
          <w:szCs w:val="21"/>
          <w:highlight w:val="none"/>
        </w:rPr>
      </w:pPr>
      <w:r>
        <w:rPr>
          <w:rFonts w:ascii="宋体" w:hAnsi="宋体"/>
          <w:b/>
          <w:color w:val="auto"/>
          <w:szCs w:val="21"/>
          <w:highlight w:val="none"/>
        </w:rPr>
        <w:br w:type="page"/>
      </w:r>
    </w:p>
    <w:p w14:paraId="32B10534">
      <w:pPr>
        <w:spacing w:line="360" w:lineRule="auto"/>
        <w:jc w:val="center"/>
        <w:outlineLvl w:val="2"/>
        <w:rPr>
          <w:rFonts w:ascii="宋体" w:hAnsi="宋体"/>
          <w:b/>
          <w:color w:val="auto"/>
          <w:szCs w:val="21"/>
          <w:highlight w:val="none"/>
        </w:rPr>
      </w:pPr>
      <w:r>
        <w:rPr>
          <w:rFonts w:hint="eastAsia" w:ascii="宋体" w:hAnsi="宋体"/>
          <w:b/>
          <w:color w:val="auto"/>
          <w:szCs w:val="21"/>
          <w:highlight w:val="none"/>
        </w:rPr>
        <w:t>第二部分</w:t>
      </w:r>
      <w:r>
        <w:rPr>
          <w:rFonts w:ascii="宋体" w:hAnsi="宋体"/>
          <w:b/>
          <w:color w:val="auto"/>
          <w:szCs w:val="21"/>
          <w:highlight w:val="none"/>
        </w:rPr>
        <w:t xml:space="preserve"> </w:t>
      </w:r>
      <w:r>
        <w:rPr>
          <w:rFonts w:hint="eastAsia" w:ascii="宋体" w:hAnsi="宋体"/>
          <w:b/>
          <w:color w:val="auto"/>
          <w:szCs w:val="21"/>
          <w:highlight w:val="none"/>
        </w:rPr>
        <w:t>合同一般条款</w:t>
      </w:r>
      <w:bookmarkEnd w:id="136"/>
    </w:p>
    <w:p w14:paraId="65E1C4A1">
      <w:pPr>
        <w:spacing w:line="360" w:lineRule="auto"/>
        <w:ind w:firstLine="437"/>
        <w:outlineLvl w:val="3"/>
        <w:rPr>
          <w:rFonts w:ascii="宋体" w:hAnsi="宋体"/>
          <w:b/>
          <w:bCs/>
          <w:color w:val="auto"/>
          <w:szCs w:val="21"/>
          <w:highlight w:val="none"/>
          <w:lang w:val="zh-CN"/>
        </w:rPr>
      </w:pPr>
      <w:bookmarkStart w:id="137" w:name="_Ref467379109"/>
      <w:bookmarkStart w:id="138" w:name="_Ref467378499"/>
      <w:bookmarkStart w:id="139" w:name="_Toc259093669"/>
      <w:bookmarkStart w:id="140" w:name="_Ref467379205"/>
      <w:bookmarkStart w:id="141" w:name="_Ref467379214"/>
      <w:bookmarkStart w:id="142" w:name="_Ref467379101"/>
      <w:bookmarkStart w:id="143" w:name="_Toc19614"/>
      <w:bookmarkStart w:id="144" w:name="_Ref467379195"/>
      <w:bookmarkStart w:id="145" w:name="_Ref467378463"/>
      <w:bookmarkStart w:id="146" w:name="_Toc28763"/>
      <w:bookmarkStart w:id="147" w:name="_Ref467379094"/>
      <w:bookmarkStart w:id="148" w:name="_Toc279701240"/>
      <w:bookmarkStart w:id="149" w:name="_Toc16917"/>
      <w:bookmarkStart w:id="150" w:name="_Ref467379225"/>
      <w:bookmarkStart w:id="151" w:name="_Toc487900349"/>
      <w:bookmarkStart w:id="152" w:name="_Ref467378404"/>
      <w:r>
        <w:rPr>
          <w:rFonts w:hint="eastAsia" w:ascii="宋体" w:hAnsi="宋体"/>
          <w:b/>
          <w:bCs/>
          <w:color w:val="auto"/>
          <w:szCs w:val="21"/>
          <w:highlight w:val="none"/>
          <w:lang w:val="zh-CN"/>
        </w:rPr>
        <w:t>2.1</w:t>
      </w:r>
      <w:r>
        <w:rPr>
          <w:rFonts w:ascii="宋体" w:hAnsi="宋体"/>
          <w:b/>
          <w:bCs/>
          <w:color w:val="auto"/>
          <w:szCs w:val="21"/>
          <w:highlight w:val="none"/>
          <w:lang w:val="zh-CN"/>
        </w:rPr>
        <w:t xml:space="preserve"> 定义</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5EDF6040">
      <w:pPr>
        <w:spacing w:line="360" w:lineRule="auto"/>
        <w:ind w:firstLine="435"/>
        <w:rPr>
          <w:rFonts w:ascii="宋体" w:hAnsi="宋体"/>
          <w:color w:val="auto"/>
          <w:szCs w:val="21"/>
          <w:highlight w:val="none"/>
        </w:rPr>
      </w:pPr>
      <w:r>
        <w:rPr>
          <w:rFonts w:ascii="宋体" w:hAnsi="宋体"/>
          <w:color w:val="auto"/>
          <w:szCs w:val="21"/>
          <w:highlight w:val="none"/>
        </w:rPr>
        <w:t>本合同中的下列</w:t>
      </w:r>
      <w:r>
        <w:rPr>
          <w:rFonts w:hint="eastAsia" w:ascii="宋体" w:hAnsi="宋体"/>
          <w:color w:val="auto"/>
          <w:szCs w:val="21"/>
          <w:highlight w:val="none"/>
        </w:rPr>
        <w:t>词</w:t>
      </w:r>
      <w:r>
        <w:rPr>
          <w:rFonts w:ascii="宋体" w:hAnsi="宋体"/>
          <w:color w:val="auto"/>
          <w:szCs w:val="21"/>
          <w:highlight w:val="none"/>
        </w:rPr>
        <w:t>语应</w:t>
      </w:r>
      <w:r>
        <w:rPr>
          <w:rFonts w:hint="eastAsia" w:ascii="宋体" w:hAnsi="宋体"/>
          <w:color w:val="auto"/>
          <w:szCs w:val="21"/>
          <w:highlight w:val="none"/>
        </w:rPr>
        <w:t>按以下内容进行</w:t>
      </w:r>
      <w:r>
        <w:rPr>
          <w:rFonts w:ascii="宋体" w:hAnsi="宋体"/>
          <w:color w:val="auto"/>
          <w:szCs w:val="21"/>
          <w:highlight w:val="none"/>
        </w:rPr>
        <w:t>解释：</w:t>
      </w:r>
    </w:p>
    <w:p w14:paraId="1B7C220C">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.1</w:t>
      </w:r>
      <w:r>
        <w:rPr>
          <w:rFonts w:ascii="宋体" w:hAnsi="宋体"/>
          <w:color w:val="auto"/>
          <w:szCs w:val="21"/>
          <w:highlight w:val="none"/>
        </w:rPr>
        <w:t>“合同”系指采购人和中标</w:t>
      </w:r>
      <w:r>
        <w:rPr>
          <w:rFonts w:hint="eastAsia" w:ascii="宋体" w:hAnsi="宋体"/>
          <w:color w:val="auto"/>
          <w:szCs w:val="21"/>
          <w:highlight w:val="none"/>
        </w:rPr>
        <w:t>人</w:t>
      </w:r>
      <w:r>
        <w:rPr>
          <w:rFonts w:ascii="宋体" w:hAnsi="宋体"/>
          <w:color w:val="auto"/>
          <w:szCs w:val="21"/>
          <w:highlight w:val="none"/>
        </w:rPr>
        <w:t>签订的载明双方当事人所达成的协议，并包括所有的附件、附录和构成合同的其他文件。</w:t>
      </w:r>
    </w:p>
    <w:p w14:paraId="065F3501">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1.2“合同价”系指根据合同约定，中标</w:t>
      </w:r>
      <w:r>
        <w:rPr>
          <w:rFonts w:hint="eastAsia" w:ascii="宋体" w:hAnsi="宋体"/>
          <w:color w:val="auto"/>
          <w:szCs w:val="21"/>
          <w:highlight w:val="none"/>
        </w:rPr>
        <w:t>人</w:t>
      </w:r>
      <w:r>
        <w:rPr>
          <w:rFonts w:ascii="宋体" w:hAnsi="宋体"/>
          <w:color w:val="auto"/>
          <w:szCs w:val="21"/>
          <w:highlight w:val="none"/>
        </w:rPr>
        <w:t>在完全履行合同义务后</w:t>
      </w:r>
      <w:r>
        <w:rPr>
          <w:rFonts w:hint="eastAsia" w:ascii="宋体" w:hAnsi="宋体"/>
          <w:color w:val="auto"/>
          <w:szCs w:val="21"/>
          <w:highlight w:val="none"/>
        </w:rPr>
        <w:t>，</w:t>
      </w:r>
      <w:r>
        <w:rPr>
          <w:rFonts w:ascii="宋体" w:hAnsi="宋体"/>
          <w:color w:val="auto"/>
          <w:szCs w:val="21"/>
          <w:highlight w:val="none"/>
        </w:rPr>
        <w:t>采购人应支付给中标人的价格。</w:t>
      </w:r>
    </w:p>
    <w:p w14:paraId="00EA1D9F">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1.3“</w:t>
      </w:r>
      <w:r>
        <w:rPr>
          <w:rFonts w:hint="eastAsia" w:ascii="宋体" w:hAnsi="宋体"/>
          <w:color w:val="auto"/>
          <w:szCs w:val="21"/>
          <w:highlight w:val="none"/>
        </w:rPr>
        <w:t>服务</w:t>
      </w:r>
      <w:r>
        <w:rPr>
          <w:rFonts w:ascii="宋体" w:hAnsi="宋体"/>
          <w:color w:val="auto"/>
          <w:szCs w:val="21"/>
          <w:highlight w:val="none"/>
        </w:rPr>
        <w:t>”系指</w:t>
      </w:r>
      <w:r>
        <w:rPr>
          <w:rFonts w:hint="eastAsia" w:ascii="宋体" w:hAnsi="宋体"/>
          <w:color w:val="auto"/>
          <w:szCs w:val="21"/>
          <w:highlight w:val="none"/>
        </w:rPr>
        <w:t>中标人</w:t>
      </w:r>
      <w:r>
        <w:rPr>
          <w:rFonts w:ascii="宋体" w:hAnsi="宋体"/>
          <w:color w:val="auto"/>
          <w:szCs w:val="21"/>
          <w:highlight w:val="none"/>
        </w:rPr>
        <w:t>根据合同约定应向采购人</w:t>
      </w:r>
      <w:r>
        <w:rPr>
          <w:rFonts w:hint="eastAsia" w:ascii="宋体" w:hAnsi="宋体"/>
          <w:color w:val="auto"/>
          <w:szCs w:val="21"/>
          <w:highlight w:val="none"/>
        </w:rPr>
        <w:t>履行</w:t>
      </w:r>
      <w:r>
        <w:rPr>
          <w:rFonts w:ascii="宋体" w:hAnsi="宋体"/>
          <w:color w:val="auto"/>
          <w:szCs w:val="21"/>
          <w:highlight w:val="none"/>
        </w:rPr>
        <w:t>的</w:t>
      </w:r>
      <w:r>
        <w:rPr>
          <w:rFonts w:hint="eastAsia" w:ascii="宋体" w:hAnsi="宋体"/>
          <w:color w:val="auto"/>
          <w:szCs w:val="21"/>
          <w:highlight w:val="none"/>
        </w:rPr>
        <w:t>除货物和工程以外的其他政府采购对象，包括采购人自身需要的服务和向社会公众提供的公共服务。</w:t>
      </w:r>
    </w:p>
    <w:p w14:paraId="0E3587C6">
      <w:pPr>
        <w:spacing w:line="360" w:lineRule="auto"/>
        <w:ind w:firstLine="435"/>
        <w:rPr>
          <w:rFonts w:ascii="宋体" w:hAnsi="宋体"/>
          <w:color w:val="auto"/>
          <w:szCs w:val="21"/>
          <w:highlight w:val="none"/>
        </w:rPr>
      </w:pPr>
      <w:bookmarkStart w:id="153" w:name="_Ref467378840"/>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w:t>
      </w:r>
      <w:r>
        <w:rPr>
          <w:rFonts w:hint="eastAsia" w:ascii="宋体" w:hAnsi="宋体"/>
          <w:color w:val="auto"/>
          <w:szCs w:val="21"/>
          <w:highlight w:val="none"/>
        </w:rPr>
        <w:t>甲方</w:t>
      </w:r>
      <w:r>
        <w:rPr>
          <w:rFonts w:ascii="宋体" w:hAnsi="宋体"/>
          <w:color w:val="auto"/>
          <w:szCs w:val="21"/>
          <w:highlight w:val="none"/>
        </w:rPr>
        <w:t>”系指与</w:t>
      </w:r>
      <w:r>
        <w:rPr>
          <w:rFonts w:hint="eastAsia" w:ascii="宋体" w:hAnsi="宋体"/>
          <w:color w:val="auto"/>
          <w:szCs w:val="21"/>
          <w:highlight w:val="none"/>
        </w:rPr>
        <w:t>中标人</w:t>
      </w:r>
      <w:r>
        <w:rPr>
          <w:rFonts w:ascii="宋体" w:hAnsi="宋体"/>
          <w:color w:val="auto"/>
          <w:szCs w:val="21"/>
          <w:highlight w:val="none"/>
        </w:rPr>
        <w:t>签署合同的采购人</w:t>
      </w:r>
      <w:bookmarkEnd w:id="153"/>
      <w:r>
        <w:rPr>
          <w:rFonts w:hint="eastAsia" w:ascii="宋体" w:hAnsi="宋体"/>
          <w:color w:val="auto"/>
          <w:szCs w:val="21"/>
          <w:highlight w:val="none"/>
        </w:rPr>
        <w:t>；采购人委托采购代理机构代表其与乙方签订合同的，采购人的授权委托书作为合同附件。</w:t>
      </w:r>
    </w:p>
    <w:p w14:paraId="4749D6AA">
      <w:pPr>
        <w:spacing w:line="360" w:lineRule="auto"/>
        <w:ind w:firstLine="435"/>
        <w:rPr>
          <w:rFonts w:ascii="宋体" w:hAnsi="宋体"/>
          <w:color w:val="auto"/>
          <w:szCs w:val="21"/>
          <w:highlight w:val="none"/>
        </w:rPr>
      </w:pPr>
      <w:bookmarkStart w:id="154" w:name="_Ref467379400"/>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5</w:t>
      </w:r>
      <w:r>
        <w:rPr>
          <w:rFonts w:ascii="宋体" w:hAnsi="宋体"/>
          <w:color w:val="auto"/>
          <w:szCs w:val="21"/>
          <w:highlight w:val="none"/>
        </w:rPr>
        <w:t>“乙方”系指根据合同约定</w:t>
      </w:r>
      <w:r>
        <w:rPr>
          <w:rFonts w:hint="eastAsia" w:ascii="宋体" w:hAnsi="宋体"/>
          <w:color w:val="auto"/>
          <w:szCs w:val="21"/>
          <w:highlight w:val="none"/>
        </w:rPr>
        <w:t>提供服务</w:t>
      </w:r>
      <w:r>
        <w:rPr>
          <w:rFonts w:ascii="宋体" w:hAnsi="宋体"/>
          <w:color w:val="auto"/>
          <w:szCs w:val="21"/>
          <w:highlight w:val="none"/>
        </w:rPr>
        <w:t>的中标人</w:t>
      </w:r>
      <w:bookmarkEnd w:id="154"/>
      <w:r>
        <w:rPr>
          <w:rFonts w:hint="eastAsia" w:ascii="宋体" w:hAnsi="宋体"/>
          <w:color w:val="auto"/>
          <w:szCs w:val="21"/>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4C2EB04F">
      <w:pPr>
        <w:spacing w:line="360" w:lineRule="auto"/>
        <w:ind w:firstLine="435"/>
        <w:rPr>
          <w:rFonts w:ascii="宋体" w:hAnsi="宋体"/>
          <w:color w:val="auto"/>
          <w:szCs w:val="21"/>
          <w:highlight w:val="none"/>
        </w:rPr>
      </w:pPr>
      <w:bookmarkStart w:id="155" w:name="_Ref467379436"/>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6</w:t>
      </w:r>
      <w:r>
        <w:rPr>
          <w:rFonts w:ascii="宋体" w:hAnsi="宋体"/>
          <w:color w:val="auto"/>
          <w:szCs w:val="21"/>
          <w:highlight w:val="none"/>
        </w:rPr>
        <w:t>“现场”系指合同约定</w:t>
      </w:r>
      <w:r>
        <w:rPr>
          <w:rFonts w:hint="eastAsia" w:ascii="宋体" w:hAnsi="宋体"/>
          <w:color w:val="auto"/>
          <w:szCs w:val="21"/>
          <w:highlight w:val="none"/>
        </w:rPr>
        <w:t>提供服务</w:t>
      </w:r>
      <w:r>
        <w:rPr>
          <w:rFonts w:ascii="宋体" w:hAnsi="宋体"/>
          <w:color w:val="auto"/>
          <w:szCs w:val="21"/>
          <w:highlight w:val="none"/>
        </w:rPr>
        <w:t>的地点。</w:t>
      </w:r>
      <w:bookmarkEnd w:id="155"/>
    </w:p>
    <w:p w14:paraId="1CC5D055">
      <w:pPr>
        <w:spacing w:line="360" w:lineRule="auto"/>
        <w:ind w:firstLine="437"/>
        <w:outlineLvl w:val="3"/>
        <w:rPr>
          <w:rFonts w:ascii="宋体" w:hAnsi="宋体"/>
          <w:b/>
          <w:bCs/>
          <w:color w:val="auto"/>
          <w:szCs w:val="21"/>
          <w:highlight w:val="none"/>
          <w:lang w:val="zh-CN"/>
        </w:rPr>
      </w:pPr>
      <w:bookmarkStart w:id="156" w:name="_Toc27635"/>
      <w:bookmarkStart w:id="157" w:name="_Toc487900350"/>
      <w:bookmarkStart w:id="158" w:name="_Toc32504"/>
      <w:bookmarkStart w:id="159" w:name="_Toc259093670"/>
      <w:bookmarkStart w:id="160" w:name="_Toc13336"/>
      <w:bookmarkStart w:id="161" w:name="_Toc279701241"/>
      <w:r>
        <w:rPr>
          <w:rFonts w:hint="eastAsia" w:ascii="宋体" w:hAnsi="宋体"/>
          <w:b/>
          <w:bCs/>
          <w:color w:val="auto"/>
          <w:szCs w:val="21"/>
          <w:highlight w:val="none"/>
          <w:lang w:val="zh-CN"/>
        </w:rPr>
        <w:t>2.</w:t>
      </w:r>
      <w:r>
        <w:rPr>
          <w:rFonts w:ascii="宋体" w:hAnsi="宋体"/>
          <w:b/>
          <w:bCs/>
          <w:color w:val="auto"/>
          <w:szCs w:val="21"/>
          <w:highlight w:val="none"/>
          <w:lang w:val="zh-CN"/>
        </w:rPr>
        <w:t>2 技术规范</w:t>
      </w:r>
      <w:bookmarkEnd w:id="156"/>
      <w:bookmarkEnd w:id="157"/>
      <w:bookmarkEnd w:id="158"/>
      <w:bookmarkEnd w:id="159"/>
      <w:bookmarkEnd w:id="160"/>
      <w:bookmarkEnd w:id="161"/>
    </w:p>
    <w:p w14:paraId="1F76A43A">
      <w:pPr>
        <w:spacing w:line="360" w:lineRule="auto"/>
        <w:ind w:firstLine="435"/>
        <w:rPr>
          <w:rFonts w:ascii="宋体" w:hAnsi="宋体"/>
          <w:color w:val="auto"/>
          <w:szCs w:val="21"/>
          <w:highlight w:val="none"/>
        </w:rPr>
      </w:pPr>
      <w:r>
        <w:rPr>
          <w:rFonts w:ascii="宋体" w:hAnsi="宋体"/>
          <w:color w:val="auto"/>
          <w:szCs w:val="21"/>
          <w:highlight w:val="none"/>
        </w:rPr>
        <w:t>货物所应遵守的技术规范应与采购文件规定的技术规范和技术规范附件(如果有的话)及其技术规范偏差表(如果被甲方接受的话)相一致</w:t>
      </w:r>
      <w:r>
        <w:rPr>
          <w:rFonts w:hint="eastAsia" w:ascii="宋体" w:hAnsi="宋体"/>
          <w:color w:val="auto"/>
          <w:szCs w:val="21"/>
          <w:highlight w:val="none"/>
        </w:rPr>
        <w:t>；</w:t>
      </w:r>
      <w:r>
        <w:rPr>
          <w:rFonts w:ascii="宋体" w:hAnsi="宋体"/>
          <w:color w:val="auto"/>
          <w:szCs w:val="21"/>
          <w:highlight w:val="none"/>
        </w:rPr>
        <w:t>如果采购文件中没有技术规范的相应说明，那么应以国家有关部门最新颁布的相应标准</w:t>
      </w:r>
      <w:r>
        <w:rPr>
          <w:rFonts w:hint="eastAsia" w:ascii="宋体" w:hAnsi="宋体"/>
          <w:color w:val="auto"/>
          <w:szCs w:val="21"/>
          <w:highlight w:val="none"/>
        </w:rPr>
        <w:t>和</w:t>
      </w:r>
      <w:r>
        <w:rPr>
          <w:rFonts w:ascii="宋体" w:hAnsi="宋体"/>
          <w:color w:val="auto"/>
          <w:szCs w:val="21"/>
          <w:highlight w:val="none"/>
        </w:rPr>
        <w:t>规范为准。</w:t>
      </w:r>
    </w:p>
    <w:p w14:paraId="4FD2CC32">
      <w:pPr>
        <w:spacing w:line="360" w:lineRule="auto"/>
        <w:ind w:firstLine="437"/>
        <w:outlineLvl w:val="3"/>
        <w:rPr>
          <w:rFonts w:ascii="宋体" w:hAnsi="宋体"/>
          <w:b/>
          <w:bCs/>
          <w:color w:val="auto"/>
          <w:szCs w:val="21"/>
          <w:highlight w:val="none"/>
          <w:lang w:val="zh-CN"/>
        </w:rPr>
      </w:pPr>
      <w:bookmarkStart w:id="162" w:name="_Toc487900351"/>
      <w:bookmarkStart w:id="163" w:name="_Toc259093671"/>
      <w:bookmarkStart w:id="164" w:name="_Toc9829"/>
      <w:bookmarkStart w:id="165" w:name="_Toc279701242"/>
      <w:bookmarkStart w:id="166" w:name="_Toc31634"/>
      <w:bookmarkStart w:id="167" w:name="_Toc27853"/>
      <w:r>
        <w:rPr>
          <w:rFonts w:hint="eastAsia" w:ascii="宋体" w:hAnsi="宋体"/>
          <w:b/>
          <w:bCs/>
          <w:color w:val="auto"/>
          <w:szCs w:val="21"/>
          <w:highlight w:val="none"/>
          <w:lang w:val="zh-CN"/>
        </w:rPr>
        <w:t>2.</w:t>
      </w:r>
      <w:r>
        <w:rPr>
          <w:rFonts w:ascii="宋体" w:hAnsi="宋体"/>
          <w:b/>
          <w:bCs/>
          <w:color w:val="auto"/>
          <w:szCs w:val="21"/>
          <w:highlight w:val="none"/>
          <w:lang w:val="zh-CN"/>
        </w:rPr>
        <w:t>3 知识产权</w:t>
      </w:r>
      <w:bookmarkEnd w:id="162"/>
      <w:bookmarkEnd w:id="163"/>
      <w:bookmarkEnd w:id="164"/>
      <w:bookmarkEnd w:id="165"/>
      <w:bookmarkEnd w:id="166"/>
      <w:bookmarkEnd w:id="167"/>
    </w:p>
    <w:p w14:paraId="4849D257">
      <w:pPr>
        <w:spacing w:line="360" w:lineRule="auto"/>
        <w:ind w:firstLine="435"/>
        <w:rPr>
          <w:rFonts w:ascii="宋体" w:hAnsi="宋体"/>
          <w:color w:val="auto"/>
          <w:szCs w:val="21"/>
          <w:highlight w:val="none"/>
        </w:rPr>
      </w:pPr>
      <w:r>
        <w:rPr>
          <w:rFonts w:hint="eastAsia" w:ascii="宋体" w:hAnsi="宋体"/>
          <w:color w:val="auto"/>
          <w:szCs w:val="21"/>
          <w:highlight w:val="none"/>
        </w:rPr>
        <w:t>2.3.1乙</w:t>
      </w:r>
      <w:r>
        <w:rPr>
          <w:rFonts w:ascii="宋体" w:hAnsi="宋体"/>
          <w:color w:val="auto"/>
          <w:szCs w:val="21"/>
          <w:highlight w:val="none"/>
        </w:rPr>
        <w:t>方应保证</w:t>
      </w:r>
      <w:r>
        <w:rPr>
          <w:rFonts w:hint="eastAsia" w:ascii="宋体" w:hAnsi="宋体"/>
          <w:color w:val="auto"/>
          <w:szCs w:val="21"/>
          <w:highlight w:val="none"/>
        </w:rPr>
        <w:t>其提供的服务</w:t>
      </w:r>
      <w:r>
        <w:rPr>
          <w:rFonts w:ascii="宋体" w:hAnsi="宋体"/>
          <w:color w:val="auto"/>
          <w:szCs w:val="21"/>
          <w:highlight w:val="none"/>
        </w:rPr>
        <w:t>不受任何第三方提出的侵犯其著作权、商标权、专利权等知识产权方面的起诉</w:t>
      </w:r>
      <w:r>
        <w:rPr>
          <w:rFonts w:hint="eastAsia" w:ascii="宋体" w:hAnsi="宋体"/>
          <w:color w:val="auto"/>
          <w:szCs w:val="21"/>
          <w:highlight w:val="none"/>
        </w:rPr>
        <w:t>；</w:t>
      </w:r>
      <w:r>
        <w:rPr>
          <w:rFonts w:ascii="宋体" w:hAnsi="宋体"/>
          <w:color w:val="auto"/>
          <w:szCs w:val="21"/>
          <w:highlight w:val="none"/>
        </w:rPr>
        <w:t>如果任何第三方提出侵权</w:t>
      </w:r>
      <w:r>
        <w:rPr>
          <w:rFonts w:hint="eastAsia" w:ascii="宋体" w:hAnsi="宋体"/>
          <w:color w:val="auto"/>
          <w:szCs w:val="21"/>
          <w:highlight w:val="none"/>
        </w:rPr>
        <w:t>指控</w:t>
      </w:r>
      <w:r>
        <w:rPr>
          <w:rFonts w:ascii="宋体" w:hAnsi="宋体"/>
          <w:color w:val="auto"/>
          <w:szCs w:val="21"/>
          <w:highlight w:val="none"/>
        </w:rPr>
        <w:t>，那么乙方须与该第三方交涉并承担由此发生的一切责任、费用和赔偿</w:t>
      </w:r>
      <w:r>
        <w:rPr>
          <w:rFonts w:hint="eastAsia" w:ascii="宋体" w:hAnsi="宋体"/>
          <w:color w:val="auto"/>
          <w:szCs w:val="21"/>
          <w:highlight w:val="none"/>
        </w:rPr>
        <w:t>；</w:t>
      </w:r>
    </w:p>
    <w:p w14:paraId="24319B6A">
      <w:pPr>
        <w:spacing w:line="360" w:lineRule="auto"/>
        <w:ind w:firstLine="435"/>
        <w:rPr>
          <w:rFonts w:ascii="宋体" w:hAnsi="宋体"/>
          <w:color w:val="auto"/>
          <w:szCs w:val="21"/>
          <w:highlight w:val="none"/>
        </w:rPr>
      </w:pPr>
      <w:r>
        <w:rPr>
          <w:rFonts w:hint="eastAsia" w:ascii="宋体" w:hAnsi="宋体"/>
          <w:color w:val="auto"/>
          <w:szCs w:val="21"/>
          <w:highlight w:val="none"/>
        </w:rPr>
        <w:t>2.3.2具有知识产权的计算机软件等货物的知识产权归属，</w:t>
      </w:r>
      <w:r>
        <w:rPr>
          <w:rFonts w:ascii="宋体" w:hAnsi="宋体"/>
          <w:color w:val="auto"/>
          <w:szCs w:val="21"/>
          <w:highlight w:val="none"/>
        </w:rPr>
        <w:t>详见</w:t>
      </w:r>
      <w:r>
        <w:rPr>
          <w:rFonts w:ascii="宋体" w:hAnsi="宋体"/>
          <w:b/>
          <w:i/>
          <w:color w:val="auto"/>
          <w:szCs w:val="21"/>
          <w:highlight w:val="none"/>
          <w:u w:val="single"/>
        </w:rPr>
        <w:t>合同专用条款</w:t>
      </w:r>
      <w:r>
        <w:rPr>
          <w:rFonts w:ascii="宋体" w:hAnsi="宋体"/>
          <w:color w:val="auto"/>
          <w:szCs w:val="21"/>
          <w:highlight w:val="none"/>
        </w:rPr>
        <w:t>。</w:t>
      </w:r>
    </w:p>
    <w:p w14:paraId="7C36B855">
      <w:pPr>
        <w:spacing w:line="360" w:lineRule="auto"/>
        <w:ind w:firstLine="437"/>
        <w:outlineLvl w:val="3"/>
        <w:rPr>
          <w:rFonts w:ascii="宋体" w:hAnsi="宋体"/>
          <w:b/>
          <w:bCs/>
          <w:color w:val="auto"/>
          <w:szCs w:val="21"/>
          <w:highlight w:val="none"/>
          <w:lang w:val="zh-CN"/>
        </w:rPr>
      </w:pPr>
      <w:bookmarkStart w:id="168" w:name="_Toc259093674"/>
      <w:bookmarkStart w:id="169" w:name="_Ref467379542"/>
      <w:bookmarkStart w:id="170" w:name="_Toc279701245"/>
      <w:bookmarkStart w:id="171" w:name="_Toc487900354"/>
      <w:bookmarkStart w:id="172" w:name="_Ref467379527"/>
      <w:bookmarkStart w:id="173" w:name="_Ref467378591"/>
      <w:bookmarkStart w:id="174" w:name="_Ref467378541"/>
      <w:bookmarkStart w:id="175" w:name="_Ref467379536"/>
      <w:bookmarkStart w:id="176" w:name="_Toc19074"/>
      <w:bookmarkStart w:id="177" w:name="_Toc30272"/>
      <w:bookmarkStart w:id="178" w:name="_Toc26182"/>
      <w:r>
        <w:rPr>
          <w:rFonts w:hint="eastAsia" w:ascii="宋体" w:hAnsi="宋体"/>
          <w:b/>
          <w:bCs/>
          <w:color w:val="auto"/>
          <w:szCs w:val="21"/>
          <w:highlight w:val="none"/>
          <w:lang w:val="zh-CN"/>
        </w:rPr>
        <w:t>2.</w:t>
      </w:r>
      <w:bookmarkEnd w:id="168"/>
      <w:bookmarkEnd w:id="169"/>
      <w:bookmarkEnd w:id="170"/>
      <w:bookmarkEnd w:id="171"/>
      <w:bookmarkEnd w:id="172"/>
      <w:bookmarkEnd w:id="173"/>
      <w:bookmarkEnd w:id="174"/>
      <w:bookmarkEnd w:id="175"/>
      <w:r>
        <w:rPr>
          <w:rFonts w:ascii="宋体" w:hAnsi="宋体"/>
          <w:b/>
          <w:bCs/>
          <w:color w:val="auto"/>
          <w:szCs w:val="21"/>
          <w:highlight w:val="none"/>
          <w:lang w:val="zh-CN"/>
        </w:rPr>
        <w:t xml:space="preserve">4 </w:t>
      </w:r>
      <w:r>
        <w:rPr>
          <w:rFonts w:hint="eastAsia" w:ascii="宋体" w:hAnsi="宋体"/>
          <w:b/>
          <w:bCs/>
          <w:color w:val="auto"/>
          <w:szCs w:val="21"/>
          <w:highlight w:val="none"/>
          <w:lang w:val="zh-CN"/>
        </w:rPr>
        <w:t>履约检查和问题反馈</w:t>
      </w:r>
      <w:bookmarkEnd w:id="176"/>
      <w:bookmarkEnd w:id="177"/>
      <w:bookmarkEnd w:id="178"/>
    </w:p>
    <w:p w14:paraId="2D62838D">
      <w:pPr>
        <w:spacing w:line="360" w:lineRule="auto"/>
        <w:ind w:firstLine="435"/>
        <w:rPr>
          <w:rFonts w:ascii="宋体" w:hAnsi="宋体"/>
          <w:color w:val="auto"/>
          <w:szCs w:val="21"/>
          <w:highlight w:val="none"/>
        </w:rPr>
      </w:pPr>
      <w:bookmarkStart w:id="179" w:name="_Toc186431854"/>
      <w:bookmarkStart w:id="180" w:name="_Toc279701247"/>
      <w:bookmarkStart w:id="181" w:name="_Ref467379807"/>
      <w:bookmarkStart w:id="182" w:name="_Toc487900357"/>
      <w:bookmarkStart w:id="183" w:name="_Ref467379793"/>
      <w:bookmarkStart w:id="184" w:name="_Toc259093676"/>
      <w:r>
        <w:rPr>
          <w:rFonts w:hint="eastAsia" w:ascii="宋体" w:hAnsi="宋体"/>
          <w:color w:val="auto"/>
          <w:szCs w:val="21"/>
          <w:highlight w:val="none"/>
        </w:rPr>
        <w:t>2.4</w:t>
      </w:r>
      <w:r>
        <w:rPr>
          <w:rFonts w:ascii="宋体" w:hAnsi="宋体"/>
          <w:color w:val="auto"/>
          <w:szCs w:val="21"/>
          <w:highlight w:val="none"/>
        </w:rPr>
        <w:t>.1甲方</w:t>
      </w:r>
      <w:r>
        <w:rPr>
          <w:rFonts w:hint="eastAsia" w:ascii="宋体" w:hAnsi="宋体"/>
          <w:color w:val="auto"/>
          <w:szCs w:val="21"/>
          <w:highlight w:val="none"/>
        </w:rPr>
        <w:t>有权</w:t>
      </w:r>
      <w:r>
        <w:rPr>
          <w:rFonts w:ascii="宋体" w:hAnsi="宋体"/>
          <w:color w:val="auto"/>
          <w:szCs w:val="21"/>
          <w:highlight w:val="none"/>
        </w:rPr>
        <w:t>在其认为必要时</w:t>
      </w:r>
      <w:r>
        <w:rPr>
          <w:rFonts w:hint="eastAsia" w:ascii="宋体" w:hAnsi="宋体"/>
          <w:color w:val="auto"/>
          <w:szCs w:val="21"/>
          <w:highlight w:val="none"/>
        </w:rPr>
        <w:t>，对乙方是否能够按照合同约定提供服务进行履约检查，以确保乙方所提供的服务能够依约满足甲方项目需求，但不得因履约检查妨碍乙方的正常工作，乙方应予积极配合；</w:t>
      </w:r>
    </w:p>
    <w:p w14:paraId="765C3312">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4</w:t>
      </w:r>
      <w:r>
        <w:rPr>
          <w:rFonts w:hint="eastAsia" w:ascii="宋体" w:hAnsi="宋体"/>
          <w:color w:val="auto"/>
          <w:szCs w:val="21"/>
          <w:highlight w:val="none"/>
        </w:rPr>
        <w:t>.2合同履行期间，甲方有权将履行过程中出现的问题反馈给乙方，双方当事人应以书面形式约定需要完善和改进的内容</w:t>
      </w:r>
      <w:bookmarkEnd w:id="179"/>
      <w:bookmarkStart w:id="185" w:name="_Toc186431855"/>
      <w:r>
        <w:rPr>
          <w:rFonts w:hint="eastAsia" w:ascii="宋体" w:hAnsi="宋体"/>
          <w:color w:val="auto"/>
          <w:szCs w:val="21"/>
          <w:highlight w:val="none"/>
        </w:rPr>
        <w:t>。</w:t>
      </w:r>
    </w:p>
    <w:bookmarkEnd w:id="185"/>
    <w:p w14:paraId="7D218F11">
      <w:pPr>
        <w:spacing w:line="360" w:lineRule="auto"/>
        <w:ind w:firstLine="437"/>
        <w:outlineLvl w:val="3"/>
        <w:rPr>
          <w:rFonts w:ascii="宋体" w:hAnsi="宋体"/>
          <w:b/>
          <w:bCs/>
          <w:color w:val="auto"/>
          <w:szCs w:val="21"/>
          <w:highlight w:val="none"/>
          <w:lang w:val="zh-CN"/>
        </w:rPr>
      </w:pPr>
      <w:bookmarkStart w:id="186" w:name="_Toc28451"/>
      <w:bookmarkStart w:id="187" w:name="_Toc19219"/>
      <w:bookmarkStart w:id="188" w:name="_Toc7836"/>
      <w:r>
        <w:rPr>
          <w:rFonts w:hint="eastAsia" w:ascii="宋体" w:hAnsi="宋体"/>
          <w:b/>
          <w:bCs/>
          <w:color w:val="auto"/>
          <w:szCs w:val="21"/>
          <w:highlight w:val="none"/>
          <w:lang w:val="zh-CN"/>
        </w:rPr>
        <w:t>2.</w:t>
      </w:r>
      <w:r>
        <w:rPr>
          <w:rFonts w:ascii="宋体" w:hAnsi="宋体"/>
          <w:b/>
          <w:bCs/>
          <w:color w:val="auto"/>
          <w:szCs w:val="21"/>
          <w:highlight w:val="none"/>
          <w:lang w:val="zh-CN"/>
        </w:rPr>
        <w:t>5</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结算方式和付款条件</w:t>
      </w:r>
      <w:bookmarkEnd w:id="180"/>
      <w:bookmarkEnd w:id="181"/>
      <w:bookmarkEnd w:id="182"/>
      <w:bookmarkEnd w:id="183"/>
      <w:bookmarkEnd w:id="184"/>
      <w:bookmarkEnd w:id="186"/>
      <w:bookmarkEnd w:id="187"/>
      <w:bookmarkEnd w:id="188"/>
    </w:p>
    <w:p w14:paraId="1A77C14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本项目采用总价合同。</w:t>
      </w:r>
    </w:p>
    <w:p w14:paraId="0A1D688A">
      <w:pPr>
        <w:spacing w:line="360" w:lineRule="auto"/>
        <w:ind w:firstLine="437"/>
        <w:outlineLvl w:val="3"/>
        <w:rPr>
          <w:rFonts w:ascii="宋体" w:hAnsi="宋体"/>
          <w:b/>
          <w:bCs/>
          <w:color w:val="auto"/>
          <w:szCs w:val="21"/>
          <w:highlight w:val="none"/>
          <w:lang w:val="zh-CN"/>
        </w:rPr>
      </w:pPr>
      <w:bookmarkStart w:id="189" w:name="_Toc259093677"/>
      <w:bookmarkStart w:id="190" w:name="_Toc487900358"/>
      <w:bookmarkStart w:id="191" w:name="_Toc279701248"/>
      <w:bookmarkStart w:id="192" w:name="_Ref467379923"/>
      <w:bookmarkStart w:id="193" w:name="_Ref467379852"/>
      <w:bookmarkStart w:id="194" w:name="_Ref467379863"/>
      <w:bookmarkStart w:id="195" w:name="_Toc774"/>
      <w:bookmarkStart w:id="196" w:name="_Toc3225"/>
      <w:bookmarkStart w:id="197" w:name="_Toc16110"/>
      <w:r>
        <w:rPr>
          <w:rFonts w:hint="eastAsia" w:ascii="宋体" w:hAnsi="宋体"/>
          <w:b/>
          <w:bCs/>
          <w:color w:val="auto"/>
          <w:szCs w:val="21"/>
          <w:highlight w:val="none"/>
          <w:lang w:val="zh-CN"/>
        </w:rPr>
        <w:t>2.</w:t>
      </w:r>
      <w:r>
        <w:rPr>
          <w:rFonts w:ascii="宋体" w:hAnsi="宋体"/>
          <w:b/>
          <w:bCs/>
          <w:color w:val="auto"/>
          <w:szCs w:val="21"/>
          <w:highlight w:val="none"/>
          <w:lang w:val="zh-CN"/>
        </w:rPr>
        <w:t>6</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技术资料</w:t>
      </w:r>
      <w:bookmarkEnd w:id="189"/>
      <w:bookmarkEnd w:id="190"/>
      <w:bookmarkEnd w:id="191"/>
      <w:bookmarkEnd w:id="192"/>
      <w:bookmarkEnd w:id="193"/>
      <w:bookmarkEnd w:id="194"/>
      <w:r>
        <w:rPr>
          <w:rFonts w:ascii="宋体" w:hAnsi="宋体"/>
          <w:b/>
          <w:bCs/>
          <w:color w:val="auto"/>
          <w:szCs w:val="21"/>
          <w:highlight w:val="none"/>
          <w:lang w:val="zh-CN"/>
        </w:rPr>
        <w:t>和保密义务</w:t>
      </w:r>
      <w:bookmarkEnd w:id="195"/>
      <w:bookmarkEnd w:id="196"/>
      <w:bookmarkEnd w:id="197"/>
    </w:p>
    <w:p w14:paraId="1F67D7D8">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6.1</w:t>
      </w:r>
      <w:r>
        <w:rPr>
          <w:rFonts w:hint="eastAsia" w:ascii="宋体" w:hAnsi="宋体"/>
          <w:color w:val="auto"/>
          <w:szCs w:val="21"/>
          <w:highlight w:val="none"/>
        </w:rPr>
        <w:t>乙方有权依据合同约定和项目需要，向甲方了解有关情况，调阅有关资料等，甲方应予积极配合；</w:t>
      </w:r>
    </w:p>
    <w:p w14:paraId="164A8E81">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.2乙方有义务妥善保管和保护由甲方提供的前款信息和资料等；</w:t>
      </w:r>
    </w:p>
    <w:p w14:paraId="1A71BE3B">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color w:val="auto"/>
          <w:szCs w:val="21"/>
          <w:highlight w:val="none"/>
        </w:rPr>
        <w:t>技术情报</w:t>
      </w:r>
      <w:r>
        <w:rPr>
          <w:rFonts w:hint="eastAsia" w:ascii="宋体" w:hAnsi="宋体"/>
          <w:color w:val="auto"/>
          <w:szCs w:val="21"/>
          <w:highlight w:val="none"/>
        </w:rPr>
        <w:t>、</w:t>
      </w:r>
      <w:r>
        <w:rPr>
          <w:rFonts w:ascii="宋体" w:hAnsi="宋体"/>
          <w:color w:val="auto"/>
          <w:szCs w:val="21"/>
          <w:highlight w:val="none"/>
        </w:rPr>
        <w:t>技术资料</w:t>
      </w:r>
      <w:r>
        <w:rPr>
          <w:rFonts w:hint="eastAsia" w:ascii="宋体" w:hAnsi="宋体"/>
          <w:color w:val="auto"/>
          <w:szCs w:val="21"/>
          <w:highlight w:val="none"/>
        </w:rPr>
        <w:t>、商业秘密和商业信息等，并采取一切合理和必要措施和方式防止任何第三方接触到对方当事人的上述保密信息和资料。</w:t>
      </w:r>
    </w:p>
    <w:p w14:paraId="5510E297">
      <w:pPr>
        <w:spacing w:line="360" w:lineRule="auto"/>
        <w:ind w:firstLine="437"/>
        <w:outlineLvl w:val="3"/>
        <w:rPr>
          <w:rFonts w:ascii="宋体" w:hAnsi="宋体"/>
          <w:b/>
          <w:bCs/>
          <w:color w:val="auto"/>
          <w:szCs w:val="21"/>
          <w:highlight w:val="none"/>
          <w:lang w:val="zh-CN"/>
        </w:rPr>
      </w:pPr>
      <w:bookmarkStart w:id="198" w:name="_Toc7860"/>
      <w:r>
        <w:rPr>
          <w:rFonts w:ascii="宋体" w:hAnsi="宋体"/>
          <w:b/>
          <w:bCs/>
          <w:color w:val="auto"/>
          <w:szCs w:val="21"/>
          <w:highlight w:val="none"/>
          <w:lang w:val="zh-CN"/>
        </w:rPr>
        <w:t>2.7 质量保证</w:t>
      </w:r>
      <w:bookmarkEnd w:id="198"/>
    </w:p>
    <w:p w14:paraId="6002CB48">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7</w:t>
      </w:r>
      <w:r>
        <w:rPr>
          <w:rFonts w:hint="eastAsia" w:ascii="宋体" w:hAnsi="宋体"/>
          <w:color w:val="auto"/>
          <w:szCs w:val="21"/>
          <w:highlight w:val="none"/>
        </w:rPr>
        <w:t>.1乙方应建立和完善履行合同的内部质量保证体系，并提供相关内部规章制度给甲方，以便甲方进行监督检查；</w:t>
      </w:r>
    </w:p>
    <w:p w14:paraId="4B748E16">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7</w:t>
      </w:r>
      <w:r>
        <w:rPr>
          <w:rFonts w:hint="eastAsia" w:ascii="宋体" w:hAnsi="宋体"/>
          <w:color w:val="auto"/>
          <w:szCs w:val="21"/>
          <w:highlight w:val="none"/>
        </w:rPr>
        <w:t>.2乙方应保证履行合同的人员数量和素质、软件和硬件设备的配置、场地、环境和设施等满足全面履行合同的要求，并应接受甲方的监督检查。</w:t>
      </w:r>
    </w:p>
    <w:p w14:paraId="41DDFD0F">
      <w:pPr>
        <w:spacing w:line="360" w:lineRule="auto"/>
        <w:ind w:firstLine="437"/>
        <w:outlineLvl w:val="3"/>
        <w:rPr>
          <w:rFonts w:ascii="宋体" w:hAnsi="宋体"/>
          <w:b/>
          <w:color w:val="auto"/>
          <w:szCs w:val="21"/>
          <w:highlight w:val="none"/>
        </w:rPr>
      </w:pPr>
      <w:bookmarkStart w:id="199" w:name="_Toc22267"/>
      <w:r>
        <w:rPr>
          <w:rFonts w:hint="eastAsia" w:ascii="宋体" w:hAnsi="宋体"/>
          <w:b/>
          <w:color w:val="auto"/>
          <w:szCs w:val="21"/>
          <w:highlight w:val="none"/>
        </w:rPr>
        <w:t>2.8 延迟履行</w:t>
      </w:r>
      <w:bookmarkEnd w:id="199"/>
    </w:p>
    <w:p w14:paraId="05E02BE7">
      <w:pPr>
        <w:spacing w:line="360" w:lineRule="auto"/>
        <w:ind w:firstLine="435"/>
        <w:rPr>
          <w:rFonts w:ascii="宋体" w:hAnsi="宋体"/>
          <w:color w:val="auto"/>
          <w:szCs w:val="21"/>
          <w:highlight w:val="none"/>
        </w:rPr>
      </w:pPr>
      <w:r>
        <w:rPr>
          <w:rFonts w:ascii="宋体" w:hAnsi="宋体"/>
          <w:color w:val="auto"/>
          <w:szCs w:val="21"/>
          <w:highlight w:val="none"/>
        </w:rPr>
        <w:t>在合同履行过程中，如果乙方遇到不能按时</w:t>
      </w:r>
      <w:r>
        <w:rPr>
          <w:rFonts w:hint="eastAsia" w:ascii="宋体" w:hAnsi="宋体"/>
          <w:color w:val="auto"/>
          <w:szCs w:val="21"/>
          <w:highlight w:val="none"/>
        </w:rPr>
        <w:t>提供服务</w:t>
      </w:r>
      <w:r>
        <w:rPr>
          <w:rFonts w:ascii="宋体" w:hAnsi="宋体"/>
          <w:color w:val="auto"/>
          <w:szCs w:val="21"/>
          <w:highlight w:val="none"/>
        </w:rPr>
        <w:t>的情况，应及时以书面形式将不能按时</w:t>
      </w:r>
      <w:r>
        <w:rPr>
          <w:rFonts w:hint="eastAsia" w:ascii="宋体" w:hAnsi="宋体"/>
          <w:color w:val="auto"/>
          <w:szCs w:val="21"/>
          <w:highlight w:val="none"/>
        </w:rPr>
        <w:t>提供服务</w:t>
      </w:r>
      <w:r>
        <w:rPr>
          <w:rFonts w:ascii="宋体" w:hAnsi="宋体"/>
          <w:color w:val="auto"/>
          <w:szCs w:val="21"/>
          <w:highlight w:val="none"/>
        </w:rPr>
        <w:t>的理由、预期延误时间通知甲方</w:t>
      </w:r>
      <w:r>
        <w:rPr>
          <w:rFonts w:hint="eastAsia" w:ascii="宋体" w:hAnsi="宋体"/>
          <w:color w:val="auto"/>
          <w:szCs w:val="21"/>
          <w:highlight w:val="none"/>
        </w:rPr>
        <w:t>；甲</w:t>
      </w:r>
      <w:r>
        <w:rPr>
          <w:rFonts w:ascii="宋体" w:hAnsi="宋体"/>
          <w:color w:val="auto"/>
          <w:szCs w:val="21"/>
          <w:highlight w:val="none"/>
        </w:rPr>
        <w:t>方收到乙方通知后，认为其理由正当的，可以书面形式酌情同意乙方可以延长</w:t>
      </w:r>
      <w:r>
        <w:rPr>
          <w:rFonts w:hint="eastAsia" w:ascii="宋体" w:hAnsi="宋体"/>
          <w:color w:val="auto"/>
          <w:szCs w:val="21"/>
          <w:highlight w:val="none"/>
        </w:rPr>
        <w:t>履行</w:t>
      </w:r>
      <w:r>
        <w:rPr>
          <w:rFonts w:ascii="宋体" w:hAnsi="宋体"/>
          <w:color w:val="auto"/>
          <w:szCs w:val="21"/>
          <w:highlight w:val="none"/>
        </w:rPr>
        <w:t>的具体时间。</w:t>
      </w:r>
    </w:p>
    <w:p w14:paraId="0CA5B9E4">
      <w:pPr>
        <w:spacing w:line="360" w:lineRule="auto"/>
        <w:ind w:firstLine="437"/>
        <w:outlineLvl w:val="3"/>
        <w:rPr>
          <w:rFonts w:ascii="宋体" w:hAnsi="宋体"/>
          <w:b/>
          <w:bCs/>
          <w:color w:val="auto"/>
          <w:szCs w:val="21"/>
          <w:highlight w:val="none"/>
          <w:lang w:val="zh-CN"/>
        </w:rPr>
      </w:pPr>
      <w:bookmarkStart w:id="200" w:name="_Toc7502"/>
      <w:bookmarkStart w:id="201" w:name="_Toc279701254"/>
      <w:bookmarkStart w:id="202" w:name="_Toc259093683"/>
      <w:bookmarkStart w:id="203" w:name="_Toc487900364"/>
      <w:bookmarkStart w:id="204" w:name="_Ref467378121"/>
      <w:r>
        <w:rPr>
          <w:rFonts w:ascii="宋体" w:hAnsi="宋体"/>
          <w:b/>
          <w:bCs/>
          <w:color w:val="auto"/>
          <w:szCs w:val="21"/>
          <w:highlight w:val="none"/>
          <w:lang w:val="zh-CN"/>
        </w:rPr>
        <w:t>2.9 合同变更</w:t>
      </w:r>
      <w:bookmarkEnd w:id="200"/>
    </w:p>
    <w:p w14:paraId="44559F69">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9</w:t>
      </w:r>
      <w:r>
        <w:rPr>
          <w:rFonts w:hint="eastAsia" w:ascii="宋体" w:hAnsi="宋体"/>
          <w:color w:val="auto"/>
          <w:szCs w:val="21"/>
          <w:highlight w:val="none"/>
        </w:rPr>
        <w:t>.1双方当事人协商一致，可以签订书面补充合同的形式变更合同，但不得违背采购文件确定的事项；</w:t>
      </w:r>
    </w:p>
    <w:p w14:paraId="0262094A">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9</w:t>
      </w:r>
      <w:r>
        <w:rPr>
          <w:rFonts w:hint="eastAsia" w:ascii="宋体" w:hAnsi="宋体"/>
          <w:color w:val="auto"/>
          <w:szCs w:val="21"/>
          <w:highlight w:val="none"/>
        </w:rPr>
        <w:t>.2合同继续履行将损害国家利益和社会公共利益的，双方当事人应当以书面形式变更合同。有过错的一方应当承担赔偿责任，双方当事人都有过错的，各自承担相应的责任。</w:t>
      </w:r>
      <w:bookmarkStart w:id="205" w:name="_Toc259093688"/>
      <w:bookmarkStart w:id="206" w:name="_Toc279701259"/>
      <w:bookmarkStart w:id="207" w:name="_Toc487900369"/>
    </w:p>
    <w:p w14:paraId="79B4853C">
      <w:pPr>
        <w:spacing w:line="360" w:lineRule="auto"/>
        <w:ind w:firstLine="437"/>
        <w:outlineLvl w:val="3"/>
        <w:rPr>
          <w:rFonts w:ascii="宋体" w:hAnsi="宋体"/>
          <w:b/>
          <w:bCs/>
          <w:color w:val="auto"/>
          <w:szCs w:val="21"/>
          <w:highlight w:val="none"/>
          <w:lang w:val="zh-CN"/>
        </w:rPr>
      </w:pPr>
      <w:bookmarkStart w:id="208" w:name="_Toc10366"/>
      <w:bookmarkStart w:id="209" w:name="_Toc15237"/>
      <w:bookmarkStart w:id="210" w:name="_Toc22955"/>
      <w:r>
        <w:rPr>
          <w:rFonts w:hint="eastAsia" w:ascii="宋体" w:hAnsi="宋体"/>
          <w:b/>
          <w:bCs/>
          <w:color w:val="auto"/>
          <w:szCs w:val="21"/>
          <w:highlight w:val="none"/>
          <w:lang w:val="zh-CN"/>
        </w:rPr>
        <w:t>2.1</w:t>
      </w:r>
      <w:r>
        <w:rPr>
          <w:rFonts w:ascii="宋体" w:hAnsi="宋体"/>
          <w:b/>
          <w:bCs/>
          <w:color w:val="auto"/>
          <w:szCs w:val="21"/>
          <w:highlight w:val="none"/>
          <w:lang w:val="zh-CN"/>
        </w:rPr>
        <w:t>0</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合同转让</w:t>
      </w:r>
      <w:bookmarkEnd w:id="205"/>
      <w:bookmarkEnd w:id="206"/>
      <w:bookmarkEnd w:id="207"/>
      <w:r>
        <w:rPr>
          <w:rFonts w:ascii="宋体" w:hAnsi="宋体"/>
          <w:b/>
          <w:bCs/>
          <w:color w:val="auto"/>
          <w:szCs w:val="21"/>
          <w:highlight w:val="none"/>
          <w:lang w:val="zh-CN"/>
        </w:rPr>
        <w:t>和分包</w:t>
      </w:r>
      <w:bookmarkEnd w:id="208"/>
      <w:bookmarkEnd w:id="209"/>
      <w:bookmarkEnd w:id="210"/>
    </w:p>
    <w:p w14:paraId="091E2826">
      <w:pPr>
        <w:spacing w:line="360" w:lineRule="auto"/>
        <w:ind w:firstLine="435"/>
        <w:rPr>
          <w:rFonts w:ascii="宋体" w:hAnsi="宋体"/>
          <w:color w:val="auto"/>
          <w:szCs w:val="21"/>
          <w:highlight w:val="none"/>
        </w:rPr>
      </w:pPr>
      <w:r>
        <w:rPr>
          <w:rFonts w:ascii="宋体" w:hAnsi="宋体"/>
          <w:color w:val="auto"/>
          <w:szCs w:val="21"/>
          <w:highlight w:val="none"/>
        </w:rPr>
        <w:t>合同的权利义务依法不</w:t>
      </w:r>
      <w:r>
        <w:rPr>
          <w:rFonts w:hint="eastAsia" w:ascii="宋体" w:hAnsi="宋体"/>
          <w:color w:val="auto"/>
          <w:szCs w:val="21"/>
          <w:highlight w:val="none"/>
        </w:rPr>
        <w:t>得</w:t>
      </w:r>
      <w:r>
        <w:rPr>
          <w:rFonts w:ascii="宋体" w:hAnsi="宋体"/>
          <w:color w:val="auto"/>
          <w:szCs w:val="21"/>
          <w:highlight w:val="none"/>
        </w:rPr>
        <w:t>转让</w:t>
      </w:r>
      <w:r>
        <w:rPr>
          <w:rFonts w:hint="eastAsia" w:ascii="宋体" w:hAnsi="宋体"/>
          <w:color w:val="auto"/>
          <w:szCs w:val="21"/>
          <w:highlight w:val="none"/>
        </w:rPr>
        <w:t>，</w:t>
      </w:r>
      <w:r>
        <w:rPr>
          <w:rFonts w:ascii="宋体" w:hAnsi="宋体"/>
          <w:color w:val="auto"/>
          <w:szCs w:val="21"/>
          <w:highlight w:val="none"/>
        </w:rPr>
        <w:t>但经甲方</w:t>
      </w:r>
      <w:r>
        <w:rPr>
          <w:rFonts w:hint="eastAsia" w:ascii="宋体" w:hAnsi="宋体"/>
          <w:color w:val="auto"/>
          <w:szCs w:val="21"/>
          <w:highlight w:val="none"/>
        </w:rPr>
        <w:t>同意，乙方可以依法采取分包方式履行合同，即：依法可以</w:t>
      </w:r>
      <w:r>
        <w:rPr>
          <w:rFonts w:ascii="宋体" w:hAnsi="宋体"/>
          <w:color w:val="auto"/>
          <w:szCs w:val="21"/>
          <w:highlight w:val="none"/>
        </w:rPr>
        <w:t>将合同项下的部分非主体、非关键性工作分包给他人完成</w:t>
      </w:r>
      <w:r>
        <w:rPr>
          <w:rFonts w:hint="eastAsia" w:ascii="宋体" w:hAnsi="宋体"/>
          <w:color w:val="auto"/>
          <w:szCs w:val="21"/>
          <w:highlight w:val="none"/>
        </w:rPr>
        <w:t>，</w:t>
      </w:r>
      <w:r>
        <w:rPr>
          <w:rFonts w:ascii="宋体" w:hAnsi="宋体"/>
          <w:color w:val="auto"/>
          <w:szCs w:val="21"/>
          <w:highlight w:val="none"/>
        </w:rPr>
        <w:t>接受分包的人应当具备相应的资格条件，并不得再次分包</w:t>
      </w:r>
      <w:r>
        <w:rPr>
          <w:rFonts w:hint="eastAsia" w:ascii="宋体" w:hAnsi="宋体"/>
          <w:color w:val="auto"/>
          <w:szCs w:val="21"/>
          <w:highlight w:val="none"/>
        </w:rPr>
        <w:t>，</w:t>
      </w:r>
      <w:r>
        <w:rPr>
          <w:rFonts w:ascii="宋体" w:hAnsi="宋体"/>
          <w:color w:val="auto"/>
          <w:szCs w:val="21"/>
          <w:highlight w:val="none"/>
        </w:rPr>
        <w:t>且乙方应就分包项目向甲方负责</w:t>
      </w:r>
      <w:r>
        <w:rPr>
          <w:rFonts w:hint="eastAsia" w:ascii="宋体" w:hAnsi="宋体"/>
          <w:color w:val="auto"/>
          <w:szCs w:val="21"/>
          <w:highlight w:val="none"/>
        </w:rPr>
        <w:t>，</w:t>
      </w:r>
      <w:r>
        <w:rPr>
          <w:rFonts w:ascii="宋体" w:hAnsi="宋体"/>
          <w:color w:val="auto"/>
          <w:szCs w:val="21"/>
          <w:highlight w:val="none"/>
        </w:rPr>
        <w:t>并</w:t>
      </w:r>
      <w:r>
        <w:rPr>
          <w:rFonts w:hint="eastAsia" w:ascii="宋体" w:hAnsi="宋体"/>
          <w:color w:val="auto"/>
          <w:szCs w:val="21"/>
          <w:highlight w:val="none"/>
        </w:rPr>
        <w:t>与分包供应商就分包项目向甲方承担连带责任。</w:t>
      </w:r>
    </w:p>
    <w:p w14:paraId="452E782B">
      <w:pPr>
        <w:spacing w:line="360" w:lineRule="auto"/>
        <w:ind w:firstLine="437"/>
        <w:outlineLvl w:val="3"/>
        <w:rPr>
          <w:rFonts w:ascii="宋体" w:hAnsi="宋体"/>
          <w:b/>
          <w:bCs/>
          <w:color w:val="auto"/>
          <w:szCs w:val="21"/>
          <w:highlight w:val="none"/>
          <w:lang w:val="zh-CN"/>
        </w:rPr>
      </w:pPr>
      <w:bookmarkStart w:id="211" w:name="_Toc14066"/>
      <w:bookmarkStart w:id="212" w:name="_Toc13566"/>
      <w:bookmarkStart w:id="213" w:name="_Toc16508"/>
      <w:r>
        <w:rPr>
          <w:rFonts w:hint="eastAsia" w:ascii="宋体" w:hAnsi="宋体"/>
          <w:b/>
          <w:bCs/>
          <w:color w:val="auto"/>
          <w:szCs w:val="21"/>
          <w:highlight w:val="none"/>
          <w:lang w:val="zh-CN"/>
        </w:rPr>
        <w:t>2.1</w:t>
      </w:r>
      <w:r>
        <w:rPr>
          <w:rFonts w:ascii="宋体" w:hAnsi="宋体"/>
          <w:b/>
          <w:bCs/>
          <w:color w:val="auto"/>
          <w:szCs w:val="21"/>
          <w:highlight w:val="none"/>
          <w:lang w:val="zh-CN"/>
        </w:rPr>
        <w:t>1 不可抗力</w:t>
      </w:r>
      <w:bookmarkEnd w:id="211"/>
      <w:bookmarkEnd w:id="212"/>
      <w:bookmarkEnd w:id="213"/>
    </w:p>
    <w:p w14:paraId="0293B5DE">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1.1如果任何一方遭遇法律规定的不可抗力，致使合同履行受阻时，履行合同的期限应予延长，延长的期限应相当于不可抗力所影响的时间</w:t>
      </w:r>
      <w:r>
        <w:rPr>
          <w:rFonts w:hint="eastAsia" w:ascii="宋体" w:hAnsi="宋体"/>
          <w:color w:val="auto"/>
          <w:szCs w:val="21"/>
          <w:highlight w:val="none"/>
        </w:rPr>
        <w:t>；</w:t>
      </w:r>
    </w:p>
    <w:p w14:paraId="2674B6B4">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.2因不可抗力致使不能实现合同目的的，当事人可以解除合同；</w:t>
      </w:r>
    </w:p>
    <w:p w14:paraId="6A9D1BD4">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.3因</w:t>
      </w:r>
      <w:r>
        <w:rPr>
          <w:rFonts w:ascii="宋体" w:hAnsi="宋体"/>
          <w:color w:val="auto"/>
          <w:szCs w:val="21"/>
          <w:highlight w:val="none"/>
        </w:rPr>
        <w:t>不可抗力致使合同有变更必要的，双方当事人应在</w:t>
      </w:r>
      <w:r>
        <w:rPr>
          <w:rFonts w:ascii="宋体" w:hAnsi="宋体"/>
          <w:b/>
          <w:i/>
          <w:color w:val="auto"/>
          <w:szCs w:val="21"/>
          <w:highlight w:val="none"/>
          <w:u w:val="single"/>
        </w:rPr>
        <w:t>合同专用条款</w:t>
      </w:r>
      <w:r>
        <w:rPr>
          <w:rFonts w:ascii="宋体" w:hAnsi="宋体"/>
          <w:color w:val="auto"/>
          <w:szCs w:val="21"/>
          <w:highlight w:val="none"/>
        </w:rPr>
        <w:t>约定时间内以书面形式变更合同</w:t>
      </w:r>
      <w:r>
        <w:rPr>
          <w:rFonts w:hint="eastAsia" w:ascii="宋体" w:hAnsi="宋体"/>
          <w:color w:val="auto"/>
          <w:szCs w:val="21"/>
          <w:highlight w:val="none"/>
        </w:rPr>
        <w:t>；</w:t>
      </w:r>
    </w:p>
    <w:p w14:paraId="69C1A50F">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受</w:t>
      </w:r>
      <w:r>
        <w:rPr>
          <w:rFonts w:hint="eastAsia" w:ascii="宋体" w:hAnsi="宋体"/>
          <w:color w:val="auto"/>
          <w:szCs w:val="21"/>
          <w:highlight w:val="none"/>
        </w:rPr>
        <w:t>不可抗力</w:t>
      </w:r>
      <w:r>
        <w:rPr>
          <w:rFonts w:ascii="宋体" w:hAnsi="宋体"/>
          <w:color w:val="auto"/>
          <w:szCs w:val="21"/>
          <w:highlight w:val="none"/>
        </w:rPr>
        <w:t>影响的一方在不可抗力发生后</w:t>
      </w:r>
      <w:r>
        <w:rPr>
          <w:rFonts w:hint="eastAsia" w:ascii="宋体" w:hAnsi="宋体"/>
          <w:color w:val="auto"/>
          <w:szCs w:val="21"/>
          <w:highlight w:val="none"/>
        </w:rPr>
        <w:t>，</w:t>
      </w:r>
      <w:r>
        <w:rPr>
          <w:rFonts w:ascii="宋体" w:hAnsi="宋体"/>
          <w:color w:val="auto"/>
          <w:szCs w:val="21"/>
          <w:highlight w:val="none"/>
        </w:rPr>
        <w:t>应在</w:t>
      </w:r>
      <w:r>
        <w:rPr>
          <w:rFonts w:ascii="宋体" w:hAnsi="宋体"/>
          <w:b/>
          <w:i/>
          <w:color w:val="auto"/>
          <w:szCs w:val="21"/>
          <w:highlight w:val="none"/>
          <w:u w:val="single"/>
        </w:rPr>
        <w:t>合同专用条款</w:t>
      </w:r>
      <w:r>
        <w:rPr>
          <w:rFonts w:ascii="宋体" w:hAnsi="宋体"/>
          <w:color w:val="auto"/>
          <w:szCs w:val="21"/>
          <w:highlight w:val="none"/>
        </w:rPr>
        <w:t>约定时间内以书面形式通知</w:t>
      </w:r>
      <w:r>
        <w:rPr>
          <w:rFonts w:hint="eastAsia" w:ascii="宋体" w:hAnsi="宋体"/>
          <w:color w:val="auto"/>
          <w:szCs w:val="21"/>
          <w:highlight w:val="none"/>
        </w:rPr>
        <w:t>对</w:t>
      </w:r>
      <w:r>
        <w:rPr>
          <w:rFonts w:ascii="宋体" w:hAnsi="宋体"/>
          <w:color w:val="auto"/>
          <w:szCs w:val="21"/>
          <w:highlight w:val="none"/>
        </w:rPr>
        <w:t>方当事人，并在</w:t>
      </w:r>
      <w:r>
        <w:rPr>
          <w:rFonts w:ascii="宋体" w:hAnsi="宋体"/>
          <w:b/>
          <w:i/>
          <w:color w:val="auto"/>
          <w:szCs w:val="21"/>
          <w:highlight w:val="none"/>
          <w:u w:val="single"/>
        </w:rPr>
        <w:t>合同专用条款</w:t>
      </w:r>
      <w:r>
        <w:rPr>
          <w:rFonts w:ascii="宋体" w:hAnsi="宋体"/>
          <w:color w:val="auto"/>
          <w:szCs w:val="21"/>
          <w:highlight w:val="none"/>
        </w:rPr>
        <w:t>约定时间内，将有关部门出具的证明文件送达</w:t>
      </w:r>
      <w:r>
        <w:rPr>
          <w:rFonts w:hint="eastAsia" w:ascii="宋体" w:hAnsi="宋体"/>
          <w:color w:val="auto"/>
          <w:szCs w:val="21"/>
          <w:highlight w:val="none"/>
        </w:rPr>
        <w:t>对方当事人</w:t>
      </w:r>
      <w:r>
        <w:rPr>
          <w:rFonts w:ascii="宋体" w:hAnsi="宋体"/>
          <w:color w:val="auto"/>
          <w:szCs w:val="21"/>
          <w:highlight w:val="none"/>
        </w:rPr>
        <w:t>。</w:t>
      </w:r>
    </w:p>
    <w:p w14:paraId="71C64FEA">
      <w:pPr>
        <w:spacing w:line="360" w:lineRule="auto"/>
        <w:ind w:firstLine="437"/>
        <w:outlineLvl w:val="3"/>
        <w:rPr>
          <w:rFonts w:ascii="宋体" w:hAnsi="宋体"/>
          <w:b/>
          <w:bCs/>
          <w:color w:val="auto"/>
          <w:szCs w:val="21"/>
          <w:highlight w:val="none"/>
          <w:lang w:val="zh-CN"/>
        </w:rPr>
      </w:pPr>
      <w:bookmarkStart w:id="214" w:name="_Toc487900365"/>
      <w:bookmarkStart w:id="215" w:name="_Toc6969"/>
      <w:bookmarkStart w:id="216" w:name="_Toc259093684"/>
      <w:bookmarkStart w:id="217" w:name="_Toc30676"/>
      <w:bookmarkStart w:id="218" w:name="_Toc279701255"/>
      <w:bookmarkStart w:id="219" w:name="_Toc689"/>
      <w:r>
        <w:rPr>
          <w:rFonts w:hint="eastAsia" w:ascii="宋体" w:hAnsi="宋体"/>
          <w:b/>
          <w:bCs/>
          <w:color w:val="auto"/>
          <w:szCs w:val="21"/>
          <w:highlight w:val="none"/>
          <w:lang w:val="zh-CN"/>
        </w:rPr>
        <w:t>2.</w:t>
      </w:r>
      <w:r>
        <w:rPr>
          <w:rFonts w:ascii="宋体" w:hAnsi="宋体"/>
          <w:b/>
          <w:bCs/>
          <w:color w:val="auto"/>
          <w:szCs w:val="21"/>
          <w:highlight w:val="none"/>
          <w:lang w:val="zh-CN"/>
        </w:rPr>
        <w:t>12</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税费</w:t>
      </w:r>
      <w:bookmarkEnd w:id="214"/>
      <w:bookmarkEnd w:id="215"/>
      <w:bookmarkEnd w:id="216"/>
      <w:bookmarkEnd w:id="217"/>
      <w:bookmarkEnd w:id="218"/>
      <w:bookmarkEnd w:id="219"/>
    </w:p>
    <w:p w14:paraId="6B4CF78B">
      <w:pPr>
        <w:spacing w:line="360" w:lineRule="auto"/>
        <w:ind w:firstLine="435"/>
        <w:rPr>
          <w:rFonts w:ascii="宋体" w:hAnsi="宋体"/>
          <w:color w:val="auto"/>
          <w:szCs w:val="21"/>
          <w:highlight w:val="none"/>
        </w:rPr>
      </w:pPr>
      <w:r>
        <w:rPr>
          <w:rFonts w:ascii="宋体" w:hAnsi="宋体"/>
          <w:color w:val="auto"/>
          <w:szCs w:val="21"/>
          <w:highlight w:val="none"/>
        </w:rPr>
        <w:t>与合同有关的一切税费</w:t>
      </w:r>
      <w:r>
        <w:rPr>
          <w:rFonts w:hint="eastAsia" w:ascii="宋体" w:hAnsi="宋体"/>
          <w:color w:val="auto"/>
          <w:szCs w:val="21"/>
          <w:highlight w:val="none"/>
        </w:rPr>
        <w:t>，</w:t>
      </w:r>
      <w:r>
        <w:rPr>
          <w:rFonts w:ascii="宋体" w:hAnsi="宋体"/>
          <w:color w:val="auto"/>
          <w:szCs w:val="21"/>
          <w:highlight w:val="none"/>
        </w:rPr>
        <w:t>均按照中华人民共和国法律的相关规定</w:t>
      </w:r>
      <w:r>
        <w:rPr>
          <w:rFonts w:hint="eastAsia" w:ascii="宋体" w:hAnsi="宋体"/>
          <w:color w:val="auto"/>
          <w:szCs w:val="21"/>
          <w:highlight w:val="none"/>
        </w:rPr>
        <w:t>缴纳</w:t>
      </w:r>
      <w:r>
        <w:rPr>
          <w:rFonts w:ascii="宋体" w:hAnsi="宋体"/>
          <w:color w:val="auto"/>
          <w:szCs w:val="21"/>
          <w:highlight w:val="none"/>
        </w:rPr>
        <w:t>。</w:t>
      </w:r>
    </w:p>
    <w:p w14:paraId="767AD541">
      <w:pPr>
        <w:spacing w:line="360" w:lineRule="auto"/>
        <w:ind w:firstLine="437"/>
        <w:outlineLvl w:val="3"/>
        <w:rPr>
          <w:rFonts w:ascii="宋体" w:hAnsi="宋体"/>
          <w:b/>
          <w:bCs/>
          <w:color w:val="auto"/>
          <w:szCs w:val="21"/>
          <w:highlight w:val="none"/>
          <w:lang w:val="zh-CN"/>
        </w:rPr>
      </w:pPr>
      <w:bookmarkStart w:id="220" w:name="_Toc16959"/>
      <w:bookmarkStart w:id="221" w:name="_Toc279701258"/>
      <w:bookmarkStart w:id="222" w:name="_Toc8298"/>
      <w:bookmarkStart w:id="223" w:name="_Toc259093687"/>
      <w:bookmarkStart w:id="224" w:name="_Toc487900368"/>
      <w:bookmarkStart w:id="225" w:name="_Toc7102"/>
      <w:r>
        <w:rPr>
          <w:rFonts w:hint="eastAsia" w:ascii="宋体" w:hAnsi="宋体"/>
          <w:b/>
          <w:bCs/>
          <w:color w:val="auto"/>
          <w:szCs w:val="21"/>
          <w:highlight w:val="none"/>
          <w:lang w:val="zh-CN"/>
        </w:rPr>
        <w:t>2.</w:t>
      </w:r>
      <w:r>
        <w:rPr>
          <w:rFonts w:ascii="宋体" w:hAnsi="宋体"/>
          <w:b/>
          <w:bCs/>
          <w:color w:val="auto"/>
          <w:szCs w:val="21"/>
          <w:highlight w:val="none"/>
          <w:lang w:val="zh-CN"/>
        </w:rPr>
        <w:t>13</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乙方破产</w:t>
      </w:r>
      <w:bookmarkEnd w:id="220"/>
      <w:bookmarkEnd w:id="221"/>
      <w:bookmarkEnd w:id="222"/>
      <w:bookmarkEnd w:id="223"/>
      <w:bookmarkEnd w:id="224"/>
      <w:bookmarkEnd w:id="225"/>
    </w:p>
    <w:p w14:paraId="0646FBB8">
      <w:pPr>
        <w:spacing w:line="360" w:lineRule="auto"/>
        <w:ind w:firstLine="435"/>
        <w:rPr>
          <w:rFonts w:ascii="宋体" w:hAnsi="宋体"/>
          <w:color w:val="auto"/>
          <w:szCs w:val="21"/>
          <w:highlight w:val="none"/>
        </w:rPr>
      </w:pPr>
      <w:r>
        <w:rPr>
          <w:rFonts w:ascii="宋体" w:hAnsi="宋体"/>
          <w:color w:val="auto"/>
          <w:szCs w:val="21"/>
          <w:highlight w:val="none"/>
        </w:rPr>
        <w:t>如果乙方破产导致合同无法履行时，甲方可以书面形式通知乙方终止合同且不给予乙方任何补偿和赔偿</w:t>
      </w:r>
      <w:r>
        <w:rPr>
          <w:rFonts w:hint="eastAsia" w:ascii="宋体" w:hAnsi="宋体"/>
          <w:color w:val="auto"/>
          <w:szCs w:val="21"/>
          <w:highlight w:val="none"/>
        </w:rPr>
        <w:t>，但合同的</w:t>
      </w:r>
      <w:r>
        <w:rPr>
          <w:rFonts w:ascii="宋体" w:hAnsi="宋体"/>
          <w:color w:val="auto"/>
          <w:szCs w:val="21"/>
          <w:highlight w:val="none"/>
        </w:rPr>
        <w:t>终止不损害或不影响甲方已经采取或将要采取的任何要求乙方支付违约金</w:t>
      </w:r>
      <w:r>
        <w:rPr>
          <w:rFonts w:hint="eastAsia" w:ascii="宋体" w:hAnsi="宋体"/>
          <w:color w:val="auto"/>
          <w:szCs w:val="21"/>
          <w:highlight w:val="none"/>
        </w:rPr>
        <w:t>、</w:t>
      </w:r>
      <w:r>
        <w:rPr>
          <w:rFonts w:ascii="宋体" w:hAnsi="宋体"/>
          <w:color w:val="auto"/>
          <w:szCs w:val="21"/>
          <w:highlight w:val="none"/>
        </w:rPr>
        <w:t>赔偿损失等的行动或补救措施的权利</w:t>
      </w:r>
      <w:r>
        <w:rPr>
          <w:rFonts w:hint="eastAsia" w:ascii="宋体" w:hAnsi="宋体"/>
          <w:color w:val="auto"/>
          <w:szCs w:val="21"/>
          <w:highlight w:val="none"/>
        </w:rPr>
        <w:t>。</w:t>
      </w:r>
    </w:p>
    <w:p w14:paraId="5EDA29A2">
      <w:pPr>
        <w:spacing w:line="360" w:lineRule="auto"/>
        <w:ind w:firstLine="437"/>
        <w:outlineLvl w:val="3"/>
        <w:rPr>
          <w:rFonts w:ascii="宋体" w:hAnsi="宋体"/>
          <w:b/>
          <w:color w:val="auto"/>
          <w:szCs w:val="21"/>
          <w:highlight w:val="none"/>
        </w:rPr>
      </w:pPr>
      <w:bookmarkStart w:id="226" w:name="_Toc29333"/>
      <w:bookmarkStart w:id="227" w:name="_Toc15387"/>
      <w:bookmarkStart w:id="228" w:name="_Toc6134"/>
      <w:r>
        <w:rPr>
          <w:rFonts w:hint="eastAsia" w:ascii="宋体" w:hAnsi="宋体"/>
          <w:b/>
          <w:bCs/>
          <w:color w:val="auto"/>
          <w:szCs w:val="21"/>
          <w:highlight w:val="none"/>
          <w:lang w:val="zh-CN"/>
        </w:rPr>
        <w:t>2.1</w:t>
      </w:r>
      <w:r>
        <w:rPr>
          <w:rFonts w:ascii="宋体" w:hAnsi="宋体"/>
          <w:b/>
          <w:bCs/>
          <w:color w:val="auto"/>
          <w:szCs w:val="21"/>
          <w:highlight w:val="none"/>
          <w:lang w:val="zh-CN"/>
        </w:rPr>
        <w:t>4</w:t>
      </w:r>
      <w:r>
        <w:rPr>
          <w:rFonts w:hint="eastAsia" w:ascii="宋体" w:hAnsi="宋体"/>
          <w:b/>
          <w:bCs/>
          <w:color w:val="auto"/>
          <w:szCs w:val="21"/>
          <w:highlight w:val="none"/>
          <w:lang w:val="zh-CN"/>
        </w:rPr>
        <w:t xml:space="preserve"> 合同中止、终止</w:t>
      </w:r>
      <w:bookmarkEnd w:id="226"/>
      <w:bookmarkEnd w:id="227"/>
      <w:bookmarkEnd w:id="228"/>
    </w:p>
    <w:p w14:paraId="16C6DA03">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4</w:t>
      </w:r>
      <w:r>
        <w:rPr>
          <w:rFonts w:hint="eastAsia" w:ascii="宋体" w:hAnsi="宋体"/>
          <w:color w:val="auto"/>
          <w:szCs w:val="21"/>
          <w:highlight w:val="none"/>
        </w:rPr>
        <w:t>.1双方当事人不得擅自中止或者终止合同；</w:t>
      </w:r>
    </w:p>
    <w:p w14:paraId="0D2ED931">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4</w:t>
      </w:r>
      <w:r>
        <w:rPr>
          <w:rFonts w:hint="eastAsia" w:ascii="宋体" w:hAnsi="宋体"/>
          <w:color w:val="auto"/>
          <w:szCs w:val="21"/>
          <w:highlight w:val="none"/>
        </w:rPr>
        <w:t>.2合同继续履行将损害国家利益和社会公共利益的，双方当事人应当中止或者终止合同。有过错的一方应当承担赔偿责任，双方当事人都有过错的，各自承担相应的责任。</w:t>
      </w:r>
    </w:p>
    <w:p w14:paraId="1209575C">
      <w:pPr>
        <w:spacing w:line="360" w:lineRule="auto"/>
        <w:ind w:firstLine="437"/>
        <w:outlineLvl w:val="3"/>
        <w:rPr>
          <w:rFonts w:ascii="宋体" w:hAnsi="宋体"/>
          <w:b/>
          <w:bCs/>
          <w:color w:val="auto"/>
          <w:szCs w:val="21"/>
          <w:highlight w:val="none"/>
          <w:lang w:val="zh-CN"/>
        </w:rPr>
      </w:pPr>
      <w:bookmarkStart w:id="229" w:name="_Toc1125"/>
      <w:bookmarkStart w:id="230" w:name="_Toc14563"/>
      <w:bookmarkStart w:id="231" w:name="_Toc6596"/>
      <w:r>
        <w:rPr>
          <w:rFonts w:hint="eastAsia" w:ascii="宋体" w:hAnsi="宋体"/>
          <w:b/>
          <w:bCs/>
          <w:color w:val="auto"/>
          <w:szCs w:val="21"/>
          <w:highlight w:val="none"/>
          <w:lang w:val="zh-CN"/>
        </w:rPr>
        <w:t>2.1</w:t>
      </w:r>
      <w:r>
        <w:rPr>
          <w:rFonts w:ascii="宋体" w:hAnsi="宋体"/>
          <w:b/>
          <w:bCs/>
          <w:color w:val="auto"/>
          <w:szCs w:val="21"/>
          <w:highlight w:val="none"/>
          <w:lang w:val="zh-CN"/>
        </w:rPr>
        <w:t>5</w:t>
      </w:r>
      <w:r>
        <w:rPr>
          <w:rFonts w:hint="eastAsia" w:ascii="宋体" w:hAnsi="宋体"/>
          <w:b/>
          <w:bCs/>
          <w:color w:val="auto"/>
          <w:szCs w:val="21"/>
          <w:highlight w:val="none"/>
          <w:lang w:val="zh-CN"/>
        </w:rPr>
        <w:t xml:space="preserve"> 检验和验收</w:t>
      </w:r>
      <w:bookmarkEnd w:id="229"/>
      <w:bookmarkEnd w:id="230"/>
      <w:bookmarkEnd w:id="231"/>
    </w:p>
    <w:p w14:paraId="2EAB7BA0">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5</w:t>
      </w:r>
      <w:r>
        <w:rPr>
          <w:rFonts w:ascii="宋体" w:hAnsi="宋体"/>
          <w:color w:val="auto"/>
          <w:szCs w:val="21"/>
          <w:highlight w:val="none"/>
        </w:rPr>
        <w:t>.</w:t>
      </w:r>
      <w:r>
        <w:rPr>
          <w:rFonts w:hint="eastAsia" w:ascii="宋体" w:hAnsi="宋体"/>
          <w:color w:val="auto"/>
          <w:szCs w:val="21"/>
          <w:highlight w:val="none"/>
        </w:rPr>
        <w:t>1乙方按照</w:t>
      </w:r>
      <w:r>
        <w:rPr>
          <w:rFonts w:ascii="宋体" w:hAnsi="宋体"/>
          <w:b/>
          <w:i/>
          <w:color w:val="auto"/>
          <w:szCs w:val="21"/>
          <w:highlight w:val="none"/>
          <w:u w:val="single"/>
        </w:rPr>
        <w:t>合同专用条款</w:t>
      </w:r>
      <w:r>
        <w:rPr>
          <w:rFonts w:ascii="宋体" w:hAnsi="宋体"/>
          <w:color w:val="auto"/>
          <w:szCs w:val="21"/>
          <w:highlight w:val="none"/>
        </w:rPr>
        <w:t>的约定</w:t>
      </w:r>
      <w:r>
        <w:rPr>
          <w:rFonts w:hint="eastAsia" w:ascii="宋体" w:hAnsi="宋体"/>
          <w:color w:val="auto"/>
          <w:szCs w:val="21"/>
          <w:highlight w:val="none"/>
        </w:rPr>
        <w:t>，</w:t>
      </w:r>
      <w:r>
        <w:rPr>
          <w:rFonts w:ascii="宋体" w:hAnsi="宋体"/>
          <w:color w:val="auto"/>
          <w:szCs w:val="21"/>
          <w:highlight w:val="none"/>
        </w:rPr>
        <w:t>定期提交服务报告</w:t>
      </w:r>
      <w:r>
        <w:rPr>
          <w:rFonts w:hint="eastAsia" w:ascii="宋体" w:hAnsi="宋体"/>
          <w:color w:val="auto"/>
          <w:szCs w:val="21"/>
          <w:highlight w:val="none"/>
        </w:rPr>
        <w:t>，甲方按照</w:t>
      </w:r>
      <w:r>
        <w:rPr>
          <w:rFonts w:ascii="宋体" w:hAnsi="宋体"/>
          <w:b/>
          <w:i/>
          <w:color w:val="auto"/>
          <w:szCs w:val="21"/>
          <w:highlight w:val="none"/>
          <w:u w:val="single"/>
        </w:rPr>
        <w:t>合同专用条款</w:t>
      </w:r>
      <w:r>
        <w:rPr>
          <w:rFonts w:ascii="宋体" w:hAnsi="宋体"/>
          <w:color w:val="auto"/>
          <w:szCs w:val="21"/>
          <w:highlight w:val="none"/>
        </w:rPr>
        <w:t>的约定进行定期验收</w:t>
      </w:r>
      <w:r>
        <w:rPr>
          <w:rFonts w:hint="eastAsia" w:ascii="宋体" w:hAnsi="宋体"/>
          <w:color w:val="auto"/>
          <w:szCs w:val="21"/>
          <w:highlight w:val="none"/>
        </w:rPr>
        <w:t>；</w:t>
      </w:r>
    </w:p>
    <w:p w14:paraId="2906533E">
      <w:pPr>
        <w:spacing w:line="360" w:lineRule="auto"/>
        <w:ind w:firstLine="435"/>
        <w:rPr>
          <w:rFonts w:ascii="宋体" w:hAnsi="宋体"/>
          <w:color w:val="auto"/>
          <w:szCs w:val="21"/>
          <w:highlight w:val="none"/>
        </w:rPr>
      </w:pPr>
      <w:r>
        <w:rPr>
          <w:rFonts w:hint="eastAsia" w:ascii="宋体" w:hAnsi="宋体"/>
          <w:color w:val="auto"/>
          <w:szCs w:val="21"/>
          <w:highlight w:val="none"/>
        </w:rPr>
        <w:t>2.15.2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7AEF1403">
      <w:pPr>
        <w:spacing w:line="360" w:lineRule="auto"/>
        <w:ind w:firstLine="435"/>
        <w:rPr>
          <w:rFonts w:ascii="宋体" w:hAnsi="宋体"/>
          <w:color w:val="auto"/>
          <w:szCs w:val="21"/>
          <w:highlight w:val="none"/>
        </w:rPr>
      </w:pPr>
      <w:r>
        <w:rPr>
          <w:rFonts w:hint="eastAsia" w:ascii="宋体" w:hAnsi="宋体"/>
          <w:color w:val="auto"/>
          <w:szCs w:val="21"/>
          <w:highlight w:val="none"/>
        </w:rPr>
        <w:t>2.15.3检验和验收标准、程序等具体内容以及前述验收书的效力详见</w:t>
      </w:r>
      <w:r>
        <w:rPr>
          <w:rFonts w:ascii="宋体" w:hAnsi="宋体"/>
          <w:b/>
          <w:i/>
          <w:color w:val="auto"/>
          <w:szCs w:val="21"/>
          <w:highlight w:val="none"/>
          <w:u w:val="single"/>
        </w:rPr>
        <w:t>合同专用条款</w:t>
      </w:r>
      <w:r>
        <w:rPr>
          <w:rFonts w:hint="eastAsia" w:ascii="宋体" w:hAnsi="宋体"/>
          <w:i/>
          <w:color w:val="auto"/>
          <w:szCs w:val="21"/>
          <w:highlight w:val="none"/>
        </w:rPr>
        <w:t>。</w:t>
      </w:r>
    </w:p>
    <w:bookmarkEnd w:id="201"/>
    <w:bookmarkEnd w:id="202"/>
    <w:bookmarkEnd w:id="203"/>
    <w:bookmarkEnd w:id="204"/>
    <w:p w14:paraId="6CC8DCB3">
      <w:pPr>
        <w:spacing w:line="360" w:lineRule="auto"/>
        <w:ind w:firstLine="437"/>
        <w:outlineLvl w:val="3"/>
        <w:rPr>
          <w:rFonts w:ascii="宋体" w:hAnsi="宋体"/>
          <w:b/>
          <w:bCs/>
          <w:color w:val="auto"/>
          <w:szCs w:val="21"/>
          <w:highlight w:val="none"/>
        </w:rPr>
      </w:pPr>
      <w:bookmarkStart w:id="232" w:name="_Toc12773"/>
      <w:bookmarkStart w:id="233" w:name="_Toc279701263"/>
      <w:bookmarkStart w:id="234" w:name="_Toc10330"/>
      <w:bookmarkStart w:id="235" w:name="_Toc259093692"/>
      <w:bookmarkStart w:id="236" w:name="_Toc18567"/>
      <w:bookmarkStart w:id="237" w:name="_Toc487900373"/>
      <w:r>
        <w:rPr>
          <w:rFonts w:hint="eastAsia" w:ascii="宋体" w:hAnsi="宋体"/>
          <w:b/>
          <w:bCs/>
          <w:color w:val="auto"/>
          <w:szCs w:val="21"/>
          <w:highlight w:val="none"/>
        </w:rPr>
        <w:t>2.</w:t>
      </w:r>
      <w:r>
        <w:rPr>
          <w:rFonts w:ascii="宋体" w:hAnsi="宋体"/>
          <w:b/>
          <w:bCs/>
          <w:color w:val="auto"/>
          <w:szCs w:val="21"/>
          <w:highlight w:val="none"/>
        </w:rPr>
        <w:t>16</w:t>
      </w:r>
      <w:r>
        <w:rPr>
          <w:rFonts w:hint="eastAsia" w:ascii="宋体" w:hAnsi="宋体"/>
          <w:b/>
          <w:bCs/>
          <w:color w:val="auto"/>
          <w:szCs w:val="21"/>
          <w:highlight w:val="none"/>
        </w:rPr>
        <w:t xml:space="preserve"> </w:t>
      </w:r>
      <w:r>
        <w:rPr>
          <w:rFonts w:hint="eastAsia" w:ascii="宋体" w:hAnsi="宋体"/>
          <w:b/>
          <w:bCs/>
          <w:color w:val="auto"/>
          <w:szCs w:val="21"/>
          <w:highlight w:val="none"/>
          <w:lang w:val="zh-CN"/>
        </w:rPr>
        <w:t>合同使用的文字和</w:t>
      </w:r>
      <w:r>
        <w:rPr>
          <w:rFonts w:ascii="宋体" w:hAnsi="宋体"/>
          <w:b/>
          <w:bCs/>
          <w:color w:val="auto"/>
          <w:szCs w:val="21"/>
          <w:highlight w:val="none"/>
          <w:lang w:val="zh-CN"/>
        </w:rPr>
        <w:t>适用的法律</w:t>
      </w:r>
      <w:bookmarkEnd w:id="232"/>
      <w:bookmarkEnd w:id="233"/>
      <w:bookmarkEnd w:id="234"/>
      <w:bookmarkEnd w:id="235"/>
      <w:bookmarkEnd w:id="236"/>
      <w:bookmarkEnd w:id="237"/>
    </w:p>
    <w:p w14:paraId="6D12A6B9">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16.1合同使用汉语</w:t>
      </w:r>
      <w:r>
        <w:rPr>
          <w:rFonts w:hint="eastAsia" w:ascii="宋体" w:hAnsi="宋体"/>
          <w:color w:val="auto"/>
          <w:szCs w:val="21"/>
          <w:highlight w:val="none"/>
        </w:rPr>
        <w:t>进行</w:t>
      </w:r>
      <w:r>
        <w:rPr>
          <w:rFonts w:ascii="宋体" w:hAnsi="宋体"/>
          <w:color w:val="auto"/>
          <w:szCs w:val="21"/>
          <w:highlight w:val="none"/>
        </w:rPr>
        <w:t>书</w:t>
      </w:r>
      <w:r>
        <w:rPr>
          <w:rFonts w:hint="eastAsia" w:ascii="宋体" w:hAnsi="宋体"/>
          <w:color w:val="auto"/>
          <w:szCs w:val="21"/>
          <w:highlight w:val="none"/>
        </w:rPr>
        <w:t>写、</w:t>
      </w:r>
      <w:r>
        <w:rPr>
          <w:rFonts w:ascii="宋体" w:hAnsi="宋体"/>
          <w:color w:val="auto"/>
          <w:szCs w:val="21"/>
          <w:highlight w:val="none"/>
        </w:rPr>
        <w:t>变更和解释</w:t>
      </w:r>
      <w:r>
        <w:rPr>
          <w:rFonts w:hint="eastAsia" w:ascii="宋体" w:hAnsi="宋体"/>
          <w:color w:val="auto"/>
          <w:szCs w:val="21"/>
          <w:highlight w:val="none"/>
        </w:rPr>
        <w:t>；</w:t>
      </w:r>
    </w:p>
    <w:p w14:paraId="036E9096">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16</w:t>
      </w:r>
      <w:r>
        <w:rPr>
          <w:rFonts w:hint="eastAsia" w:ascii="宋体" w:hAnsi="宋体"/>
          <w:color w:val="auto"/>
          <w:szCs w:val="21"/>
          <w:highlight w:val="none"/>
        </w:rPr>
        <w:t>.2合同适用</w:t>
      </w:r>
      <w:r>
        <w:rPr>
          <w:rFonts w:ascii="宋体" w:hAnsi="宋体"/>
          <w:color w:val="auto"/>
          <w:szCs w:val="21"/>
          <w:highlight w:val="none"/>
        </w:rPr>
        <w:t>中华人民共和国法律。</w:t>
      </w:r>
    </w:p>
    <w:p w14:paraId="2BE92C02">
      <w:pPr>
        <w:spacing w:line="360" w:lineRule="auto"/>
        <w:ind w:firstLine="437"/>
        <w:outlineLvl w:val="3"/>
        <w:rPr>
          <w:rFonts w:ascii="宋体" w:hAnsi="宋体"/>
          <w:b/>
          <w:color w:val="auto"/>
          <w:szCs w:val="21"/>
          <w:highlight w:val="none"/>
        </w:rPr>
      </w:pPr>
      <w:bookmarkStart w:id="238" w:name="_Toc14001"/>
      <w:bookmarkStart w:id="239" w:name="_Toc19890"/>
      <w:bookmarkStart w:id="240" w:name="_Toc6885"/>
      <w:r>
        <w:rPr>
          <w:rFonts w:hint="eastAsia" w:ascii="宋体" w:hAnsi="宋体"/>
          <w:b/>
          <w:bCs/>
          <w:color w:val="auto"/>
          <w:szCs w:val="21"/>
          <w:highlight w:val="none"/>
          <w:lang w:val="zh-CN"/>
        </w:rPr>
        <w:t>2.</w:t>
      </w:r>
      <w:r>
        <w:rPr>
          <w:rFonts w:ascii="宋体" w:hAnsi="宋体"/>
          <w:b/>
          <w:bCs/>
          <w:color w:val="auto"/>
          <w:szCs w:val="21"/>
          <w:highlight w:val="none"/>
          <w:lang w:val="zh-CN"/>
        </w:rPr>
        <w:t>1</w:t>
      </w:r>
      <w:r>
        <w:rPr>
          <w:rFonts w:hint="eastAsia" w:ascii="宋体" w:hAnsi="宋体"/>
          <w:b/>
          <w:bCs/>
          <w:color w:val="auto"/>
          <w:szCs w:val="21"/>
          <w:highlight w:val="none"/>
        </w:rPr>
        <w:t>7</w:t>
      </w:r>
      <w:r>
        <w:rPr>
          <w:rFonts w:hint="eastAsia" w:ascii="宋体" w:hAnsi="宋体"/>
          <w:b/>
          <w:bCs/>
          <w:color w:val="auto"/>
          <w:szCs w:val="21"/>
          <w:highlight w:val="none"/>
          <w:lang w:val="zh-CN"/>
        </w:rPr>
        <w:t xml:space="preserve"> 合同份数</w:t>
      </w:r>
      <w:bookmarkEnd w:id="238"/>
      <w:bookmarkEnd w:id="239"/>
      <w:bookmarkEnd w:id="240"/>
    </w:p>
    <w:p w14:paraId="78B63205">
      <w:pPr>
        <w:spacing w:line="360" w:lineRule="auto"/>
        <w:ind w:firstLine="435"/>
        <w:rPr>
          <w:rFonts w:ascii="宋体" w:hAnsi="宋体"/>
          <w:color w:val="auto"/>
          <w:szCs w:val="21"/>
          <w:highlight w:val="none"/>
        </w:rPr>
      </w:pPr>
      <w:r>
        <w:rPr>
          <w:rFonts w:ascii="宋体" w:hAnsi="宋体"/>
          <w:color w:val="auto"/>
          <w:szCs w:val="21"/>
          <w:highlight w:val="none"/>
        </w:rPr>
        <w:t>合同份数按</w:t>
      </w:r>
      <w:r>
        <w:rPr>
          <w:rFonts w:ascii="宋体" w:hAnsi="宋体"/>
          <w:b/>
          <w:i/>
          <w:color w:val="auto"/>
          <w:szCs w:val="21"/>
          <w:highlight w:val="none"/>
          <w:u w:val="single"/>
        </w:rPr>
        <w:t>合同专用条款</w:t>
      </w:r>
      <w:r>
        <w:rPr>
          <w:rFonts w:ascii="宋体" w:hAnsi="宋体"/>
          <w:color w:val="auto"/>
          <w:szCs w:val="21"/>
          <w:highlight w:val="none"/>
        </w:rPr>
        <w:t>规定</w:t>
      </w:r>
      <w:r>
        <w:rPr>
          <w:rFonts w:hint="eastAsia" w:ascii="宋体" w:hAnsi="宋体"/>
          <w:color w:val="auto"/>
          <w:szCs w:val="21"/>
          <w:highlight w:val="none"/>
        </w:rPr>
        <w:t>，</w:t>
      </w:r>
      <w:r>
        <w:rPr>
          <w:rFonts w:ascii="宋体" w:hAnsi="宋体"/>
          <w:color w:val="auto"/>
          <w:szCs w:val="21"/>
          <w:highlight w:val="none"/>
        </w:rPr>
        <w:t>每份均具有同等法律效力</w:t>
      </w:r>
      <w:r>
        <w:rPr>
          <w:rFonts w:hint="eastAsia" w:ascii="宋体" w:hAnsi="宋体"/>
          <w:color w:val="auto"/>
          <w:szCs w:val="21"/>
          <w:highlight w:val="none"/>
        </w:rPr>
        <w:t>。</w:t>
      </w:r>
    </w:p>
    <w:p w14:paraId="4C7EB6A0">
      <w:pPr>
        <w:spacing w:line="360" w:lineRule="auto"/>
        <w:jc w:val="center"/>
        <w:outlineLvl w:val="2"/>
        <w:rPr>
          <w:rFonts w:hint="eastAsia" w:ascii="宋体" w:hAnsi="宋体"/>
          <w:b/>
          <w:color w:val="auto"/>
          <w:szCs w:val="21"/>
          <w:highlight w:val="none"/>
        </w:rPr>
      </w:pPr>
      <w:bookmarkStart w:id="241" w:name="_Toc331685784"/>
    </w:p>
    <w:p w14:paraId="21EAAAA7">
      <w:pPr>
        <w:spacing w:line="360" w:lineRule="auto"/>
        <w:jc w:val="center"/>
        <w:outlineLvl w:val="2"/>
        <w:rPr>
          <w:rFonts w:ascii="宋体" w:hAnsi="宋体"/>
          <w:b/>
          <w:color w:val="auto"/>
          <w:szCs w:val="21"/>
          <w:highlight w:val="none"/>
        </w:rPr>
      </w:pPr>
      <w:r>
        <w:rPr>
          <w:rFonts w:hint="eastAsia" w:ascii="宋体" w:hAnsi="宋体"/>
          <w:b/>
          <w:color w:val="auto"/>
          <w:szCs w:val="21"/>
          <w:highlight w:val="none"/>
        </w:rPr>
        <w:t>第三部分</w:t>
      </w:r>
      <w:r>
        <w:rPr>
          <w:rFonts w:ascii="宋体" w:hAnsi="宋体"/>
          <w:b/>
          <w:color w:val="auto"/>
          <w:szCs w:val="21"/>
          <w:highlight w:val="none"/>
        </w:rPr>
        <w:t xml:space="preserve"> </w:t>
      </w:r>
      <w:r>
        <w:rPr>
          <w:rFonts w:hint="eastAsia" w:ascii="宋体" w:hAnsi="宋体"/>
          <w:b/>
          <w:color w:val="auto"/>
          <w:szCs w:val="21"/>
          <w:highlight w:val="none"/>
        </w:rPr>
        <w:t>合同专用条款</w:t>
      </w:r>
    </w:p>
    <w:p w14:paraId="5D48AA3D">
      <w:pPr>
        <w:spacing w:line="360" w:lineRule="auto"/>
        <w:ind w:firstLine="435"/>
        <w:rPr>
          <w:rFonts w:ascii="宋体" w:hAnsi="宋体"/>
          <w:color w:val="auto"/>
          <w:szCs w:val="21"/>
          <w:highlight w:val="none"/>
        </w:rPr>
      </w:pPr>
      <w:r>
        <w:rPr>
          <w:rFonts w:hint="eastAsia" w:ascii="宋体" w:hAnsi="宋体"/>
          <w:color w:val="auto"/>
          <w:szCs w:val="21"/>
          <w:highlight w:val="none"/>
        </w:rPr>
        <w:t>本部分</w:t>
      </w:r>
      <w:r>
        <w:rPr>
          <w:rFonts w:ascii="宋体" w:hAnsi="宋体"/>
          <w:color w:val="auto"/>
          <w:szCs w:val="21"/>
          <w:highlight w:val="none"/>
        </w:rPr>
        <w:t>是对</w:t>
      </w:r>
      <w:r>
        <w:rPr>
          <w:rFonts w:hint="eastAsia" w:ascii="宋体" w:hAnsi="宋体"/>
          <w:color w:val="auto"/>
          <w:szCs w:val="21"/>
          <w:highlight w:val="none"/>
        </w:rPr>
        <w:t>前两</w:t>
      </w:r>
      <w:r>
        <w:rPr>
          <w:rFonts w:ascii="宋体" w:hAnsi="宋体"/>
          <w:color w:val="auto"/>
          <w:szCs w:val="21"/>
          <w:highlight w:val="none"/>
        </w:rPr>
        <w:t>部分的补充和修改</w:t>
      </w:r>
      <w:r>
        <w:rPr>
          <w:rFonts w:hint="eastAsia" w:ascii="宋体" w:hAnsi="宋体"/>
          <w:color w:val="auto"/>
          <w:szCs w:val="21"/>
          <w:highlight w:val="none"/>
        </w:rPr>
        <w:t>，</w:t>
      </w:r>
      <w:r>
        <w:rPr>
          <w:rFonts w:ascii="宋体" w:hAnsi="宋体"/>
          <w:color w:val="auto"/>
          <w:szCs w:val="21"/>
          <w:highlight w:val="none"/>
        </w:rPr>
        <w:t>如果</w:t>
      </w:r>
      <w:r>
        <w:rPr>
          <w:rFonts w:hint="eastAsia" w:ascii="宋体" w:hAnsi="宋体"/>
          <w:color w:val="auto"/>
          <w:szCs w:val="21"/>
          <w:highlight w:val="none"/>
        </w:rPr>
        <w:t>前两</w:t>
      </w:r>
      <w:r>
        <w:rPr>
          <w:rFonts w:ascii="宋体" w:hAnsi="宋体"/>
          <w:color w:val="auto"/>
          <w:szCs w:val="21"/>
          <w:highlight w:val="none"/>
        </w:rPr>
        <w:t>部分和本部分的约定不一致</w:t>
      </w:r>
      <w:r>
        <w:rPr>
          <w:rFonts w:hint="eastAsia" w:ascii="宋体" w:hAnsi="宋体"/>
          <w:color w:val="auto"/>
          <w:szCs w:val="21"/>
          <w:highlight w:val="none"/>
        </w:rPr>
        <w:t>，</w:t>
      </w:r>
      <w:r>
        <w:rPr>
          <w:rFonts w:ascii="宋体" w:hAnsi="宋体"/>
          <w:color w:val="auto"/>
          <w:szCs w:val="21"/>
          <w:highlight w:val="none"/>
        </w:rPr>
        <w:t>应以本部分的约定为准</w:t>
      </w:r>
      <w:r>
        <w:rPr>
          <w:rFonts w:hint="eastAsia" w:ascii="宋体" w:hAnsi="宋体"/>
          <w:color w:val="auto"/>
          <w:szCs w:val="21"/>
          <w:highlight w:val="none"/>
        </w:rPr>
        <w:t>。</w:t>
      </w:r>
      <w:r>
        <w:rPr>
          <w:rFonts w:ascii="宋体" w:hAnsi="宋体"/>
          <w:color w:val="auto"/>
          <w:szCs w:val="21"/>
          <w:highlight w:val="none"/>
        </w:rPr>
        <w:t>本部分的条款号应与</w:t>
      </w:r>
      <w:r>
        <w:rPr>
          <w:rFonts w:hint="eastAsia" w:ascii="宋体" w:hAnsi="宋体"/>
          <w:color w:val="auto"/>
          <w:szCs w:val="21"/>
          <w:highlight w:val="none"/>
        </w:rPr>
        <w:t>前两部分</w:t>
      </w:r>
      <w:r>
        <w:rPr>
          <w:rFonts w:ascii="宋体" w:hAnsi="宋体"/>
          <w:color w:val="auto"/>
          <w:szCs w:val="21"/>
          <w:highlight w:val="none"/>
        </w:rPr>
        <w:t>的条款号保持对应</w:t>
      </w:r>
      <w:r>
        <w:rPr>
          <w:rFonts w:hint="eastAsia" w:ascii="宋体" w:hAnsi="宋体"/>
          <w:color w:val="auto"/>
          <w:szCs w:val="21"/>
          <w:highlight w:val="none"/>
        </w:rPr>
        <w:t>；与前两部分</w:t>
      </w:r>
      <w:r>
        <w:rPr>
          <w:rFonts w:ascii="宋体" w:hAnsi="宋体"/>
          <w:color w:val="auto"/>
          <w:szCs w:val="21"/>
          <w:highlight w:val="none"/>
        </w:rPr>
        <w:t>无对应关系的内容可另行编制条款号</w:t>
      </w:r>
      <w:r>
        <w:rPr>
          <w:rFonts w:hint="eastAsia" w:ascii="宋体" w:hAnsi="宋体"/>
          <w:color w:val="auto"/>
          <w:szCs w:val="21"/>
          <w:highlight w:val="none"/>
        </w:rPr>
        <w:t>。</w:t>
      </w:r>
    </w:p>
    <w:tbl>
      <w:tblPr>
        <w:tblStyle w:val="3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93"/>
        <w:gridCol w:w="7569"/>
      </w:tblGrid>
      <w:tr w14:paraId="3FC1BD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793" w:type="dxa"/>
            <w:tcBorders>
              <w:left w:val="single" w:color="auto" w:sz="4" w:space="0"/>
            </w:tcBorders>
            <w:noWrap w:val="0"/>
            <w:vAlign w:val="center"/>
          </w:tcPr>
          <w:p w14:paraId="2A3CCBF8">
            <w:pPr>
              <w:jc w:val="center"/>
              <w:rPr>
                <w:rFonts w:ascii="宋体" w:hAnsi="宋体"/>
                <w:b/>
                <w:color w:val="auto"/>
                <w:szCs w:val="21"/>
                <w:highlight w:val="none"/>
              </w:rPr>
            </w:pPr>
            <w:r>
              <w:rPr>
                <w:rFonts w:ascii="宋体" w:hAnsi="宋体"/>
                <w:b/>
                <w:color w:val="auto"/>
                <w:szCs w:val="21"/>
                <w:highlight w:val="none"/>
              </w:rPr>
              <w:t>条款号</w:t>
            </w:r>
          </w:p>
        </w:tc>
        <w:tc>
          <w:tcPr>
            <w:tcW w:w="7569" w:type="dxa"/>
            <w:noWrap w:val="0"/>
            <w:vAlign w:val="center"/>
          </w:tcPr>
          <w:p w14:paraId="47DF0DAC">
            <w:pPr>
              <w:jc w:val="center"/>
              <w:rPr>
                <w:rFonts w:ascii="宋体" w:hAnsi="宋体"/>
                <w:b/>
                <w:color w:val="auto"/>
                <w:szCs w:val="21"/>
                <w:highlight w:val="none"/>
              </w:rPr>
            </w:pPr>
            <w:r>
              <w:rPr>
                <w:rFonts w:ascii="宋体" w:hAnsi="宋体"/>
                <w:b/>
                <w:color w:val="auto"/>
                <w:szCs w:val="21"/>
                <w:highlight w:val="none"/>
              </w:rPr>
              <w:t>约定内容</w:t>
            </w:r>
          </w:p>
        </w:tc>
      </w:tr>
      <w:tr w14:paraId="2B20C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793" w:type="dxa"/>
            <w:tcBorders>
              <w:left w:val="single" w:color="auto" w:sz="4" w:space="0"/>
            </w:tcBorders>
            <w:noWrap w:val="0"/>
            <w:vAlign w:val="center"/>
          </w:tcPr>
          <w:p w14:paraId="6D715B38">
            <w:pPr>
              <w:spacing w:line="560" w:lineRule="exact"/>
              <w:rPr>
                <w:rFonts w:ascii="宋体" w:hAnsi="宋体"/>
                <w:color w:val="auto"/>
                <w:szCs w:val="21"/>
                <w:highlight w:val="none"/>
              </w:rPr>
            </w:pPr>
          </w:p>
        </w:tc>
        <w:tc>
          <w:tcPr>
            <w:tcW w:w="7569" w:type="dxa"/>
            <w:noWrap w:val="0"/>
            <w:vAlign w:val="center"/>
          </w:tcPr>
          <w:p w14:paraId="2BD0B819">
            <w:pPr>
              <w:spacing w:line="560" w:lineRule="exact"/>
              <w:rPr>
                <w:rFonts w:ascii="宋体" w:hAnsi="宋体"/>
                <w:color w:val="auto"/>
                <w:szCs w:val="21"/>
                <w:highlight w:val="none"/>
              </w:rPr>
            </w:pPr>
          </w:p>
        </w:tc>
      </w:tr>
      <w:tr w14:paraId="6017A2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2B6CB984">
            <w:pPr>
              <w:spacing w:line="560" w:lineRule="exact"/>
              <w:rPr>
                <w:rFonts w:ascii="宋体" w:hAnsi="宋体"/>
                <w:color w:val="auto"/>
                <w:szCs w:val="21"/>
                <w:highlight w:val="none"/>
              </w:rPr>
            </w:pPr>
          </w:p>
        </w:tc>
        <w:tc>
          <w:tcPr>
            <w:tcW w:w="7569" w:type="dxa"/>
            <w:noWrap w:val="0"/>
            <w:vAlign w:val="center"/>
          </w:tcPr>
          <w:p w14:paraId="3E2F0481">
            <w:pPr>
              <w:spacing w:line="560" w:lineRule="exact"/>
              <w:rPr>
                <w:rFonts w:ascii="宋体" w:hAnsi="宋体"/>
                <w:color w:val="auto"/>
                <w:szCs w:val="21"/>
                <w:highlight w:val="none"/>
              </w:rPr>
            </w:pPr>
          </w:p>
        </w:tc>
      </w:tr>
      <w:tr w14:paraId="0BA864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0AA2AE1F">
            <w:pPr>
              <w:spacing w:line="560" w:lineRule="exact"/>
              <w:rPr>
                <w:rFonts w:ascii="宋体" w:hAnsi="宋体"/>
                <w:color w:val="auto"/>
                <w:szCs w:val="21"/>
                <w:highlight w:val="none"/>
              </w:rPr>
            </w:pPr>
          </w:p>
        </w:tc>
        <w:tc>
          <w:tcPr>
            <w:tcW w:w="7569" w:type="dxa"/>
            <w:noWrap w:val="0"/>
            <w:vAlign w:val="center"/>
          </w:tcPr>
          <w:p w14:paraId="73363F10">
            <w:pPr>
              <w:spacing w:line="560" w:lineRule="exact"/>
              <w:rPr>
                <w:rFonts w:ascii="宋体" w:hAnsi="宋体"/>
                <w:color w:val="auto"/>
                <w:szCs w:val="21"/>
                <w:highlight w:val="none"/>
              </w:rPr>
            </w:pPr>
          </w:p>
        </w:tc>
      </w:tr>
      <w:tr w14:paraId="1913E8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6D1DB661">
            <w:pPr>
              <w:spacing w:line="560" w:lineRule="exact"/>
              <w:rPr>
                <w:rFonts w:ascii="宋体" w:hAnsi="宋体"/>
                <w:color w:val="auto"/>
                <w:szCs w:val="21"/>
                <w:highlight w:val="none"/>
              </w:rPr>
            </w:pPr>
          </w:p>
        </w:tc>
        <w:tc>
          <w:tcPr>
            <w:tcW w:w="7569" w:type="dxa"/>
            <w:noWrap w:val="0"/>
            <w:vAlign w:val="center"/>
          </w:tcPr>
          <w:p w14:paraId="549098F2">
            <w:pPr>
              <w:spacing w:line="560" w:lineRule="exact"/>
              <w:rPr>
                <w:rFonts w:ascii="宋体" w:hAnsi="宋体"/>
                <w:color w:val="auto"/>
                <w:szCs w:val="21"/>
                <w:highlight w:val="none"/>
              </w:rPr>
            </w:pPr>
          </w:p>
        </w:tc>
      </w:tr>
      <w:tr w14:paraId="2EFC9C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72DEBDAD">
            <w:pPr>
              <w:spacing w:line="560" w:lineRule="exact"/>
              <w:rPr>
                <w:rFonts w:ascii="宋体" w:hAnsi="宋体"/>
                <w:color w:val="auto"/>
                <w:szCs w:val="21"/>
                <w:highlight w:val="none"/>
              </w:rPr>
            </w:pPr>
          </w:p>
        </w:tc>
        <w:tc>
          <w:tcPr>
            <w:tcW w:w="7569" w:type="dxa"/>
            <w:noWrap w:val="0"/>
            <w:vAlign w:val="center"/>
          </w:tcPr>
          <w:p w14:paraId="6BEB4CC0">
            <w:pPr>
              <w:spacing w:line="560" w:lineRule="exact"/>
              <w:rPr>
                <w:rFonts w:ascii="宋体" w:hAnsi="宋体"/>
                <w:color w:val="auto"/>
                <w:szCs w:val="21"/>
                <w:highlight w:val="none"/>
                <w:u w:val="single"/>
              </w:rPr>
            </w:pPr>
          </w:p>
        </w:tc>
      </w:tr>
      <w:tr w14:paraId="62C99B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0E474E3A">
            <w:pPr>
              <w:spacing w:line="560" w:lineRule="exact"/>
              <w:rPr>
                <w:rFonts w:ascii="宋体" w:hAnsi="宋体"/>
                <w:color w:val="auto"/>
                <w:szCs w:val="21"/>
                <w:highlight w:val="none"/>
              </w:rPr>
            </w:pPr>
          </w:p>
        </w:tc>
        <w:tc>
          <w:tcPr>
            <w:tcW w:w="7569" w:type="dxa"/>
            <w:noWrap w:val="0"/>
            <w:vAlign w:val="center"/>
          </w:tcPr>
          <w:p w14:paraId="5B777970">
            <w:pPr>
              <w:spacing w:line="560" w:lineRule="exact"/>
              <w:rPr>
                <w:rFonts w:ascii="宋体" w:hAnsi="宋体"/>
                <w:color w:val="auto"/>
                <w:szCs w:val="21"/>
                <w:highlight w:val="none"/>
              </w:rPr>
            </w:pPr>
          </w:p>
        </w:tc>
      </w:tr>
      <w:tr w14:paraId="7E4A4E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72B0C138">
            <w:pPr>
              <w:spacing w:line="560" w:lineRule="exact"/>
              <w:rPr>
                <w:rFonts w:ascii="宋体" w:hAnsi="宋体"/>
                <w:color w:val="auto"/>
                <w:szCs w:val="21"/>
                <w:highlight w:val="none"/>
              </w:rPr>
            </w:pPr>
          </w:p>
        </w:tc>
        <w:tc>
          <w:tcPr>
            <w:tcW w:w="7569" w:type="dxa"/>
            <w:noWrap w:val="0"/>
            <w:vAlign w:val="center"/>
          </w:tcPr>
          <w:p w14:paraId="23AFCF6F">
            <w:pPr>
              <w:spacing w:line="560" w:lineRule="exact"/>
              <w:rPr>
                <w:rFonts w:ascii="宋体" w:hAnsi="宋体"/>
                <w:color w:val="auto"/>
                <w:szCs w:val="21"/>
                <w:highlight w:val="none"/>
                <w:u w:val="single"/>
              </w:rPr>
            </w:pPr>
          </w:p>
        </w:tc>
      </w:tr>
      <w:tr w14:paraId="5DC905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6DAFCAF5">
            <w:pPr>
              <w:spacing w:line="560" w:lineRule="exact"/>
              <w:rPr>
                <w:rFonts w:ascii="宋体" w:hAnsi="宋体"/>
                <w:color w:val="auto"/>
                <w:szCs w:val="21"/>
                <w:highlight w:val="none"/>
              </w:rPr>
            </w:pPr>
          </w:p>
        </w:tc>
        <w:tc>
          <w:tcPr>
            <w:tcW w:w="7569" w:type="dxa"/>
            <w:noWrap w:val="0"/>
            <w:vAlign w:val="center"/>
          </w:tcPr>
          <w:p w14:paraId="7CA38C23">
            <w:pPr>
              <w:spacing w:line="560" w:lineRule="exact"/>
              <w:rPr>
                <w:rFonts w:ascii="宋体" w:hAnsi="宋体"/>
                <w:color w:val="auto"/>
                <w:szCs w:val="21"/>
                <w:highlight w:val="none"/>
              </w:rPr>
            </w:pPr>
          </w:p>
        </w:tc>
      </w:tr>
      <w:tr w14:paraId="627C02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5A5E4C6A">
            <w:pPr>
              <w:spacing w:line="560" w:lineRule="exact"/>
              <w:rPr>
                <w:rFonts w:ascii="宋体" w:hAnsi="宋体"/>
                <w:color w:val="auto"/>
                <w:szCs w:val="21"/>
                <w:highlight w:val="none"/>
              </w:rPr>
            </w:pPr>
          </w:p>
        </w:tc>
        <w:tc>
          <w:tcPr>
            <w:tcW w:w="7569" w:type="dxa"/>
            <w:noWrap w:val="0"/>
            <w:vAlign w:val="center"/>
          </w:tcPr>
          <w:p w14:paraId="140C9C94">
            <w:pPr>
              <w:spacing w:line="560" w:lineRule="exact"/>
              <w:rPr>
                <w:rFonts w:ascii="宋体" w:hAnsi="宋体"/>
                <w:color w:val="auto"/>
                <w:szCs w:val="21"/>
                <w:highlight w:val="none"/>
              </w:rPr>
            </w:pPr>
          </w:p>
        </w:tc>
      </w:tr>
      <w:tr w14:paraId="25C92C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62538ED5">
            <w:pPr>
              <w:spacing w:line="560" w:lineRule="exact"/>
              <w:rPr>
                <w:rFonts w:ascii="宋体" w:hAnsi="宋体"/>
                <w:color w:val="auto"/>
                <w:szCs w:val="21"/>
                <w:highlight w:val="none"/>
              </w:rPr>
            </w:pPr>
          </w:p>
        </w:tc>
        <w:tc>
          <w:tcPr>
            <w:tcW w:w="7569" w:type="dxa"/>
            <w:noWrap w:val="0"/>
            <w:vAlign w:val="center"/>
          </w:tcPr>
          <w:p w14:paraId="063938F6">
            <w:pPr>
              <w:spacing w:line="560" w:lineRule="exact"/>
              <w:rPr>
                <w:rFonts w:ascii="宋体" w:hAnsi="宋体"/>
                <w:color w:val="auto"/>
                <w:szCs w:val="21"/>
                <w:highlight w:val="none"/>
              </w:rPr>
            </w:pPr>
          </w:p>
        </w:tc>
      </w:tr>
      <w:tr w14:paraId="535CEB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14:paraId="188B4E4C">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14:paraId="78D652CE">
            <w:pPr>
              <w:spacing w:line="560" w:lineRule="exact"/>
              <w:rPr>
                <w:rFonts w:ascii="宋体" w:hAnsi="宋体"/>
                <w:color w:val="auto"/>
                <w:szCs w:val="21"/>
                <w:highlight w:val="none"/>
              </w:rPr>
            </w:pPr>
          </w:p>
        </w:tc>
      </w:tr>
      <w:tr w14:paraId="2F391E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14:paraId="3AC9EDF9">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14:paraId="693A1361">
            <w:pPr>
              <w:spacing w:line="560" w:lineRule="exact"/>
              <w:rPr>
                <w:rFonts w:ascii="宋体" w:hAnsi="宋体"/>
                <w:color w:val="auto"/>
                <w:szCs w:val="21"/>
                <w:highlight w:val="none"/>
              </w:rPr>
            </w:pPr>
          </w:p>
        </w:tc>
      </w:tr>
    </w:tbl>
    <w:p w14:paraId="3B7F6E2C">
      <w:pPr>
        <w:rPr>
          <w:rFonts w:hint="eastAsia" w:ascii="宋体" w:hAnsi="宋体"/>
          <w:b/>
          <w:color w:val="auto"/>
          <w:szCs w:val="21"/>
          <w:highlight w:val="none"/>
        </w:rPr>
      </w:pPr>
    </w:p>
    <w:bookmarkEnd w:id="241"/>
    <w:p w14:paraId="70CFF35D">
      <w:pPr>
        <w:numPr>
          <w:ilvl w:val="0"/>
          <w:numId w:val="0"/>
        </w:numPr>
        <w:spacing w:before="156" w:beforeLines="50" w:after="156" w:afterLines="50"/>
        <w:jc w:val="both"/>
        <w:outlineLvl w:val="0"/>
        <w:rPr>
          <w:rFonts w:hint="default" w:ascii="宋体"/>
          <w:b/>
          <w:color w:val="auto"/>
          <w:sz w:val="32"/>
          <w:szCs w:val="32"/>
          <w:highlight w:val="none"/>
          <w:lang w:val="en-US" w:eastAsia="zh-CN"/>
        </w:rPr>
      </w:pPr>
    </w:p>
    <w:p w14:paraId="5AACFC35">
      <w:pPr>
        <w:rPr>
          <w:rFonts w:hint="eastAsia" w:ascii="宋体"/>
          <w:b/>
          <w:color w:val="auto"/>
          <w:sz w:val="32"/>
          <w:szCs w:val="32"/>
          <w:highlight w:val="none"/>
        </w:rPr>
      </w:pPr>
    </w:p>
    <w:p w14:paraId="0D3796FB">
      <w:pPr>
        <w:rPr>
          <w:rFonts w:hint="eastAsia" w:ascii="宋体"/>
          <w:b/>
          <w:color w:val="auto"/>
          <w:sz w:val="32"/>
          <w:szCs w:val="32"/>
          <w:highlight w:val="none"/>
        </w:rPr>
      </w:pPr>
      <w:r>
        <w:rPr>
          <w:rFonts w:hint="eastAsia" w:ascii="宋体"/>
          <w:b/>
          <w:color w:val="auto"/>
          <w:sz w:val="32"/>
          <w:szCs w:val="32"/>
          <w:highlight w:val="none"/>
        </w:rPr>
        <w:br w:type="page"/>
      </w:r>
    </w:p>
    <w:p w14:paraId="0943F345">
      <w:pPr>
        <w:spacing w:before="156" w:beforeLines="50" w:after="156" w:afterLines="50"/>
        <w:jc w:val="center"/>
        <w:outlineLvl w:val="0"/>
        <w:rPr>
          <w:rFonts w:hint="eastAsia" w:ascii="宋体"/>
          <w:b/>
          <w:color w:val="auto"/>
          <w:sz w:val="32"/>
          <w:szCs w:val="32"/>
          <w:highlight w:val="none"/>
        </w:rPr>
      </w:pPr>
    </w:p>
    <w:p w14:paraId="3EE927C0">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w:t>
      </w:r>
      <w:r>
        <w:rPr>
          <w:rFonts w:hint="eastAsia" w:ascii="宋体"/>
          <w:b/>
          <w:color w:val="auto"/>
          <w:sz w:val="32"/>
          <w:szCs w:val="32"/>
          <w:highlight w:val="none"/>
          <w:lang w:val="en-US" w:eastAsia="zh-CN"/>
        </w:rPr>
        <w:t>六</w:t>
      </w:r>
      <w:r>
        <w:rPr>
          <w:rFonts w:hint="eastAsia" w:ascii="宋体"/>
          <w:b/>
          <w:color w:val="auto"/>
          <w:sz w:val="32"/>
          <w:szCs w:val="32"/>
          <w:highlight w:val="none"/>
        </w:rPr>
        <w:t>章  投标文件格式</w:t>
      </w:r>
    </w:p>
    <w:p w14:paraId="791FCB84">
      <w:pPr>
        <w:jc w:val="center"/>
        <w:rPr>
          <w:rFonts w:hint="eastAsia" w:eastAsia="黑体"/>
          <w:color w:val="auto"/>
          <w:sz w:val="20"/>
          <w:highlight w:val="none"/>
        </w:rPr>
      </w:pPr>
    </w:p>
    <w:p w14:paraId="20D9E584">
      <w:pPr>
        <w:rPr>
          <w:rFonts w:hint="eastAsia" w:eastAsia="黑体"/>
          <w:color w:val="auto"/>
          <w:sz w:val="20"/>
          <w:highlight w:val="none"/>
        </w:rPr>
      </w:pPr>
    </w:p>
    <w:p w14:paraId="26BA615C">
      <w:pPr>
        <w:rPr>
          <w:rFonts w:hint="eastAsia" w:eastAsia="黑体"/>
          <w:color w:val="auto"/>
          <w:sz w:val="20"/>
          <w:highlight w:val="none"/>
        </w:rPr>
      </w:pPr>
    </w:p>
    <w:p w14:paraId="59BF50A6">
      <w:pPr>
        <w:rPr>
          <w:rFonts w:hint="eastAsia" w:eastAsia="黑体"/>
          <w:color w:val="auto"/>
          <w:sz w:val="20"/>
          <w:highlight w:val="none"/>
        </w:rPr>
      </w:pPr>
    </w:p>
    <w:p w14:paraId="111F7EB4">
      <w:pPr>
        <w:jc w:val="center"/>
        <w:rPr>
          <w:rFonts w:hint="eastAsia" w:ascii="宋体"/>
          <w:b/>
          <w:color w:val="auto"/>
          <w:sz w:val="44"/>
          <w:szCs w:val="44"/>
          <w:highlight w:val="none"/>
        </w:rPr>
      </w:pPr>
      <w:bookmarkStart w:id="242" w:name="_Toc350698753"/>
      <w:bookmarkStart w:id="243" w:name="_Toc449028949"/>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242"/>
      <w:bookmarkEnd w:id="243"/>
    </w:p>
    <w:p w14:paraId="44FBAEDB">
      <w:pPr>
        <w:jc w:val="center"/>
        <w:rPr>
          <w:rFonts w:hint="eastAsia" w:eastAsia="黑体"/>
          <w:color w:val="auto"/>
          <w:sz w:val="44"/>
          <w:szCs w:val="44"/>
          <w:highlight w:val="none"/>
        </w:rPr>
      </w:pPr>
    </w:p>
    <w:p w14:paraId="007E0B5D">
      <w:pPr>
        <w:jc w:val="center"/>
        <w:rPr>
          <w:rFonts w:hint="eastAsia" w:eastAsia="黑体"/>
          <w:color w:val="auto"/>
          <w:sz w:val="44"/>
          <w:szCs w:val="44"/>
          <w:highlight w:val="none"/>
        </w:rPr>
      </w:pPr>
    </w:p>
    <w:p w14:paraId="406F5141">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044E7964">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74F092CF">
      <w:pPr>
        <w:rPr>
          <w:rFonts w:hint="eastAsia" w:ascii="宋体"/>
          <w:color w:val="auto"/>
          <w:sz w:val="28"/>
          <w:szCs w:val="28"/>
          <w:highlight w:val="none"/>
        </w:rPr>
      </w:pPr>
    </w:p>
    <w:p w14:paraId="693623AD">
      <w:pPr>
        <w:rPr>
          <w:rFonts w:hint="eastAsia" w:ascii="宋体"/>
          <w:color w:val="auto"/>
          <w:sz w:val="28"/>
          <w:szCs w:val="28"/>
          <w:highlight w:val="none"/>
        </w:rPr>
      </w:pPr>
    </w:p>
    <w:p w14:paraId="15066E9F">
      <w:pPr>
        <w:rPr>
          <w:rFonts w:hint="eastAsia" w:ascii="宋体"/>
          <w:color w:val="auto"/>
          <w:sz w:val="28"/>
          <w:szCs w:val="28"/>
          <w:highlight w:val="none"/>
        </w:rPr>
      </w:pPr>
    </w:p>
    <w:p w14:paraId="3B153BA2">
      <w:pPr>
        <w:rPr>
          <w:rFonts w:hint="eastAsia" w:ascii="宋体"/>
          <w:color w:val="auto"/>
          <w:sz w:val="28"/>
          <w:szCs w:val="28"/>
          <w:highlight w:val="none"/>
        </w:rPr>
      </w:pPr>
    </w:p>
    <w:p w14:paraId="578E02C8">
      <w:pPr>
        <w:rPr>
          <w:rFonts w:hint="eastAsia" w:ascii="宋体"/>
          <w:color w:val="auto"/>
          <w:sz w:val="28"/>
          <w:szCs w:val="28"/>
          <w:highlight w:val="none"/>
        </w:rPr>
      </w:pPr>
    </w:p>
    <w:p w14:paraId="7DB59497">
      <w:pPr>
        <w:rPr>
          <w:rFonts w:hint="eastAsia" w:ascii="宋体"/>
          <w:color w:val="auto"/>
          <w:sz w:val="28"/>
          <w:szCs w:val="28"/>
          <w:highlight w:val="none"/>
        </w:rPr>
      </w:pPr>
    </w:p>
    <w:p w14:paraId="77CB8CDE">
      <w:pPr>
        <w:rPr>
          <w:rFonts w:hint="eastAsia" w:ascii="宋体"/>
          <w:color w:val="auto"/>
          <w:sz w:val="28"/>
          <w:szCs w:val="28"/>
          <w:highlight w:val="none"/>
        </w:rPr>
      </w:pPr>
    </w:p>
    <w:p w14:paraId="6B14CD7D">
      <w:pPr>
        <w:jc w:val="center"/>
        <w:rPr>
          <w:rFonts w:hint="eastAsia" w:ascii="宋体"/>
          <w:color w:val="auto"/>
          <w:sz w:val="28"/>
          <w:szCs w:val="28"/>
          <w:highlight w:val="none"/>
          <w:u w:val="single"/>
        </w:rPr>
      </w:pPr>
      <w:r>
        <w:rPr>
          <w:rFonts w:hint="eastAsia" w:ascii="宋体"/>
          <w:color w:val="auto"/>
          <w:sz w:val="28"/>
          <w:szCs w:val="28"/>
          <w:highlight w:val="none"/>
          <w:lang w:val="en-US" w:eastAsia="zh-CN"/>
        </w:rPr>
        <w:t xml:space="preserve"> </w:t>
      </w: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6468AD52">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6DA08DB6">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55A38338">
      <w:pPr>
        <w:spacing w:line="720" w:lineRule="auto"/>
        <w:jc w:val="center"/>
        <w:rPr>
          <w:rFonts w:hint="eastAsia" w:ascii="宋体"/>
          <w:b/>
          <w:color w:val="auto"/>
          <w:sz w:val="36"/>
          <w:szCs w:val="36"/>
          <w:highlight w:val="none"/>
        </w:rPr>
      </w:pPr>
    </w:p>
    <w:p w14:paraId="77A6E1DE">
      <w:pPr>
        <w:spacing w:line="400" w:lineRule="exact"/>
        <w:ind w:firstLine="4130" w:firstLineChars="935"/>
        <w:rPr>
          <w:rFonts w:hint="eastAsia"/>
          <w:b/>
          <w:color w:val="auto"/>
          <w:sz w:val="44"/>
          <w:szCs w:val="44"/>
          <w:highlight w:val="none"/>
        </w:rPr>
      </w:pPr>
    </w:p>
    <w:p w14:paraId="61BDEB33">
      <w:pPr>
        <w:spacing w:line="400" w:lineRule="exact"/>
        <w:ind w:firstLine="4130" w:firstLineChars="935"/>
        <w:rPr>
          <w:rFonts w:hint="eastAsia"/>
          <w:b/>
          <w:color w:val="auto"/>
          <w:sz w:val="44"/>
          <w:szCs w:val="44"/>
          <w:highlight w:val="none"/>
        </w:rPr>
      </w:pPr>
    </w:p>
    <w:p w14:paraId="23465B1C">
      <w:pPr>
        <w:spacing w:line="400" w:lineRule="exact"/>
        <w:ind w:firstLine="4130" w:firstLineChars="935"/>
        <w:rPr>
          <w:rFonts w:hint="eastAsia"/>
          <w:b/>
          <w:color w:val="auto"/>
          <w:sz w:val="44"/>
          <w:szCs w:val="44"/>
          <w:highlight w:val="none"/>
        </w:rPr>
      </w:pPr>
    </w:p>
    <w:p w14:paraId="04461508">
      <w:pPr>
        <w:jc w:val="center"/>
        <w:rPr>
          <w:rFonts w:hint="eastAsia"/>
          <w:b/>
          <w:color w:val="auto"/>
          <w:sz w:val="44"/>
          <w:szCs w:val="44"/>
          <w:highlight w:val="none"/>
        </w:rPr>
      </w:pPr>
      <w:r>
        <w:rPr>
          <w:rFonts w:hint="eastAsia"/>
          <w:b/>
          <w:color w:val="auto"/>
          <w:sz w:val="36"/>
          <w:szCs w:val="36"/>
          <w:highlight w:val="none"/>
        </w:rPr>
        <w:t>目   录</w:t>
      </w:r>
    </w:p>
    <w:p w14:paraId="2883F3F2">
      <w:pPr>
        <w:spacing w:line="400" w:lineRule="exact"/>
        <w:ind w:firstLine="562" w:firstLineChars="200"/>
        <w:rPr>
          <w:rFonts w:hint="eastAsia"/>
          <w:b/>
          <w:color w:val="auto"/>
          <w:sz w:val="28"/>
          <w:szCs w:val="28"/>
          <w:highlight w:val="none"/>
        </w:rPr>
      </w:pPr>
    </w:p>
    <w:p w14:paraId="623DE625">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6340ED94">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2398527C">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3</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3B27469E">
      <w:pPr>
        <w:spacing w:line="500" w:lineRule="exact"/>
        <w:ind w:firstLine="420" w:firstLineChars="200"/>
        <w:jc w:val="left"/>
        <w:rPr>
          <w:rFonts w:hint="eastAsia" w:ascii="宋体" w:cs="Times New Roman"/>
          <w:color w:val="auto"/>
          <w:szCs w:val="21"/>
          <w:highlight w:val="none"/>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4）服务承诺书</w:t>
      </w:r>
      <w:r>
        <w:rPr>
          <w:rFonts w:hint="eastAsia" w:ascii="宋体"/>
          <w:color w:val="auto"/>
          <w:szCs w:val="21"/>
          <w:highlight w:val="none"/>
        </w:rPr>
        <w:t>（格式见附件）；</w:t>
      </w:r>
    </w:p>
    <w:p w14:paraId="0AFA8FEA">
      <w:pPr>
        <w:spacing w:line="440" w:lineRule="exact"/>
        <w:ind w:left="420"/>
        <w:rPr>
          <w:rFonts w:hint="eastAsia" w:ascii="宋体" w:eastAsia="宋体"/>
          <w:color w:val="auto"/>
          <w:szCs w:val="21"/>
          <w:highlight w:val="none"/>
        </w:rPr>
      </w:pPr>
      <w:r>
        <w:rPr>
          <w:rFonts w:hint="eastAsia" w:ascii="宋体" w:eastAsia="宋体"/>
          <w:color w:val="auto"/>
          <w:szCs w:val="21"/>
          <w:highlight w:val="none"/>
        </w:rPr>
        <w:t>（</w:t>
      </w:r>
      <w:r>
        <w:rPr>
          <w:rFonts w:hint="eastAsia" w:ascii="宋体"/>
          <w:color w:val="auto"/>
          <w:szCs w:val="21"/>
          <w:highlight w:val="none"/>
          <w:lang w:val="en-US" w:eastAsia="zh-CN"/>
        </w:rPr>
        <w:t>5</w:t>
      </w:r>
      <w:r>
        <w:rPr>
          <w:rFonts w:hint="eastAsia" w:ascii="宋体" w:eastAsia="宋体"/>
          <w:color w:val="auto"/>
          <w:szCs w:val="21"/>
          <w:highlight w:val="none"/>
        </w:rPr>
        <w:t>）开标一览表（格式见附件）；</w:t>
      </w:r>
    </w:p>
    <w:p w14:paraId="3C5BF934">
      <w:pPr>
        <w:spacing w:line="440" w:lineRule="exact"/>
        <w:ind w:left="420"/>
        <w:rPr>
          <w:rFonts w:hint="eastAsia" w:ascii="宋体" w:eastAsia="宋体"/>
          <w:color w:val="auto"/>
          <w:szCs w:val="21"/>
          <w:highlight w:val="none"/>
        </w:rPr>
      </w:pPr>
      <w:r>
        <w:rPr>
          <w:rFonts w:hint="eastAsia" w:ascii="宋体" w:eastAsia="宋体"/>
          <w:color w:val="auto"/>
          <w:szCs w:val="21"/>
          <w:highlight w:val="none"/>
        </w:rPr>
        <w:t>（</w:t>
      </w:r>
      <w:r>
        <w:rPr>
          <w:rFonts w:hint="eastAsia" w:ascii="宋体"/>
          <w:color w:val="auto"/>
          <w:szCs w:val="21"/>
          <w:highlight w:val="none"/>
          <w:lang w:val="en-US" w:eastAsia="zh-CN"/>
        </w:rPr>
        <w:t>6</w:t>
      </w:r>
      <w:r>
        <w:rPr>
          <w:rFonts w:hint="eastAsia" w:ascii="宋体" w:eastAsia="宋体"/>
          <w:color w:val="auto"/>
          <w:szCs w:val="21"/>
          <w:highlight w:val="none"/>
        </w:rPr>
        <w:t>）投标函（格式见附件）；</w:t>
      </w:r>
    </w:p>
    <w:p w14:paraId="4DF0CD5C">
      <w:pPr>
        <w:spacing w:line="440" w:lineRule="exact"/>
        <w:ind w:left="420"/>
        <w:rPr>
          <w:rFonts w:hint="default" w:ascii="宋体" w:eastAsia="宋体"/>
          <w:color w:val="auto"/>
          <w:szCs w:val="21"/>
          <w:highlight w:val="none"/>
          <w:lang w:val="en-US" w:eastAsia="zh-CN"/>
        </w:rPr>
        <w:sectPr>
          <w:footerReference r:id="rId8" w:type="default"/>
          <w:pgSz w:w="11906" w:h="16838"/>
          <w:pgMar w:top="1440" w:right="1800" w:bottom="1440" w:left="1800" w:header="851" w:footer="992" w:gutter="0"/>
          <w:pgNumType w:fmt="numberInDash"/>
          <w:cols w:space="720" w:num="1"/>
          <w:docGrid w:type="lines" w:linePitch="312" w:charSpace="0"/>
        </w:sectPr>
      </w:pPr>
      <w:r>
        <w:rPr>
          <w:rFonts w:hint="eastAsia" w:ascii="宋体" w:eastAsia="宋体"/>
          <w:color w:val="auto"/>
          <w:szCs w:val="21"/>
          <w:highlight w:val="none"/>
          <w:lang w:eastAsia="zh-CN"/>
        </w:rPr>
        <w:t>（</w:t>
      </w:r>
      <w:r>
        <w:rPr>
          <w:rFonts w:hint="eastAsia" w:ascii="宋体"/>
          <w:color w:val="auto"/>
          <w:szCs w:val="21"/>
          <w:highlight w:val="none"/>
          <w:lang w:val="en-US" w:eastAsia="zh-CN"/>
        </w:rPr>
        <w:t>7</w:t>
      </w:r>
      <w:r>
        <w:rPr>
          <w:rFonts w:hint="eastAsia" w:ascii="宋体" w:eastAsia="宋体"/>
          <w:color w:val="auto"/>
          <w:szCs w:val="21"/>
          <w:highlight w:val="none"/>
          <w:lang w:val="en-US" w:eastAsia="zh-CN"/>
        </w:rPr>
        <w:t>）投标人认为需要提供的其他证明材料</w:t>
      </w:r>
    </w:p>
    <w:p w14:paraId="6F7C5DE5">
      <w:pPr>
        <w:spacing w:line="360" w:lineRule="auto"/>
        <w:rPr>
          <w:rFonts w:hint="eastAsia"/>
          <w:b/>
          <w:color w:val="auto"/>
          <w:sz w:val="28"/>
          <w:szCs w:val="28"/>
          <w:highlight w:val="none"/>
        </w:rPr>
      </w:pPr>
      <w:r>
        <w:rPr>
          <w:rFonts w:hint="eastAsia"/>
          <w:b/>
          <w:color w:val="auto"/>
          <w:sz w:val="28"/>
          <w:szCs w:val="28"/>
          <w:highlight w:val="none"/>
        </w:rPr>
        <w:t>附件1</w:t>
      </w:r>
    </w:p>
    <w:p w14:paraId="29EBD996">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6E697923">
      <w:pPr>
        <w:pStyle w:val="122"/>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0C04B414">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2AE1358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1220A37D">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28D2DF33">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2D879F68">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1820B528">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5EE2C447">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43F70C2">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08721397">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0FC89940">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0E495884">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019DA14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497B4282">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2B6A20B4">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55A12530">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2E33DB6C">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5E6D3A55">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57D2E2AA">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68120318">
      <w:pPr>
        <w:spacing w:line="360" w:lineRule="exact"/>
        <w:ind w:firstLine="413" w:firstLineChars="147"/>
        <w:rPr>
          <w:rFonts w:hint="eastAsia"/>
          <w:b/>
          <w:color w:val="auto"/>
          <w:sz w:val="28"/>
          <w:szCs w:val="28"/>
          <w:highlight w:val="none"/>
          <w:u w:val="single"/>
        </w:rPr>
      </w:pPr>
    </w:p>
    <w:p w14:paraId="320D5B50">
      <w:pPr>
        <w:spacing w:line="360" w:lineRule="exact"/>
        <w:ind w:firstLine="413" w:firstLineChars="147"/>
        <w:rPr>
          <w:rFonts w:hint="eastAsia"/>
          <w:b/>
          <w:color w:val="auto"/>
          <w:sz w:val="28"/>
          <w:szCs w:val="28"/>
          <w:highlight w:val="none"/>
          <w:u w:val="single"/>
        </w:rPr>
      </w:pPr>
    </w:p>
    <w:p w14:paraId="5AAE952D">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3687ADB9">
      <w:pPr>
        <w:spacing w:line="360" w:lineRule="auto"/>
        <w:jc w:val="center"/>
        <w:rPr>
          <w:rFonts w:hint="eastAsia"/>
          <w:b/>
          <w:color w:val="auto"/>
          <w:sz w:val="28"/>
          <w:szCs w:val="28"/>
          <w:highlight w:val="none"/>
        </w:rPr>
      </w:pPr>
      <w:bookmarkStart w:id="244" w:name="_Toc449028950"/>
      <w:bookmarkStart w:id="245" w:name="_Toc440443268"/>
      <w:r>
        <w:rPr>
          <w:rFonts w:hint="eastAsia"/>
          <w:b/>
          <w:color w:val="auto"/>
          <w:sz w:val="28"/>
          <w:szCs w:val="28"/>
          <w:highlight w:val="none"/>
        </w:rPr>
        <w:t>诚信投标承诺书 </w:t>
      </w:r>
    </w:p>
    <w:p w14:paraId="38DBFAA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0C41F209">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1B0E1DFF">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19A471C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435F1F0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08330048">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7C41BD16">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olor w:val="auto"/>
          <w:szCs w:val="21"/>
          <w:highlight w:val="none"/>
        </w:rPr>
      </w:pPr>
      <w:r>
        <w:rPr>
          <w:rFonts w:hint="eastAsia" w:ascii="宋体" w:hAnsi="宋体"/>
          <w:color w:val="auto"/>
          <w:szCs w:val="21"/>
          <w:highlight w:val="none"/>
        </w:rPr>
        <w:t>六、</w:t>
      </w:r>
      <w:r>
        <w:rPr>
          <w:rFonts w:hint="eastAsia" w:ascii="宋体" w:hAnsi="宋体" w:eastAsia="宋体" w:cs="宋体"/>
          <w:color w:val="auto"/>
          <w:kern w:val="2"/>
          <w:sz w:val="21"/>
          <w:szCs w:val="21"/>
          <w:highlight w:val="none"/>
          <w:u w:val="single"/>
          <w:lang w:val="en-US" w:eastAsia="zh-CN" w:bidi="ar"/>
        </w:rPr>
        <w:t xml:space="preserve">       （企业名称）</w:t>
      </w:r>
      <w:r>
        <w:rPr>
          <w:rFonts w:hint="eastAsia" w:ascii="宋体" w:hAnsi="宋体" w:eastAsia="宋体" w:cs="宋体"/>
          <w:color w:val="auto"/>
          <w:kern w:val="2"/>
          <w:sz w:val="21"/>
          <w:szCs w:val="21"/>
          <w:highlight w:val="none"/>
          <w:lang w:val="en-US" w:eastAsia="zh-CN" w:bidi="ar"/>
        </w:rPr>
        <w:t>或</w:t>
      </w:r>
      <w:r>
        <w:rPr>
          <w:rFonts w:hint="eastAsia" w:ascii="宋体" w:hAnsi="宋体" w:eastAsia="宋体" w:cs="宋体"/>
          <w:color w:val="auto"/>
          <w:kern w:val="2"/>
          <w:sz w:val="21"/>
          <w:szCs w:val="21"/>
          <w:highlight w:val="none"/>
          <w:u w:val="single"/>
          <w:lang w:val="en-US" w:eastAsia="zh-CN" w:bidi="ar"/>
        </w:rPr>
        <w:t xml:space="preserve">       （企业名称）</w:t>
      </w:r>
      <w:r>
        <w:rPr>
          <w:rFonts w:hint="eastAsia" w:ascii="宋体" w:hAnsi="宋体" w:eastAsia="宋体" w:cs="宋体"/>
          <w:color w:val="auto"/>
          <w:kern w:val="2"/>
          <w:sz w:val="21"/>
          <w:szCs w:val="21"/>
          <w:highlight w:val="none"/>
          <w:lang w:val="en-US" w:eastAsia="zh-CN" w:bidi="ar"/>
        </w:rPr>
        <w:t>法定代表人没有下列情形：①被列入“信用中国”网站“失信被执行人”的；②被列入“信用中国”网站“重大税收违法失信主体”的；③被列入“信用中国”网站 “严重失信主体名单”的；④在“信用中国”网站上披露的仍在公示期的严重失信行为(具体行为类别及判定依据见“信用中国”查询的严重失信行为类别及判定依据)的。⑤被列入国家企业信用信息公示系统网站“经营异常名录”或者“严重违法失信名单”的。⑥被列入中国政府采购网站“政府采购严重违法失信行为信息记录”的。⑦前三年有行贿犯罪行为的单位和个人。（若采购文件对投标人所属分公司、办事处等分支机构有上述1-7项信誉要求，在此一并承诺我公司所属分公司、办事处等分支机构没有上述1-7项情形）</w:t>
      </w:r>
    </w:p>
    <w:p w14:paraId="2CBC76A9">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3AE64BD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4953883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37BC34C8">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2052C1D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0FA6B82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5254479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6463D4C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168C754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172CCA8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20128169">
      <w:pPr>
        <w:spacing w:line="500" w:lineRule="exact"/>
        <w:ind w:firstLine="420" w:firstLineChars="200"/>
        <w:rPr>
          <w:rFonts w:hint="eastAsia" w:ascii="宋体" w:hAnsi="宋体"/>
          <w:color w:val="auto"/>
          <w:szCs w:val="21"/>
          <w:highlight w:val="none"/>
        </w:rPr>
      </w:pPr>
    </w:p>
    <w:p w14:paraId="6F6C56C6">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0C2CD6E6">
      <w:pPr>
        <w:spacing w:line="360" w:lineRule="auto"/>
        <w:jc w:val="center"/>
        <w:rPr>
          <w:rFonts w:hint="eastAsia"/>
          <w:b/>
          <w:color w:val="auto"/>
          <w:sz w:val="28"/>
          <w:szCs w:val="28"/>
          <w:highlight w:val="none"/>
        </w:rPr>
      </w:pPr>
    </w:p>
    <w:p w14:paraId="34061BFC">
      <w:pPr>
        <w:spacing w:line="360" w:lineRule="exact"/>
        <w:ind w:firstLine="443" w:firstLineChars="147"/>
        <w:rPr>
          <w:rFonts w:hint="eastAsia" w:ascii="宋体"/>
          <w:b/>
          <w:color w:val="auto"/>
          <w:sz w:val="30"/>
          <w:szCs w:val="30"/>
          <w:highlight w:val="none"/>
        </w:rPr>
      </w:pPr>
    </w:p>
    <w:p w14:paraId="4C695D73">
      <w:pPr>
        <w:spacing w:line="360" w:lineRule="exact"/>
        <w:ind w:firstLine="443" w:firstLineChars="147"/>
        <w:rPr>
          <w:rFonts w:hint="eastAsia" w:ascii="宋体"/>
          <w:b/>
          <w:color w:val="auto"/>
          <w:sz w:val="30"/>
          <w:szCs w:val="30"/>
          <w:highlight w:val="none"/>
        </w:rPr>
      </w:pPr>
    </w:p>
    <w:p w14:paraId="0C70EB2D">
      <w:pPr>
        <w:spacing w:line="360" w:lineRule="exact"/>
        <w:ind w:firstLine="443" w:firstLineChars="147"/>
        <w:rPr>
          <w:rFonts w:hint="eastAsia" w:ascii="宋体"/>
          <w:b/>
          <w:color w:val="auto"/>
          <w:sz w:val="30"/>
          <w:szCs w:val="30"/>
          <w:highlight w:val="none"/>
        </w:rPr>
      </w:pPr>
    </w:p>
    <w:p w14:paraId="633888E3">
      <w:pPr>
        <w:spacing w:line="360" w:lineRule="exact"/>
        <w:ind w:firstLine="443" w:firstLineChars="147"/>
        <w:rPr>
          <w:rFonts w:hint="eastAsia" w:ascii="宋体"/>
          <w:b/>
          <w:color w:val="auto"/>
          <w:sz w:val="30"/>
          <w:szCs w:val="30"/>
          <w:highlight w:val="none"/>
        </w:rPr>
      </w:pPr>
    </w:p>
    <w:p w14:paraId="233A1A01">
      <w:pPr>
        <w:spacing w:line="360" w:lineRule="exact"/>
        <w:ind w:firstLine="443" w:firstLineChars="147"/>
        <w:rPr>
          <w:rFonts w:hint="eastAsia" w:ascii="宋体"/>
          <w:b/>
          <w:color w:val="auto"/>
          <w:sz w:val="30"/>
          <w:szCs w:val="30"/>
          <w:highlight w:val="none"/>
        </w:rPr>
      </w:pPr>
    </w:p>
    <w:p w14:paraId="55C52480">
      <w:pPr>
        <w:spacing w:line="360" w:lineRule="exact"/>
        <w:ind w:firstLine="443" w:firstLineChars="147"/>
        <w:rPr>
          <w:rFonts w:hint="eastAsia" w:ascii="宋体"/>
          <w:b/>
          <w:color w:val="auto"/>
          <w:sz w:val="30"/>
          <w:szCs w:val="30"/>
          <w:highlight w:val="none"/>
        </w:rPr>
      </w:pPr>
    </w:p>
    <w:p w14:paraId="25D1E769">
      <w:pPr>
        <w:spacing w:line="360" w:lineRule="exact"/>
        <w:ind w:firstLine="443" w:firstLineChars="147"/>
        <w:rPr>
          <w:rFonts w:hint="eastAsia" w:ascii="宋体"/>
          <w:b/>
          <w:color w:val="auto"/>
          <w:sz w:val="30"/>
          <w:szCs w:val="30"/>
          <w:highlight w:val="none"/>
        </w:rPr>
      </w:pPr>
    </w:p>
    <w:p w14:paraId="47FAF2DF">
      <w:pPr>
        <w:spacing w:line="360" w:lineRule="exact"/>
        <w:ind w:firstLine="443" w:firstLineChars="147"/>
        <w:rPr>
          <w:rFonts w:hint="eastAsia" w:ascii="宋体"/>
          <w:b/>
          <w:color w:val="auto"/>
          <w:sz w:val="30"/>
          <w:szCs w:val="30"/>
          <w:highlight w:val="none"/>
        </w:rPr>
      </w:pPr>
    </w:p>
    <w:p w14:paraId="0DC5DA44">
      <w:pPr>
        <w:rPr>
          <w:rFonts w:hint="eastAsia" w:ascii="宋体"/>
          <w:b/>
          <w:color w:val="auto"/>
          <w:sz w:val="44"/>
          <w:szCs w:val="44"/>
          <w:highlight w:val="none"/>
          <w:lang w:val="en-US" w:eastAsia="zh-CN"/>
        </w:rPr>
      </w:pPr>
      <w:r>
        <w:rPr>
          <w:rFonts w:hint="eastAsia" w:ascii="宋体"/>
          <w:b/>
          <w:color w:val="auto"/>
          <w:sz w:val="44"/>
          <w:szCs w:val="44"/>
          <w:highlight w:val="none"/>
          <w:lang w:val="en-US" w:eastAsia="zh-CN"/>
        </w:rPr>
        <w:br w:type="page"/>
      </w:r>
    </w:p>
    <w:p w14:paraId="0DE7F349">
      <w:pPr>
        <w:spacing w:line="360" w:lineRule="exact"/>
        <w:rPr>
          <w:rFonts w:hint="eastAsia" w:ascii="宋体"/>
          <w:b/>
          <w:color w:val="auto"/>
          <w:sz w:val="30"/>
          <w:szCs w:val="30"/>
          <w:highlight w:val="none"/>
        </w:rPr>
      </w:pPr>
    </w:p>
    <w:bookmarkEnd w:id="244"/>
    <w:bookmarkEnd w:id="245"/>
    <w:p w14:paraId="0FE7A695">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3</w:t>
      </w:r>
    </w:p>
    <w:p w14:paraId="36CC0A0E">
      <w:pPr>
        <w:jc w:val="center"/>
        <w:rPr>
          <w:rFonts w:hint="eastAsia" w:ascii="宋体"/>
          <w:b/>
          <w:color w:val="auto"/>
          <w:sz w:val="30"/>
          <w:szCs w:val="30"/>
          <w:highlight w:val="none"/>
        </w:rPr>
      </w:pPr>
      <w:r>
        <w:rPr>
          <w:rFonts w:hint="eastAsia" w:ascii="宋体"/>
          <w:b/>
          <w:color w:val="auto"/>
          <w:sz w:val="30"/>
          <w:szCs w:val="30"/>
          <w:highlight w:val="none"/>
        </w:rPr>
        <w:t>服务承诺书</w:t>
      </w:r>
    </w:p>
    <w:p w14:paraId="08046785">
      <w:pPr>
        <w:ind w:firstLine="480" w:firstLineChars="200"/>
        <w:rPr>
          <w:rFonts w:hint="eastAsia" w:ascii="宋体"/>
          <w:color w:val="auto"/>
          <w:sz w:val="24"/>
          <w:highlight w:val="none"/>
        </w:rPr>
      </w:pPr>
    </w:p>
    <w:p w14:paraId="0E8D41DA">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14:paraId="722DFF76">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14:paraId="6F8B40A5">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14:paraId="49537BBA">
      <w:pPr>
        <w:spacing w:line="600" w:lineRule="exact"/>
        <w:rPr>
          <w:rFonts w:hint="eastAsia" w:ascii="宋体"/>
          <w:color w:val="auto"/>
          <w:sz w:val="24"/>
          <w:highlight w:val="none"/>
        </w:rPr>
      </w:pPr>
      <w:r>
        <w:rPr>
          <w:rFonts w:hint="eastAsia" w:ascii="宋体"/>
          <w:color w:val="auto"/>
          <w:sz w:val="24"/>
          <w:highlight w:val="none"/>
        </w:rPr>
        <w:t> </w:t>
      </w:r>
    </w:p>
    <w:p w14:paraId="7BDCA47E">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14:paraId="04C007AF">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14:paraId="30F625F5">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14:paraId="54259B81">
      <w:pPr>
        <w:pStyle w:val="16"/>
        <w:rPr>
          <w:color w:val="auto"/>
          <w:highlight w:val="none"/>
        </w:rPr>
      </w:pPr>
    </w:p>
    <w:p w14:paraId="6E5FD4E1">
      <w:pPr>
        <w:spacing w:line="400" w:lineRule="exact"/>
        <w:ind w:firstLine="562" w:firstLineChars="200"/>
        <w:rPr>
          <w:rFonts w:hint="eastAsia"/>
          <w:b/>
          <w:color w:val="auto"/>
          <w:sz w:val="28"/>
          <w:szCs w:val="28"/>
          <w:highlight w:val="none"/>
        </w:rPr>
      </w:pPr>
    </w:p>
    <w:p w14:paraId="1B8989FD">
      <w:pPr>
        <w:spacing w:line="400" w:lineRule="exact"/>
        <w:ind w:firstLine="562" w:firstLineChars="200"/>
        <w:rPr>
          <w:rFonts w:hint="eastAsia"/>
          <w:b/>
          <w:color w:val="auto"/>
          <w:sz w:val="28"/>
          <w:szCs w:val="28"/>
          <w:highlight w:val="none"/>
        </w:rPr>
      </w:pPr>
    </w:p>
    <w:p w14:paraId="5E643BD7">
      <w:pPr>
        <w:spacing w:line="400" w:lineRule="exact"/>
        <w:ind w:firstLine="562" w:firstLineChars="200"/>
        <w:rPr>
          <w:rFonts w:hint="eastAsia"/>
          <w:b/>
          <w:color w:val="auto"/>
          <w:sz w:val="28"/>
          <w:szCs w:val="28"/>
          <w:highlight w:val="none"/>
        </w:rPr>
      </w:pPr>
    </w:p>
    <w:p w14:paraId="48730C94">
      <w:pPr>
        <w:spacing w:line="400" w:lineRule="exact"/>
        <w:ind w:firstLine="562" w:firstLineChars="200"/>
        <w:rPr>
          <w:rFonts w:hint="eastAsia"/>
          <w:b/>
          <w:color w:val="auto"/>
          <w:sz w:val="28"/>
          <w:szCs w:val="28"/>
          <w:highlight w:val="none"/>
        </w:rPr>
      </w:pPr>
    </w:p>
    <w:p w14:paraId="6A94DA05">
      <w:pPr>
        <w:spacing w:line="400" w:lineRule="exact"/>
        <w:ind w:firstLine="562" w:firstLineChars="200"/>
        <w:rPr>
          <w:rFonts w:hint="eastAsia"/>
          <w:b/>
          <w:color w:val="auto"/>
          <w:sz w:val="28"/>
          <w:szCs w:val="28"/>
          <w:highlight w:val="none"/>
        </w:rPr>
      </w:pPr>
    </w:p>
    <w:p w14:paraId="23CC1D1E">
      <w:pPr>
        <w:spacing w:line="400" w:lineRule="exact"/>
        <w:ind w:firstLine="562" w:firstLineChars="200"/>
        <w:rPr>
          <w:rFonts w:hint="eastAsia"/>
          <w:b/>
          <w:color w:val="auto"/>
          <w:sz w:val="28"/>
          <w:szCs w:val="28"/>
          <w:highlight w:val="none"/>
        </w:rPr>
      </w:pPr>
    </w:p>
    <w:p w14:paraId="20BFA455">
      <w:pPr>
        <w:spacing w:line="400" w:lineRule="exact"/>
        <w:ind w:firstLine="562" w:firstLineChars="200"/>
        <w:rPr>
          <w:rFonts w:hint="eastAsia"/>
          <w:b/>
          <w:color w:val="auto"/>
          <w:sz w:val="28"/>
          <w:szCs w:val="28"/>
          <w:highlight w:val="none"/>
        </w:rPr>
      </w:pPr>
    </w:p>
    <w:p w14:paraId="33AD660A">
      <w:pPr>
        <w:spacing w:line="400" w:lineRule="exact"/>
        <w:ind w:firstLine="562" w:firstLineChars="200"/>
        <w:rPr>
          <w:rFonts w:hint="eastAsia"/>
          <w:b/>
          <w:color w:val="auto"/>
          <w:sz w:val="28"/>
          <w:szCs w:val="28"/>
          <w:highlight w:val="none"/>
        </w:rPr>
      </w:pPr>
    </w:p>
    <w:p w14:paraId="7FC15F33">
      <w:pPr>
        <w:spacing w:line="400" w:lineRule="exact"/>
        <w:rPr>
          <w:b/>
          <w:color w:val="auto"/>
          <w:sz w:val="28"/>
          <w:szCs w:val="28"/>
          <w:highlight w:val="none"/>
        </w:rPr>
      </w:pPr>
    </w:p>
    <w:p w14:paraId="232AB525">
      <w:pPr>
        <w:pStyle w:val="2"/>
        <w:rPr>
          <w:color w:val="auto"/>
          <w:highlight w:val="none"/>
        </w:rPr>
      </w:pPr>
    </w:p>
    <w:p w14:paraId="730E5FF5">
      <w:pPr>
        <w:spacing w:line="400" w:lineRule="exact"/>
        <w:ind w:firstLine="562" w:firstLineChars="200"/>
        <w:rPr>
          <w:rFonts w:hint="eastAsia"/>
          <w:b/>
          <w:color w:val="auto"/>
          <w:sz w:val="28"/>
          <w:szCs w:val="28"/>
          <w:highlight w:val="none"/>
        </w:rPr>
      </w:pPr>
    </w:p>
    <w:p w14:paraId="54543BC4">
      <w:pPr>
        <w:spacing w:line="440" w:lineRule="exact"/>
        <w:ind w:left="420"/>
        <w:rPr>
          <w:rFonts w:hint="eastAsia" w:ascii="宋体" w:eastAsia="宋体"/>
          <w:color w:val="auto"/>
          <w:szCs w:val="21"/>
          <w:highlight w:val="none"/>
        </w:rPr>
      </w:pPr>
    </w:p>
    <w:p w14:paraId="4C31D9B3">
      <w:pPr>
        <w:spacing w:line="360" w:lineRule="exact"/>
        <w:ind w:firstLine="443" w:firstLineChars="147"/>
        <w:rPr>
          <w:rFonts w:hint="eastAsia" w:ascii="宋体" w:hAnsi="宋体"/>
          <w:b/>
          <w:color w:val="auto"/>
          <w:sz w:val="30"/>
          <w:szCs w:val="30"/>
          <w:highlight w:val="none"/>
        </w:rPr>
      </w:pPr>
    </w:p>
    <w:p w14:paraId="7789CC4C">
      <w:pPr>
        <w:rPr>
          <w:rFonts w:hint="eastAsia" w:ascii="宋体" w:hAnsi="宋体"/>
          <w:b/>
          <w:color w:val="auto"/>
          <w:sz w:val="30"/>
          <w:szCs w:val="30"/>
          <w:highlight w:val="none"/>
        </w:rPr>
      </w:pPr>
      <w:r>
        <w:rPr>
          <w:rFonts w:hint="eastAsia" w:ascii="宋体" w:hAnsi="宋体"/>
          <w:b/>
          <w:color w:val="auto"/>
          <w:sz w:val="30"/>
          <w:szCs w:val="30"/>
          <w:highlight w:val="none"/>
        </w:rPr>
        <w:br w:type="page"/>
      </w:r>
    </w:p>
    <w:p w14:paraId="18DC1BBA">
      <w:pPr>
        <w:spacing w:line="360" w:lineRule="exact"/>
        <w:ind w:firstLine="443" w:firstLineChars="147"/>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4</w:t>
      </w:r>
    </w:p>
    <w:p w14:paraId="147FAA0F">
      <w:pPr>
        <w:spacing w:line="360" w:lineRule="exact"/>
        <w:ind w:firstLine="472" w:firstLineChars="147"/>
        <w:jc w:val="center"/>
        <w:rPr>
          <w:rFonts w:hint="eastAsia" w:ascii="宋体"/>
          <w:b/>
          <w:color w:val="auto"/>
          <w:sz w:val="32"/>
          <w:szCs w:val="32"/>
          <w:highlight w:val="none"/>
        </w:rPr>
      </w:pPr>
    </w:p>
    <w:p w14:paraId="0A6E3B8C">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开标一览表</w:t>
      </w:r>
    </w:p>
    <w:p w14:paraId="2190EFEB">
      <w:pPr>
        <w:spacing w:line="360" w:lineRule="exact"/>
        <w:ind w:firstLine="354" w:firstLineChars="147"/>
        <w:rPr>
          <w:rFonts w:hint="eastAsia" w:ascii="宋体"/>
          <w:b/>
          <w:color w:val="auto"/>
          <w:sz w:val="24"/>
          <w:highlight w:val="none"/>
        </w:rPr>
      </w:pPr>
    </w:p>
    <w:p w14:paraId="5BA37522">
      <w:pPr>
        <w:spacing w:line="360" w:lineRule="exact"/>
        <w:ind w:firstLine="240" w:firstLineChars="100"/>
        <w:rPr>
          <w:rFonts w:hint="eastAsia" w:ascii="宋体"/>
          <w:color w:val="auto"/>
          <w:sz w:val="24"/>
          <w:highlight w:val="none"/>
        </w:rPr>
      </w:pPr>
      <w:r>
        <w:rPr>
          <w:rFonts w:hint="eastAsia" w:ascii="宋体"/>
          <w:color w:val="auto"/>
          <w:sz w:val="24"/>
          <w:highlight w:val="none"/>
        </w:rPr>
        <w:t>（注：开标一览表必须编入投标文件，唱标时，以投标文件中的开标一览表进行唱标）</w:t>
      </w:r>
    </w:p>
    <w:p w14:paraId="5A9EF6D0">
      <w:pPr>
        <w:snapToGrid w:val="0"/>
        <w:spacing w:line="460" w:lineRule="exact"/>
        <w:ind w:left="2940" w:leftChars="1400" w:firstLine="720" w:firstLineChars="300"/>
        <w:rPr>
          <w:rFonts w:hint="eastAsia" w:ascii="宋体"/>
          <w:color w:val="auto"/>
          <w:sz w:val="24"/>
          <w:highlight w:val="none"/>
        </w:rPr>
      </w:pPr>
    </w:p>
    <w:tbl>
      <w:tblPr>
        <w:tblStyle w:val="3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14:paraId="410DBC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14:paraId="618A082F">
            <w:pPr>
              <w:spacing w:line="460" w:lineRule="exact"/>
              <w:jc w:val="center"/>
              <w:rPr>
                <w:rFonts w:hint="eastAsia" w:ascii="宋体"/>
                <w:color w:val="auto"/>
                <w:sz w:val="24"/>
                <w:highlight w:val="none"/>
              </w:rPr>
            </w:pPr>
            <w:r>
              <w:rPr>
                <w:rFonts w:hint="eastAsia" w:ascii="宋体"/>
                <w:color w:val="auto"/>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14:paraId="00413867">
            <w:pPr>
              <w:spacing w:line="360" w:lineRule="auto"/>
              <w:jc w:val="left"/>
              <w:rPr>
                <w:rFonts w:hint="eastAsia"/>
                <w:color w:val="auto"/>
                <w:sz w:val="24"/>
                <w:highlight w:val="none"/>
              </w:rPr>
            </w:pPr>
            <w:r>
              <w:rPr>
                <w:rFonts w:hint="eastAsia"/>
                <w:color w:val="auto"/>
                <w:sz w:val="24"/>
                <w:highlight w:val="none"/>
              </w:rPr>
              <w:t xml:space="preserve">         </w:t>
            </w:r>
          </w:p>
        </w:tc>
      </w:tr>
      <w:tr w14:paraId="2201D4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14:paraId="13D425F1">
            <w:pPr>
              <w:spacing w:line="460" w:lineRule="exact"/>
              <w:jc w:val="center"/>
              <w:rPr>
                <w:rFonts w:hint="eastAsia" w:ascii="宋体"/>
                <w:color w:val="auto"/>
                <w:sz w:val="24"/>
                <w:highlight w:val="none"/>
              </w:rPr>
            </w:pPr>
            <w:r>
              <w:rPr>
                <w:rFonts w:hint="eastAsia" w:ascii="宋体"/>
                <w:color w:val="auto"/>
                <w:sz w:val="24"/>
                <w:highlight w:val="none"/>
              </w:rPr>
              <w:t>项目编号</w:t>
            </w:r>
          </w:p>
        </w:tc>
        <w:tc>
          <w:tcPr>
            <w:tcW w:w="6952" w:type="dxa"/>
            <w:tcBorders>
              <w:top w:val="single" w:color="auto" w:sz="12" w:space="0"/>
              <w:left w:val="single" w:color="auto" w:sz="12" w:space="0"/>
            </w:tcBorders>
            <w:noWrap w:val="0"/>
            <w:vAlign w:val="center"/>
          </w:tcPr>
          <w:p w14:paraId="4D77DB8B">
            <w:pPr>
              <w:rPr>
                <w:rFonts w:hint="eastAsia" w:ascii="宋体"/>
                <w:color w:val="auto"/>
                <w:sz w:val="24"/>
                <w:highlight w:val="none"/>
              </w:rPr>
            </w:pPr>
          </w:p>
        </w:tc>
      </w:tr>
      <w:tr w14:paraId="25D685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14:paraId="383E7910">
            <w:pPr>
              <w:spacing w:line="460" w:lineRule="exact"/>
              <w:ind w:firstLine="120" w:firstLineChars="50"/>
              <w:rPr>
                <w:rFonts w:hint="eastAsia" w:ascii="宋体"/>
                <w:color w:val="auto"/>
                <w:sz w:val="24"/>
                <w:highlight w:val="none"/>
              </w:rPr>
            </w:pPr>
            <w:r>
              <w:rPr>
                <w:rFonts w:hint="eastAsia" w:ascii="宋体"/>
                <w:color w:val="auto"/>
                <w:sz w:val="24"/>
                <w:highlight w:val="none"/>
              </w:rPr>
              <w:t>投标人名称</w:t>
            </w:r>
          </w:p>
        </w:tc>
        <w:tc>
          <w:tcPr>
            <w:tcW w:w="6952" w:type="dxa"/>
            <w:tcBorders>
              <w:left w:val="single" w:color="auto" w:sz="12" w:space="0"/>
            </w:tcBorders>
            <w:noWrap w:val="0"/>
            <w:vAlign w:val="top"/>
          </w:tcPr>
          <w:p w14:paraId="0550CB9E">
            <w:pPr>
              <w:pStyle w:val="22"/>
              <w:spacing w:line="460" w:lineRule="exact"/>
              <w:ind w:left="86" w:leftChars="41"/>
              <w:rPr>
                <w:rFonts w:hint="eastAsia" w:ascii="宋体" w:eastAsia="宋体"/>
                <w:color w:val="auto"/>
                <w:sz w:val="24"/>
                <w:szCs w:val="24"/>
                <w:highlight w:val="none"/>
              </w:rPr>
            </w:pPr>
          </w:p>
        </w:tc>
      </w:tr>
      <w:tr w14:paraId="140C0E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14:paraId="76934E2F">
            <w:pPr>
              <w:spacing w:line="360" w:lineRule="auto"/>
              <w:jc w:val="center"/>
              <w:rPr>
                <w:rFonts w:ascii="宋体"/>
                <w:color w:val="auto"/>
                <w:sz w:val="24"/>
                <w:highlight w:val="none"/>
              </w:rPr>
            </w:pPr>
            <w:r>
              <w:rPr>
                <w:rFonts w:hint="eastAsia" w:ascii="宋体"/>
                <w:color w:val="auto"/>
                <w:sz w:val="24"/>
                <w:highlight w:val="none"/>
              </w:rPr>
              <w:t>总投标价\</w:t>
            </w:r>
            <w:r>
              <w:rPr>
                <w:rFonts w:hint="eastAsia" w:ascii="宋体"/>
                <w:color w:val="auto"/>
                <w:sz w:val="24"/>
                <w:highlight w:val="none"/>
                <w:lang w:val="en-US" w:eastAsia="zh-CN"/>
              </w:rPr>
              <w:t>服务</w:t>
            </w:r>
            <w:r>
              <w:rPr>
                <w:rFonts w:hint="eastAsia" w:ascii="宋体"/>
                <w:color w:val="auto"/>
                <w:sz w:val="24"/>
                <w:highlight w:val="none"/>
              </w:rPr>
              <w:t>期</w:t>
            </w:r>
          </w:p>
        </w:tc>
        <w:tc>
          <w:tcPr>
            <w:tcW w:w="6952" w:type="dxa"/>
            <w:tcBorders>
              <w:left w:val="single" w:color="auto" w:sz="12" w:space="0"/>
            </w:tcBorders>
            <w:noWrap w:val="0"/>
            <w:vAlign w:val="center"/>
          </w:tcPr>
          <w:p w14:paraId="3412B3AA">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color w:val="auto"/>
                <w:sz w:val="24"/>
                <w:highlight w:val="none"/>
              </w:rPr>
            </w:pPr>
            <w:r>
              <w:rPr>
                <w:rFonts w:hint="eastAsia" w:ascii="宋体"/>
                <w:color w:val="auto"/>
                <w:sz w:val="24"/>
                <w:highlight w:val="none"/>
              </w:rPr>
              <w:t>投标报价 （大写）：</w:t>
            </w:r>
            <w:r>
              <w:rPr>
                <w:rFonts w:hint="eastAsia" w:ascii="宋体"/>
                <w:color w:val="auto"/>
                <w:sz w:val="24"/>
                <w:highlight w:val="none"/>
                <w:u w:val="single"/>
              </w:rPr>
              <w:t xml:space="preserve">                   </w:t>
            </w:r>
            <w:r>
              <w:rPr>
                <w:rFonts w:hint="eastAsia" w:ascii="宋体"/>
                <w:color w:val="auto"/>
                <w:sz w:val="24"/>
                <w:highlight w:val="none"/>
              </w:rPr>
              <w:t>；</w:t>
            </w:r>
          </w:p>
          <w:p w14:paraId="3F3B617A">
            <w:pPr>
              <w:keepNext w:val="0"/>
              <w:keepLines w:val="0"/>
              <w:pageBreakBefore w:val="0"/>
              <w:widowControl w:val="0"/>
              <w:kinsoku/>
              <w:wordWrap/>
              <w:overflowPunct/>
              <w:topLinePunct w:val="0"/>
              <w:autoSpaceDE/>
              <w:autoSpaceDN/>
              <w:bidi w:val="0"/>
              <w:adjustRightInd/>
              <w:snapToGrid/>
              <w:spacing w:line="900" w:lineRule="exact"/>
              <w:ind w:firstLine="1200" w:firstLineChars="500"/>
              <w:textAlignment w:val="auto"/>
              <w:rPr>
                <w:rFonts w:hint="eastAsia" w:ascii="宋体"/>
                <w:color w:val="auto"/>
                <w:sz w:val="24"/>
                <w:highlight w:val="none"/>
              </w:rPr>
            </w:pPr>
            <w:r>
              <w:rPr>
                <w:rFonts w:hint="eastAsia" w:ascii="宋体"/>
                <w:color w:val="auto"/>
                <w:sz w:val="24"/>
                <w:highlight w:val="none"/>
              </w:rPr>
              <w:t>(小写) ：</w:t>
            </w:r>
            <w:r>
              <w:rPr>
                <w:rFonts w:hint="eastAsia" w:ascii="宋体"/>
                <w:color w:val="auto"/>
                <w:sz w:val="24"/>
                <w:highlight w:val="none"/>
                <w:u w:val="single"/>
              </w:rPr>
              <w:t xml:space="preserve">                   </w:t>
            </w:r>
            <w:r>
              <w:rPr>
                <w:rFonts w:hint="eastAsia" w:ascii="宋体"/>
                <w:color w:val="auto"/>
                <w:sz w:val="24"/>
                <w:highlight w:val="none"/>
              </w:rPr>
              <w:t>；</w:t>
            </w:r>
          </w:p>
          <w:p w14:paraId="27DF43C4">
            <w:pPr>
              <w:pStyle w:val="2"/>
              <w:keepNext w:val="0"/>
              <w:keepLines w:val="0"/>
              <w:pageBreakBefore w:val="0"/>
              <w:widowControl w:val="0"/>
              <w:kinsoku/>
              <w:wordWrap/>
              <w:overflowPunct/>
              <w:topLinePunct w:val="0"/>
              <w:autoSpaceDE/>
              <w:autoSpaceDN/>
              <w:bidi w:val="0"/>
              <w:adjustRightInd/>
              <w:snapToGrid/>
              <w:spacing w:after="0" w:line="900" w:lineRule="exact"/>
              <w:ind w:left="0" w:leftChars="0" w:firstLine="0" w:firstLineChars="0"/>
              <w:textAlignment w:val="auto"/>
              <w:rPr>
                <w:rFonts w:hint="eastAsia" w:eastAsia="宋体"/>
                <w:color w:val="auto"/>
                <w:highlight w:val="none"/>
                <w:lang w:val="en-US" w:eastAsia="zh-CN"/>
              </w:rPr>
            </w:pPr>
            <w:r>
              <w:rPr>
                <w:rFonts w:hint="eastAsia" w:ascii="宋体"/>
                <w:color w:val="auto"/>
                <w:sz w:val="24"/>
                <w:highlight w:val="none"/>
                <w:lang w:val="en-US" w:eastAsia="zh-CN"/>
              </w:rPr>
              <w:t>其中：发票类型</w:t>
            </w:r>
            <w:r>
              <w:rPr>
                <w:rFonts w:hint="eastAsia" w:ascii="宋体"/>
                <w:color w:val="auto"/>
                <w:sz w:val="24"/>
                <w:highlight w:val="none"/>
                <w:u w:val="single"/>
                <w:lang w:val="en-US" w:eastAsia="zh-CN"/>
              </w:rPr>
              <w:t xml:space="preserve">：增值税专用发票 </w:t>
            </w:r>
            <w:r>
              <w:rPr>
                <w:rFonts w:hint="eastAsia" w:ascii="宋体"/>
                <w:color w:val="auto"/>
                <w:sz w:val="24"/>
                <w:highlight w:val="none"/>
                <w:lang w:val="en-US" w:eastAsia="zh-CN"/>
              </w:rPr>
              <w:t>、发票税率：</w:t>
            </w:r>
            <w:r>
              <w:rPr>
                <w:rFonts w:hint="eastAsia" w:ascii="宋体"/>
                <w:color w:val="auto"/>
                <w:sz w:val="24"/>
                <w:highlight w:val="none"/>
                <w:u w:val="single"/>
                <w:lang w:val="en-US" w:eastAsia="zh-CN"/>
              </w:rPr>
              <w:t xml:space="preserve">    </w:t>
            </w:r>
            <w:r>
              <w:rPr>
                <w:rFonts w:hint="eastAsia" w:ascii="宋体"/>
                <w:color w:val="auto"/>
                <w:sz w:val="24"/>
                <w:highlight w:val="none"/>
                <w:lang w:val="en-US" w:eastAsia="zh-CN"/>
              </w:rPr>
              <w:t>%）</w:t>
            </w:r>
          </w:p>
          <w:p w14:paraId="40820443">
            <w:pPr>
              <w:keepNext w:val="0"/>
              <w:keepLines w:val="0"/>
              <w:pageBreakBefore w:val="0"/>
              <w:widowControl w:val="0"/>
              <w:kinsoku/>
              <w:wordWrap/>
              <w:overflowPunct/>
              <w:topLinePunct w:val="0"/>
              <w:autoSpaceDE/>
              <w:autoSpaceDN/>
              <w:bidi w:val="0"/>
              <w:adjustRightInd/>
              <w:snapToGrid/>
              <w:spacing w:line="900" w:lineRule="exact"/>
              <w:textAlignment w:val="auto"/>
              <w:rPr>
                <w:rFonts w:hint="default"/>
                <w:color w:val="auto"/>
                <w:sz w:val="24"/>
                <w:highlight w:val="none"/>
                <w:lang w:val="en-US"/>
              </w:rPr>
            </w:pPr>
            <w:r>
              <w:rPr>
                <w:rFonts w:hint="eastAsia" w:ascii="宋体"/>
                <w:color w:val="auto"/>
                <w:sz w:val="24"/>
                <w:highlight w:val="none"/>
                <w:lang w:val="en-US" w:eastAsia="zh-CN"/>
              </w:rPr>
              <w:t>服务期</w:t>
            </w:r>
            <w:r>
              <w:rPr>
                <w:rFonts w:hint="eastAsia" w:ascii="宋体"/>
                <w:color w:val="auto"/>
                <w:sz w:val="24"/>
                <w:highlight w:val="none"/>
              </w:rPr>
              <w:t>：</w:t>
            </w:r>
            <w:r>
              <w:rPr>
                <w:rFonts w:hint="eastAsia" w:ascii="宋体"/>
                <w:color w:val="auto"/>
                <w:sz w:val="24"/>
                <w:highlight w:val="none"/>
                <w:lang w:val="en-US" w:eastAsia="zh-CN"/>
              </w:rPr>
              <w:t>响应招标文件要求</w:t>
            </w:r>
          </w:p>
        </w:tc>
      </w:tr>
    </w:tbl>
    <w:p w14:paraId="7C3E7193">
      <w:pPr>
        <w:snapToGrid w:val="0"/>
        <w:spacing w:line="460" w:lineRule="exact"/>
        <w:ind w:left="2940" w:leftChars="1400" w:firstLine="723" w:firstLineChars="300"/>
        <w:rPr>
          <w:rFonts w:hint="eastAsia" w:ascii="宋体"/>
          <w:b/>
          <w:color w:val="auto"/>
          <w:sz w:val="24"/>
          <w:highlight w:val="none"/>
        </w:rPr>
      </w:pPr>
    </w:p>
    <w:p w14:paraId="4B1413CB">
      <w:pPr>
        <w:rPr>
          <w:rFonts w:hint="eastAsia" w:ascii="宋体"/>
          <w:color w:val="auto"/>
          <w:sz w:val="24"/>
          <w:highlight w:val="none"/>
        </w:rPr>
      </w:pPr>
      <w:r>
        <w:rPr>
          <w:rFonts w:hint="eastAsia" w:ascii="宋体"/>
          <w:color w:val="auto"/>
          <w:sz w:val="24"/>
          <w:highlight w:val="none"/>
        </w:rPr>
        <w:t>法定代表人（</w:t>
      </w:r>
      <w:r>
        <w:rPr>
          <w:rFonts w:hint="eastAsia" w:ascii="宋体"/>
          <w:color w:val="auto"/>
          <w:sz w:val="24"/>
          <w:highlight w:val="none"/>
          <w:lang w:val="en-US" w:eastAsia="zh-CN"/>
        </w:rPr>
        <w:t>盖章</w:t>
      </w:r>
      <w:r>
        <w:rPr>
          <w:rFonts w:hint="eastAsia" w:ascii="宋体"/>
          <w:color w:val="auto"/>
          <w:sz w:val="24"/>
          <w:highlight w:val="none"/>
        </w:rPr>
        <w:t>）：         投标人（盖单位章）：</w:t>
      </w:r>
    </w:p>
    <w:p w14:paraId="4026C82E">
      <w:pPr>
        <w:snapToGrid w:val="0"/>
        <w:spacing w:before="312" w:beforeLines="100" w:after="312" w:afterLines="100" w:line="360" w:lineRule="auto"/>
        <w:jc w:val="center"/>
        <w:rPr>
          <w:rFonts w:cs="Arial"/>
          <w:b/>
          <w:bCs/>
          <w:color w:val="auto"/>
          <w:sz w:val="30"/>
          <w:szCs w:val="30"/>
          <w:highlight w:val="none"/>
        </w:rPr>
        <w:sectPr>
          <w:headerReference r:id="rId9" w:type="default"/>
          <w:footerReference r:id="rId10" w:type="default"/>
          <w:pgSz w:w="11906" w:h="16838"/>
          <w:pgMar w:top="1440" w:right="1800" w:bottom="1440" w:left="1800" w:header="851" w:footer="992" w:gutter="0"/>
          <w:pgNumType w:fmt="numberInDash"/>
          <w:cols w:space="720" w:num="1"/>
          <w:docGrid w:type="lines" w:linePitch="312" w:charSpace="0"/>
        </w:sectPr>
      </w:pPr>
      <w:r>
        <w:rPr>
          <w:rFonts w:hint="eastAsia" w:asci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color w:val="auto"/>
          <w:sz w:val="24"/>
          <w:highlight w:val="none"/>
        </w:rPr>
        <w:t>年</w:t>
      </w:r>
      <w:r>
        <w:rPr>
          <w:rFonts w:hint="eastAsia" w:ascii="宋体" w:hAnsi="宋体"/>
          <w:color w:val="auto"/>
          <w:sz w:val="24"/>
          <w:highlight w:val="none"/>
          <w:u w:val="single"/>
        </w:rPr>
        <w:t xml:space="preserve">   </w:t>
      </w:r>
      <w:r>
        <w:rPr>
          <w:rFonts w:hint="eastAsia" w:ascii="宋体"/>
          <w:color w:val="auto"/>
          <w:sz w:val="24"/>
          <w:highlight w:val="none"/>
        </w:rPr>
        <w:t>月</w:t>
      </w:r>
      <w:r>
        <w:rPr>
          <w:rFonts w:hint="eastAsia" w:ascii="宋体" w:hAnsi="宋体"/>
          <w:color w:val="auto"/>
          <w:sz w:val="24"/>
          <w:highlight w:val="none"/>
          <w:u w:val="single"/>
        </w:rPr>
        <w:t xml:space="preserve">   </w:t>
      </w:r>
      <w:r>
        <w:rPr>
          <w:rFonts w:hint="eastAsia" w:ascii="宋体"/>
          <w:color w:val="auto"/>
          <w:sz w:val="24"/>
          <w:highlight w:val="none"/>
        </w:rPr>
        <w:t xml:space="preserve">日 </w:t>
      </w:r>
    </w:p>
    <w:p w14:paraId="52294B36">
      <w:pPr>
        <w:spacing w:line="360" w:lineRule="exact"/>
        <w:ind w:firstLine="443" w:firstLineChars="147"/>
        <w:rPr>
          <w:rFonts w:hint="eastAsia" w:ascii="宋体"/>
          <w:b/>
          <w:color w:val="auto"/>
          <w:sz w:val="30"/>
          <w:szCs w:val="30"/>
          <w:highlight w:val="none"/>
        </w:rPr>
      </w:pPr>
    </w:p>
    <w:p w14:paraId="4180B15E">
      <w:pPr>
        <w:spacing w:line="360" w:lineRule="exact"/>
        <w:ind w:firstLine="443" w:firstLineChars="147"/>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5</w:t>
      </w:r>
    </w:p>
    <w:p w14:paraId="3567F8A3">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06F2CFD5">
      <w:pPr>
        <w:spacing w:line="440" w:lineRule="exact"/>
        <w:rPr>
          <w:rFonts w:hint="eastAsia" w:ascii="宋体"/>
          <w:color w:val="auto"/>
          <w:sz w:val="24"/>
          <w:highlight w:val="none"/>
        </w:rPr>
      </w:pPr>
    </w:p>
    <w:p w14:paraId="0B2ECF28">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rPr>
        <w:t>（编号：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标包”的采购。我方授权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1D67F78D">
      <w:pPr>
        <w:spacing w:line="440" w:lineRule="exact"/>
        <w:ind w:firstLine="480" w:firstLineChars="200"/>
        <w:rPr>
          <w:rFonts w:hint="eastAsia" w:ascii="宋体" w:hAnsi="宋体" w:eastAsia="宋体" w:cs="宋体"/>
          <w:b/>
          <w:bCs/>
          <w:color w:val="auto"/>
          <w:kern w:val="0"/>
          <w:sz w:val="24"/>
          <w:szCs w:val="24"/>
          <w:highlight w:val="none"/>
          <w:u w:val="singl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w:t>
      </w:r>
      <w:r>
        <w:rPr>
          <w:rFonts w:hint="eastAsia" w:ascii="宋体" w:hAnsi="宋体" w:cs="宋体"/>
          <w:color w:val="auto"/>
          <w:sz w:val="24"/>
          <w:highlight w:val="none"/>
          <w:lang w:val="en-US" w:eastAsia="zh-CN"/>
        </w:rPr>
        <w:t>名称</w:t>
      </w:r>
      <w:r>
        <w:rPr>
          <w:rFonts w:hint="eastAsia" w:ascii="宋体" w:hAnsi="宋体" w:cs="宋体"/>
          <w:color w:val="auto"/>
          <w:sz w:val="24"/>
          <w:highlight w:val="none"/>
        </w:rPr>
        <w:t>）”项目的货物与服务，总投标价为人民币（大写）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小写）</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en-US" w:eastAsia="zh-CN"/>
        </w:rPr>
        <w:t>元。</w:t>
      </w:r>
      <w:r>
        <w:rPr>
          <w:rFonts w:hint="eastAsia" w:ascii="宋体" w:hAnsi="宋体" w:eastAsia="宋体" w:cs="宋体"/>
          <w:b/>
          <w:bCs/>
          <w:color w:val="auto"/>
          <w:kern w:val="0"/>
          <w:sz w:val="24"/>
          <w:szCs w:val="24"/>
          <w:highlight w:val="none"/>
          <w:u w:val="none"/>
          <w:lang w:val="en-US" w:eastAsia="zh-CN"/>
        </w:rPr>
        <w:t>开具增值税专用发票，税率为</w:t>
      </w:r>
      <w:r>
        <w:rPr>
          <w:rFonts w:hint="eastAsia" w:ascii="宋体" w:hAnsi="宋体" w:eastAsia="宋体" w:cs="宋体"/>
          <w:b/>
          <w:bCs/>
          <w:color w:val="auto"/>
          <w:kern w:val="0"/>
          <w:sz w:val="24"/>
          <w:szCs w:val="24"/>
          <w:highlight w:val="none"/>
          <w:u w:val="single"/>
          <w:lang w:val="en-US" w:eastAsia="zh-CN"/>
        </w:rPr>
        <w:t xml:space="preserve">    </w:t>
      </w:r>
      <w:r>
        <w:rPr>
          <w:rFonts w:hint="eastAsia" w:ascii="宋体" w:hAnsi="宋体" w:eastAsia="宋体" w:cs="宋体"/>
          <w:b/>
          <w:bCs/>
          <w:color w:val="auto"/>
          <w:kern w:val="0"/>
          <w:sz w:val="24"/>
          <w:szCs w:val="24"/>
          <w:highlight w:val="none"/>
          <w:u w:val="none"/>
          <w:lang w:val="en-US" w:eastAsia="zh-CN"/>
        </w:rPr>
        <w:t>%。</w:t>
      </w:r>
      <w:r>
        <w:rPr>
          <w:rFonts w:hint="eastAsia" w:ascii="宋体" w:hAnsi="宋体" w:eastAsia="宋体" w:cs="宋体"/>
          <w:b/>
          <w:bCs/>
          <w:color w:val="auto"/>
          <w:sz w:val="24"/>
          <w:szCs w:val="24"/>
          <w:highlight w:val="none"/>
          <w:u w:val="none"/>
          <w:lang w:val="en-US" w:eastAsia="zh-CN"/>
        </w:rPr>
        <w:t>（</w:t>
      </w:r>
      <w:r>
        <w:rPr>
          <w:rFonts w:hint="eastAsia" w:ascii="宋体" w:hAnsi="宋体" w:eastAsia="宋体" w:cs="宋体"/>
          <w:b/>
          <w:bCs/>
          <w:color w:val="auto"/>
          <w:kern w:val="0"/>
          <w:sz w:val="24"/>
          <w:szCs w:val="24"/>
          <w:highlight w:val="none"/>
          <w:u w:val="none"/>
          <w:lang w:val="en-US" w:eastAsia="zh-CN"/>
        </w:rPr>
        <w:t>注：投标人须明确开具增值税</w:t>
      </w:r>
      <w:r>
        <w:rPr>
          <w:rFonts w:hint="eastAsia" w:ascii="宋体" w:hAnsi="宋体" w:cs="宋体"/>
          <w:b/>
          <w:bCs/>
          <w:color w:val="auto"/>
          <w:kern w:val="0"/>
          <w:sz w:val="24"/>
          <w:szCs w:val="24"/>
          <w:highlight w:val="none"/>
          <w:u w:val="none"/>
          <w:lang w:val="en-US" w:eastAsia="zh-CN"/>
        </w:rPr>
        <w:t>专用</w:t>
      </w:r>
      <w:r>
        <w:rPr>
          <w:rFonts w:hint="eastAsia" w:ascii="宋体" w:hAnsi="宋体" w:eastAsia="宋体" w:cs="宋体"/>
          <w:b/>
          <w:bCs/>
          <w:color w:val="auto"/>
          <w:kern w:val="0"/>
          <w:sz w:val="24"/>
          <w:szCs w:val="24"/>
          <w:highlight w:val="none"/>
          <w:u w:val="none"/>
          <w:lang w:val="en-US" w:eastAsia="zh-CN"/>
        </w:rPr>
        <w:t>发票的税率，否则按无效标处理）</w:t>
      </w:r>
    </w:p>
    <w:p w14:paraId="1FB170EC">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44DC56AB">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4DD2C2F0">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0544EC27">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7BA4CB32">
      <w:pPr>
        <w:spacing w:line="440" w:lineRule="exact"/>
        <w:rPr>
          <w:rFonts w:hint="eastAsia" w:ascii="宋体"/>
          <w:color w:val="auto"/>
          <w:sz w:val="24"/>
          <w:highlight w:val="none"/>
        </w:rPr>
      </w:pPr>
      <w:r>
        <w:rPr>
          <w:rFonts w:hint="eastAsia" w:ascii="宋体"/>
          <w:color w:val="auto"/>
          <w:sz w:val="24"/>
          <w:highlight w:val="none"/>
        </w:rPr>
        <w:t> </w:t>
      </w:r>
    </w:p>
    <w:p w14:paraId="4AC659A6">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632D7558">
      <w:pPr>
        <w:spacing w:line="440" w:lineRule="exact"/>
        <w:jc w:val="right"/>
        <w:rPr>
          <w:rFonts w:hint="eastAsia" w:ascii="宋体"/>
          <w:color w:val="auto"/>
          <w:sz w:val="24"/>
          <w:highlight w:val="none"/>
        </w:rPr>
      </w:pPr>
    </w:p>
    <w:p w14:paraId="579030C0">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475146FB">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3C91CA62">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14734FB3">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09834786">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0414283A">
      <w:pPr>
        <w:spacing w:line="360" w:lineRule="exact"/>
        <w:rPr>
          <w:rFonts w:hint="eastAsia" w:ascii="宋体"/>
          <w:b/>
          <w:color w:val="auto"/>
          <w:sz w:val="28"/>
          <w:szCs w:val="28"/>
          <w:highlight w:val="none"/>
        </w:rPr>
      </w:pPr>
    </w:p>
    <w:p w14:paraId="3FE0C84E">
      <w:pPr>
        <w:spacing w:line="440" w:lineRule="exact"/>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End w:id="65"/>
      <w:bookmarkEnd w:id="66"/>
      <w:bookmarkStart w:id="246" w:name="_Toc58430333"/>
      <w:bookmarkStart w:id="247" w:name="_Toc449028957"/>
      <w:r>
        <w:rPr>
          <w:rFonts w:hint="eastAsia" w:ascii="宋体"/>
          <w:b/>
          <w:color w:val="auto"/>
          <w:sz w:val="32"/>
          <w:szCs w:val="32"/>
          <w:highlight w:val="none"/>
          <w:lang w:val="en-US" w:eastAsia="zh-CN"/>
        </w:rPr>
        <w:t>招标人</w:t>
      </w:r>
      <w:r>
        <w:rPr>
          <w:rFonts w:hint="eastAsia" w:ascii="宋体"/>
          <w:b/>
          <w:color w:val="auto"/>
          <w:sz w:val="32"/>
          <w:szCs w:val="32"/>
          <w:highlight w:val="none"/>
        </w:rPr>
        <w:t>、</w:t>
      </w: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代理机构对本招标文件的确认</w:t>
      </w:r>
      <w:bookmarkEnd w:id="246"/>
      <w:bookmarkEnd w:id="247"/>
    </w:p>
    <w:p w14:paraId="0A0C2A06">
      <w:pPr>
        <w:spacing w:line="440" w:lineRule="exact"/>
        <w:rPr>
          <w:rFonts w:hint="eastAsia" w:ascii="宋体"/>
          <w:color w:val="auto"/>
          <w:sz w:val="24"/>
          <w:highlight w:val="none"/>
          <w:u w:val="single"/>
        </w:rPr>
      </w:pPr>
    </w:p>
    <w:tbl>
      <w:tblPr>
        <w:tblStyle w:val="37"/>
        <w:tblW w:w="0" w:type="auto"/>
        <w:jc w:val="center"/>
        <w:tblLayout w:type="fixed"/>
        <w:tblCellMar>
          <w:top w:w="0" w:type="dxa"/>
          <w:left w:w="108" w:type="dxa"/>
          <w:bottom w:w="0" w:type="dxa"/>
          <w:right w:w="108" w:type="dxa"/>
        </w:tblCellMar>
      </w:tblPr>
      <w:tblGrid>
        <w:gridCol w:w="9374"/>
      </w:tblGrid>
      <w:tr w14:paraId="5A084C77">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771F87C9">
            <w:pPr>
              <w:spacing w:line="440" w:lineRule="exact"/>
              <w:ind w:firstLine="560" w:firstLineChars="200"/>
              <w:rPr>
                <w:rFonts w:hint="eastAsia" w:ascii="宋体" w:cs="宋体"/>
                <w:color w:val="auto"/>
                <w:sz w:val="28"/>
                <w:szCs w:val="28"/>
                <w:highlight w:val="none"/>
              </w:rPr>
            </w:pPr>
          </w:p>
          <w:p w14:paraId="727A3672">
            <w:pPr>
              <w:spacing w:line="360" w:lineRule="auto"/>
              <w:ind w:firstLine="560" w:firstLineChars="200"/>
              <w:rPr>
                <w:rFonts w:hint="eastAsia" w:ascii="宋体" w:hAnsi="宋体" w:cs="宋体"/>
                <w:color w:val="auto"/>
                <w:sz w:val="28"/>
                <w:szCs w:val="28"/>
                <w:highlight w:val="none"/>
              </w:rPr>
            </w:pPr>
            <w:r>
              <w:rPr>
                <w:rFonts w:hint="eastAsia" w:ascii="宋体" w:cs="宋体"/>
                <w:color w:val="auto"/>
                <w:sz w:val="28"/>
                <w:szCs w:val="28"/>
                <w:highlight w:val="none"/>
              </w:rPr>
              <w:t>我单位对</w:t>
            </w:r>
            <w:r>
              <w:rPr>
                <w:rFonts w:hint="eastAsia" w:ascii="宋体" w:cs="宋体"/>
                <w:color w:val="auto"/>
                <w:sz w:val="28"/>
                <w:szCs w:val="28"/>
                <w:highlight w:val="none"/>
                <w:u w:val="single"/>
                <w:lang w:val="en-US" w:eastAsia="zh-CN"/>
              </w:rPr>
              <w:t>滁州市城泊车辆服务有限公司公共停车场保洁服务项目</w:t>
            </w:r>
            <w:r>
              <w:rPr>
                <w:rFonts w:hint="eastAsia" w:ascii="宋体" w:cs="宋体"/>
                <w:color w:val="auto"/>
                <w:sz w:val="28"/>
                <w:szCs w:val="28"/>
                <w:highlight w:val="none"/>
              </w:rPr>
              <w:t>的招标文件进行确认。</w:t>
            </w:r>
          </w:p>
          <w:p w14:paraId="58BBD983">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招标单位：</w:t>
            </w:r>
            <w:r>
              <w:rPr>
                <w:rFonts w:hint="eastAsia" w:ascii="宋体" w:hAnsi="宋体" w:cs="宋体"/>
                <w:color w:val="auto"/>
                <w:sz w:val="28"/>
                <w:szCs w:val="28"/>
                <w:highlight w:val="none"/>
                <w:lang w:eastAsia="zh-CN"/>
              </w:rPr>
              <w:t>滁州市城泊车辆服务有限公司</w:t>
            </w:r>
          </w:p>
          <w:p w14:paraId="59648FA3">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委托代理人：</w:t>
            </w:r>
            <w:r>
              <w:rPr>
                <w:rFonts w:hint="eastAsia" w:ascii="宋体" w:hAnsi="宋体" w:cs="宋体"/>
                <w:color w:val="auto"/>
                <w:sz w:val="28"/>
                <w:szCs w:val="28"/>
                <w:highlight w:val="none"/>
                <w:lang w:val="en-US" w:eastAsia="zh-CN"/>
              </w:rPr>
              <w:t>李文韬</w:t>
            </w:r>
          </w:p>
          <w:p w14:paraId="27242AC9">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val="en-US" w:eastAsia="zh-CN"/>
              </w:rPr>
              <w:t>0550-3567705</w:t>
            </w:r>
          </w:p>
          <w:p w14:paraId="274C3374">
            <w:pPr>
              <w:spacing w:line="540" w:lineRule="exact"/>
              <w:ind w:firstLine="7140" w:firstLineChars="2550"/>
              <w:rPr>
                <w:rFonts w:hint="eastAsia" w:ascii="宋体" w:cs="宋体"/>
                <w:color w:val="auto"/>
                <w:sz w:val="28"/>
                <w:szCs w:val="28"/>
                <w:highlight w:val="none"/>
              </w:rPr>
            </w:pPr>
          </w:p>
          <w:p w14:paraId="3962A467">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5C6AA4CC">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5</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6</w:t>
            </w:r>
            <w:r>
              <w:rPr>
                <w:rFonts w:hint="eastAsia" w:ascii="宋体" w:cs="宋体"/>
                <w:color w:val="auto"/>
                <w:sz w:val="28"/>
                <w:szCs w:val="28"/>
                <w:highlight w:val="none"/>
              </w:rPr>
              <w:t>月</w:t>
            </w:r>
          </w:p>
        </w:tc>
      </w:tr>
      <w:tr w14:paraId="153731D7">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18F597BF">
            <w:pPr>
              <w:spacing w:line="440" w:lineRule="exact"/>
              <w:rPr>
                <w:rFonts w:hint="eastAsia" w:ascii="宋体" w:cs="宋体"/>
                <w:color w:val="auto"/>
                <w:sz w:val="28"/>
                <w:szCs w:val="28"/>
                <w:highlight w:val="none"/>
              </w:rPr>
            </w:pPr>
          </w:p>
          <w:p w14:paraId="566645CD">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招标代理机构：</w:t>
            </w:r>
            <w:r>
              <w:rPr>
                <w:rFonts w:hint="eastAsia" w:ascii="宋体" w:cs="宋体"/>
                <w:color w:val="auto"/>
                <w:sz w:val="28"/>
                <w:szCs w:val="28"/>
                <w:highlight w:val="none"/>
                <w:lang w:eastAsia="zh-CN"/>
              </w:rPr>
              <w:t>滁州市城投工程咨询管理有限公司</w:t>
            </w:r>
          </w:p>
          <w:p w14:paraId="730FDAA7">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经办人：杨韦</w:t>
            </w:r>
          </w:p>
          <w:p w14:paraId="27094934">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电  话：0550-3519590、18005501210</w:t>
            </w:r>
          </w:p>
          <w:p w14:paraId="48D7841B">
            <w:pPr>
              <w:spacing w:line="520" w:lineRule="exact"/>
              <w:ind w:firstLine="6300" w:firstLineChars="2250"/>
              <w:rPr>
                <w:rFonts w:hint="eastAsia" w:ascii="宋体" w:cs="宋体"/>
                <w:color w:val="auto"/>
                <w:sz w:val="28"/>
                <w:szCs w:val="28"/>
                <w:highlight w:val="none"/>
              </w:rPr>
            </w:pPr>
          </w:p>
          <w:p w14:paraId="534A3959">
            <w:pPr>
              <w:pStyle w:val="2"/>
              <w:rPr>
                <w:rFonts w:hint="eastAsia"/>
                <w:color w:val="auto"/>
                <w:highlight w:val="none"/>
              </w:rPr>
            </w:pPr>
          </w:p>
          <w:p w14:paraId="3107D450">
            <w:pPr>
              <w:spacing w:line="520" w:lineRule="exact"/>
              <w:ind w:firstLine="6580" w:firstLineChars="2350"/>
              <w:rPr>
                <w:rFonts w:hint="eastAsia" w:ascii="宋体" w:cs="宋体"/>
                <w:color w:val="auto"/>
                <w:sz w:val="28"/>
                <w:szCs w:val="28"/>
                <w:highlight w:val="none"/>
              </w:rPr>
            </w:pPr>
          </w:p>
          <w:p w14:paraId="069F4B12">
            <w:pPr>
              <w:spacing w:line="52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08CEDDAB">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5</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6</w:t>
            </w:r>
            <w:r>
              <w:rPr>
                <w:rFonts w:hint="eastAsia" w:ascii="宋体" w:cs="宋体"/>
                <w:color w:val="auto"/>
                <w:sz w:val="28"/>
                <w:szCs w:val="28"/>
                <w:highlight w:val="none"/>
              </w:rPr>
              <w:t>月</w:t>
            </w:r>
          </w:p>
        </w:tc>
      </w:tr>
      <w:bookmarkEnd w:id="0"/>
    </w:tbl>
    <w:p w14:paraId="46C44FC7">
      <w:pPr>
        <w:rPr>
          <w:color w:val="auto"/>
          <w:highlight w:val="none"/>
        </w:rPr>
      </w:pPr>
    </w:p>
    <w:sectPr>
      <w:headerReference r:id="rId11" w:type="default"/>
      <w:footerReference r:id="rId12"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Segoe Print"/>
    <w:panose1 w:val="020B0604020202020204"/>
    <w:charset w:val="00"/>
    <w:family w:val="swiss"/>
    <w:pitch w:val="default"/>
    <w:sig w:usb0="00000000" w:usb1="00000000" w:usb2="00000000" w:usb3="00000000" w:csb0="4001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Wingdings 2">
    <w:altName w:val="Wingdings"/>
    <w:panose1 w:val="050201020105070707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宋体-18030">
    <w:altName w:val="宋体"/>
    <w:panose1 w:val="02010609060101010101"/>
    <w:charset w:val="86"/>
    <w:family w:val="modern"/>
    <w:pitch w:val="default"/>
    <w:sig w:usb0="00000000" w:usb1="00000000" w:usb2="000A005E" w:usb3="00000000" w:csb0="00040001" w:csb1="00000000"/>
  </w:font>
  <w:font w:name="Kingsoft UE">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899A8">
    <w:pPr>
      <w:pStyle w:val="26"/>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A9FD2">
    <w:pPr>
      <w:pStyle w:val="26"/>
      <w:framePr w:wrap="around" w:vAnchor="text" w:hAnchor="margin" w:xAlign="center" w:y="1"/>
      <w:tabs>
        <w:tab w:val="clear" w:pos="4153"/>
        <w:tab w:val="clear" w:pos="8306"/>
      </w:tabs>
      <w:rPr>
        <w:rStyle w:val="41"/>
      </w:rPr>
    </w:pPr>
    <w:r>
      <w:fldChar w:fldCharType="begin"/>
    </w:r>
    <w:r>
      <w:rPr>
        <w:rStyle w:val="41"/>
      </w:rPr>
      <w:instrText xml:space="preserve">PAGE  </w:instrText>
    </w:r>
    <w:r>
      <w:fldChar w:fldCharType="separate"/>
    </w:r>
    <w:r>
      <w:t xml:space="preserve"> </w:t>
    </w:r>
    <w:r>
      <w:fldChar w:fldCharType="end"/>
    </w:r>
  </w:p>
  <w:p w14:paraId="4FBD729B">
    <w:pPr>
      <w:pStyle w:val="26"/>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1B572">
    <w:pPr>
      <w:pStyle w:val="26"/>
      <w:framePr w:wrap="around" w:vAnchor="text" w:hAnchor="margin" w:xAlign="center" w:y="1"/>
      <w:tabs>
        <w:tab w:val="clear" w:pos="4153"/>
        <w:tab w:val="clear" w:pos="8306"/>
      </w:tabs>
      <w:rPr>
        <w:rStyle w:val="41"/>
        <w:rFonts w:hint="eastAsia"/>
      </w:rPr>
    </w:pPr>
  </w:p>
  <w:p w14:paraId="7F09E75A">
    <w:pPr>
      <w:pStyle w:val="26"/>
      <w:tabs>
        <w:tab w:val="clear" w:pos="4153"/>
        <w:tab w:val="clear" w:pos="8306"/>
      </w:tabs>
      <w:rPr>
        <w:rFonts w:hint="eastAsia"/>
        <w:szCs w:val="21"/>
      </w:rPr>
    </w:pPr>
  </w:p>
  <w:p w14:paraId="2C26D3AE">
    <w:pPr>
      <w:pStyle w:val="26"/>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0AC1B">
    <w:pPr>
      <w:pStyle w:val="26"/>
      <w:tabs>
        <w:tab w:val="clear" w:pos="4153"/>
        <w:tab w:val="clear" w:pos="8306"/>
      </w:tabs>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12675F0">
                          <w:pPr>
                            <w:pStyle w:val="2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&#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AZKvhZ0QEAAKMDAAAOAAAAAAAAAAEAIAAAACIB&#10;AABkcnMvZTJvRG9jLnhtbFBLBQYAAAAABgAGAFkBAABlBQAAAAA=&#10;">
              <v:fill on="f" focussize="0,0"/>
              <v:stroke on="f" weight="1.25pt"/>
              <v:imagedata o:title=""/>
              <o:lock v:ext="edit" aspectratio="f"/>
              <v:textbox inset="0mm,0mm,0mm,0mm" style="mso-fit-shape-to-text:t;">
                <w:txbxContent>
                  <w:p w14:paraId="112675F0">
                    <w:pPr>
                      <w:pStyle w:val="2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7F11B">
    <w:pPr>
      <w:pStyle w:val="26"/>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F568D2A">
                          <w:pPr>
                            <w:pStyle w:val="26"/>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6F568D2A">
                    <w:pPr>
                      <w:pStyle w:val="26"/>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76800">
    <w:pPr>
      <w:pStyle w:val="26"/>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D650BE0">
                          <w:pPr>
                            <w:pStyle w:val="26"/>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3D650BE0">
                    <w:pPr>
                      <w:pStyle w:val="26"/>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C1E3E">
    <w:pPr>
      <w:pStyle w:val="27"/>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09A2F">
    <w:pPr>
      <w:pStyle w:val="2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37C97">
    <w:pPr>
      <w:pStyle w:val="27"/>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11F68">
    <w:pPr>
      <w:pStyle w:val="27"/>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9"/>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4"/>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5"/>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2"/>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
    <w:nsid w:val="6F1D7D26"/>
    <w:multiLevelType w:val="multilevel"/>
    <w:tmpl w:val="6F1D7D26"/>
    <w:lvl w:ilvl="0" w:tentative="0">
      <w:start w:val="1"/>
      <w:numFmt w:val="decimal"/>
      <w:pStyle w:val="29"/>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7"/>
  </w:num>
  <w:num w:numId="4">
    <w:abstractNumId w:val="3"/>
  </w:num>
  <w:num w:numId="5">
    <w:abstractNumId w:val="4"/>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hZTMzYTUwMDQ2NGI5ZjlmZDhiN2FjZGE2OTYyZDY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0B91"/>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07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317BAC"/>
    <w:rsid w:val="0156352C"/>
    <w:rsid w:val="0160078A"/>
    <w:rsid w:val="016025FC"/>
    <w:rsid w:val="01727AD4"/>
    <w:rsid w:val="018C519F"/>
    <w:rsid w:val="01910A08"/>
    <w:rsid w:val="01A56261"/>
    <w:rsid w:val="01CE57B8"/>
    <w:rsid w:val="01E00D2D"/>
    <w:rsid w:val="01F30A1B"/>
    <w:rsid w:val="02136A35"/>
    <w:rsid w:val="02184C85"/>
    <w:rsid w:val="02263E9A"/>
    <w:rsid w:val="02276CDB"/>
    <w:rsid w:val="02602E58"/>
    <w:rsid w:val="026A14A8"/>
    <w:rsid w:val="0284108D"/>
    <w:rsid w:val="02846ED2"/>
    <w:rsid w:val="029F0F02"/>
    <w:rsid w:val="02AB3F80"/>
    <w:rsid w:val="02F92D08"/>
    <w:rsid w:val="02FF011F"/>
    <w:rsid w:val="0306625F"/>
    <w:rsid w:val="0314369E"/>
    <w:rsid w:val="032B6C3A"/>
    <w:rsid w:val="03433F84"/>
    <w:rsid w:val="034D4E02"/>
    <w:rsid w:val="03636F78"/>
    <w:rsid w:val="038E49F0"/>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797E31"/>
    <w:rsid w:val="069717B9"/>
    <w:rsid w:val="06D0451E"/>
    <w:rsid w:val="06DA6FC6"/>
    <w:rsid w:val="06EB6E0C"/>
    <w:rsid w:val="06F34B4B"/>
    <w:rsid w:val="06FF299A"/>
    <w:rsid w:val="070A729C"/>
    <w:rsid w:val="07342561"/>
    <w:rsid w:val="073C599D"/>
    <w:rsid w:val="073E5575"/>
    <w:rsid w:val="074128B0"/>
    <w:rsid w:val="074A10F8"/>
    <w:rsid w:val="074D3623"/>
    <w:rsid w:val="0761194E"/>
    <w:rsid w:val="076432D3"/>
    <w:rsid w:val="0781151E"/>
    <w:rsid w:val="07B54D24"/>
    <w:rsid w:val="07B63215"/>
    <w:rsid w:val="07B77A9C"/>
    <w:rsid w:val="07BC624E"/>
    <w:rsid w:val="07DC7A53"/>
    <w:rsid w:val="07F729B9"/>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441B5"/>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A6314"/>
    <w:rsid w:val="0B212C3A"/>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271088"/>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B63A18"/>
    <w:rsid w:val="0CBD3A66"/>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110D22"/>
    <w:rsid w:val="0E554C8F"/>
    <w:rsid w:val="0E5A2C39"/>
    <w:rsid w:val="0E736B11"/>
    <w:rsid w:val="0E7F3562"/>
    <w:rsid w:val="0E8E126E"/>
    <w:rsid w:val="0EBD2885"/>
    <w:rsid w:val="0EC34B2B"/>
    <w:rsid w:val="0ECA6B2D"/>
    <w:rsid w:val="0ECB5D10"/>
    <w:rsid w:val="0ECC1E18"/>
    <w:rsid w:val="0EE11257"/>
    <w:rsid w:val="0EE35EF2"/>
    <w:rsid w:val="0EEE7499"/>
    <w:rsid w:val="0EFA5849"/>
    <w:rsid w:val="0F16254C"/>
    <w:rsid w:val="0F1E6594"/>
    <w:rsid w:val="0F295746"/>
    <w:rsid w:val="0F2B6888"/>
    <w:rsid w:val="0F4F5F19"/>
    <w:rsid w:val="0F547B71"/>
    <w:rsid w:val="0F590199"/>
    <w:rsid w:val="0F7936CC"/>
    <w:rsid w:val="0F882744"/>
    <w:rsid w:val="0F8F3081"/>
    <w:rsid w:val="0FA5195F"/>
    <w:rsid w:val="0FAD4701"/>
    <w:rsid w:val="0FC621C4"/>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2FB3F33"/>
    <w:rsid w:val="130D010A"/>
    <w:rsid w:val="130E5DFE"/>
    <w:rsid w:val="1318492B"/>
    <w:rsid w:val="13195D86"/>
    <w:rsid w:val="133415D2"/>
    <w:rsid w:val="13390EFF"/>
    <w:rsid w:val="134659BB"/>
    <w:rsid w:val="13534D6F"/>
    <w:rsid w:val="135D699C"/>
    <w:rsid w:val="1362355A"/>
    <w:rsid w:val="136B46BF"/>
    <w:rsid w:val="13860D94"/>
    <w:rsid w:val="138A779A"/>
    <w:rsid w:val="138D2BCA"/>
    <w:rsid w:val="139879D4"/>
    <w:rsid w:val="13A12FBB"/>
    <w:rsid w:val="13C44C6D"/>
    <w:rsid w:val="13EB044B"/>
    <w:rsid w:val="13F53078"/>
    <w:rsid w:val="13FD017F"/>
    <w:rsid w:val="1400703C"/>
    <w:rsid w:val="14024E31"/>
    <w:rsid w:val="142F0857"/>
    <w:rsid w:val="1436652A"/>
    <w:rsid w:val="1437543F"/>
    <w:rsid w:val="1444680B"/>
    <w:rsid w:val="14473B09"/>
    <w:rsid w:val="14526E7B"/>
    <w:rsid w:val="145853B5"/>
    <w:rsid w:val="147246C9"/>
    <w:rsid w:val="14834C84"/>
    <w:rsid w:val="14840D97"/>
    <w:rsid w:val="14861F22"/>
    <w:rsid w:val="148D4AEF"/>
    <w:rsid w:val="14A32AD4"/>
    <w:rsid w:val="14CA62B3"/>
    <w:rsid w:val="14CF3D47"/>
    <w:rsid w:val="14D94AE9"/>
    <w:rsid w:val="14E1184E"/>
    <w:rsid w:val="14EB2AE0"/>
    <w:rsid w:val="14F50E56"/>
    <w:rsid w:val="14F7288F"/>
    <w:rsid w:val="14FC59FF"/>
    <w:rsid w:val="15063688"/>
    <w:rsid w:val="151E65FF"/>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E86EC4"/>
    <w:rsid w:val="16F21AF1"/>
    <w:rsid w:val="16F45869"/>
    <w:rsid w:val="17025136"/>
    <w:rsid w:val="17080CB3"/>
    <w:rsid w:val="17104E33"/>
    <w:rsid w:val="172779EC"/>
    <w:rsid w:val="172C5003"/>
    <w:rsid w:val="17435B9A"/>
    <w:rsid w:val="17481711"/>
    <w:rsid w:val="17530278"/>
    <w:rsid w:val="17654405"/>
    <w:rsid w:val="1770488D"/>
    <w:rsid w:val="177251DB"/>
    <w:rsid w:val="179F403B"/>
    <w:rsid w:val="17B46DA6"/>
    <w:rsid w:val="17E07B23"/>
    <w:rsid w:val="17EA1B3B"/>
    <w:rsid w:val="17F04282"/>
    <w:rsid w:val="181D21AB"/>
    <w:rsid w:val="18241EFA"/>
    <w:rsid w:val="182551D2"/>
    <w:rsid w:val="18302625"/>
    <w:rsid w:val="183C5221"/>
    <w:rsid w:val="184B770B"/>
    <w:rsid w:val="18716A45"/>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2A5A0F"/>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9F789A"/>
    <w:rsid w:val="1AA37850"/>
    <w:rsid w:val="1AA650CC"/>
    <w:rsid w:val="1AA864FA"/>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62263"/>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8B67FB"/>
    <w:rsid w:val="1D9F19C4"/>
    <w:rsid w:val="1DA575B0"/>
    <w:rsid w:val="1DAF24EA"/>
    <w:rsid w:val="1DB375C5"/>
    <w:rsid w:val="1DB46449"/>
    <w:rsid w:val="1DBC69B5"/>
    <w:rsid w:val="1DC332DD"/>
    <w:rsid w:val="1DDB0E18"/>
    <w:rsid w:val="1DE80C95"/>
    <w:rsid w:val="1DEF6D8A"/>
    <w:rsid w:val="1E061E25"/>
    <w:rsid w:val="1E226345"/>
    <w:rsid w:val="1E37428D"/>
    <w:rsid w:val="1E3A6C06"/>
    <w:rsid w:val="1E424E8A"/>
    <w:rsid w:val="1E6C5E06"/>
    <w:rsid w:val="1E7054DA"/>
    <w:rsid w:val="1E736290"/>
    <w:rsid w:val="1E8C6387"/>
    <w:rsid w:val="1E9A6CF6"/>
    <w:rsid w:val="1EAA4A5F"/>
    <w:rsid w:val="1EB06519"/>
    <w:rsid w:val="1EB458DE"/>
    <w:rsid w:val="1EC00497"/>
    <w:rsid w:val="1EDA5344"/>
    <w:rsid w:val="1EE613D0"/>
    <w:rsid w:val="1EF1268E"/>
    <w:rsid w:val="1EF21855"/>
    <w:rsid w:val="1EF501D6"/>
    <w:rsid w:val="1F1830CB"/>
    <w:rsid w:val="1F1D4CEA"/>
    <w:rsid w:val="1F3431EF"/>
    <w:rsid w:val="1F412ACD"/>
    <w:rsid w:val="1F896D6A"/>
    <w:rsid w:val="1FA51C58"/>
    <w:rsid w:val="1FA7649E"/>
    <w:rsid w:val="1FBE7B22"/>
    <w:rsid w:val="1FCD4EA9"/>
    <w:rsid w:val="20061562"/>
    <w:rsid w:val="200A7EAB"/>
    <w:rsid w:val="2017317A"/>
    <w:rsid w:val="201D0468"/>
    <w:rsid w:val="202625AA"/>
    <w:rsid w:val="202857A9"/>
    <w:rsid w:val="202D76F6"/>
    <w:rsid w:val="203D7B26"/>
    <w:rsid w:val="20983E85"/>
    <w:rsid w:val="20B10327"/>
    <w:rsid w:val="20B15A28"/>
    <w:rsid w:val="20C655D1"/>
    <w:rsid w:val="20C77B4A"/>
    <w:rsid w:val="20C92795"/>
    <w:rsid w:val="20D65FDF"/>
    <w:rsid w:val="20DB0CE4"/>
    <w:rsid w:val="20E961FA"/>
    <w:rsid w:val="211A14D6"/>
    <w:rsid w:val="211F34E2"/>
    <w:rsid w:val="2132735C"/>
    <w:rsid w:val="21564CC5"/>
    <w:rsid w:val="21725E20"/>
    <w:rsid w:val="217F21D3"/>
    <w:rsid w:val="21894835"/>
    <w:rsid w:val="219F6403"/>
    <w:rsid w:val="21A148C9"/>
    <w:rsid w:val="21A84B20"/>
    <w:rsid w:val="21A9725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2860"/>
    <w:rsid w:val="22B1460E"/>
    <w:rsid w:val="22F10EAE"/>
    <w:rsid w:val="230D3F37"/>
    <w:rsid w:val="231128EB"/>
    <w:rsid w:val="23307C29"/>
    <w:rsid w:val="233415C5"/>
    <w:rsid w:val="234C07DB"/>
    <w:rsid w:val="23566F63"/>
    <w:rsid w:val="2362143C"/>
    <w:rsid w:val="23645B24"/>
    <w:rsid w:val="2386225E"/>
    <w:rsid w:val="23887A65"/>
    <w:rsid w:val="238E2BA1"/>
    <w:rsid w:val="239A6033"/>
    <w:rsid w:val="23A418A2"/>
    <w:rsid w:val="23AE1EA3"/>
    <w:rsid w:val="23C40371"/>
    <w:rsid w:val="23D11B74"/>
    <w:rsid w:val="23D5432C"/>
    <w:rsid w:val="23EE71CC"/>
    <w:rsid w:val="2404346B"/>
    <w:rsid w:val="24172B97"/>
    <w:rsid w:val="241C5D1B"/>
    <w:rsid w:val="24292475"/>
    <w:rsid w:val="242977C5"/>
    <w:rsid w:val="24351601"/>
    <w:rsid w:val="24375486"/>
    <w:rsid w:val="24390A60"/>
    <w:rsid w:val="243E33BC"/>
    <w:rsid w:val="246F7026"/>
    <w:rsid w:val="247B31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B7744"/>
    <w:rsid w:val="2651082C"/>
    <w:rsid w:val="267E7EE2"/>
    <w:rsid w:val="26A804CA"/>
    <w:rsid w:val="26C66AA9"/>
    <w:rsid w:val="26DD1E76"/>
    <w:rsid w:val="26F64CE5"/>
    <w:rsid w:val="26F87EF2"/>
    <w:rsid w:val="270671A8"/>
    <w:rsid w:val="271703C5"/>
    <w:rsid w:val="27351CB2"/>
    <w:rsid w:val="27361586"/>
    <w:rsid w:val="275163C0"/>
    <w:rsid w:val="277D1B2D"/>
    <w:rsid w:val="27835FFC"/>
    <w:rsid w:val="2794279E"/>
    <w:rsid w:val="279E7050"/>
    <w:rsid w:val="27A466B8"/>
    <w:rsid w:val="27AF6D80"/>
    <w:rsid w:val="27B0198F"/>
    <w:rsid w:val="27B92AB7"/>
    <w:rsid w:val="27D43FB1"/>
    <w:rsid w:val="27DE552A"/>
    <w:rsid w:val="27E022D4"/>
    <w:rsid w:val="27EA3BC0"/>
    <w:rsid w:val="27F84A8D"/>
    <w:rsid w:val="27FC3AE4"/>
    <w:rsid w:val="28065AFB"/>
    <w:rsid w:val="280C4E96"/>
    <w:rsid w:val="281B7D88"/>
    <w:rsid w:val="282E4FCE"/>
    <w:rsid w:val="28342B35"/>
    <w:rsid w:val="2834568E"/>
    <w:rsid w:val="283F0442"/>
    <w:rsid w:val="284E32AF"/>
    <w:rsid w:val="28520641"/>
    <w:rsid w:val="286D1F27"/>
    <w:rsid w:val="287E1436"/>
    <w:rsid w:val="28924EE2"/>
    <w:rsid w:val="28975940"/>
    <w:rsid w:val="28A2738B"/>
    <w:rsid w:val="28A86838"/>
    <w:rsid w:val="28C4031B"/>
    <w:rsid w:val="28CB6760"/>
    <w:rsid w:val="28DA7C9C"/>
    <w:rsid w:val="28EC71CA"/>
    <w:rsid w:val="290B259E"/>
    <w:rsid w:val="291D0C4F"/>
    <w:rsid w:val="2924258A"/>
    <w:rsid w:val="29274E04"/>
    <w:rsid w:val="293F46A3"/>
    <w:rsid w:val="296D1EE4"/>
    <w:rsid w:val="29944EB8"/>
    <w:rsid w:val="299C4433"/>
    <w:rsid w:val="29DB4666"/>
    <w:rsid w:val="29E4351B"/>
    <w:rsid w:val="29E736D3"/>
    <w:rsid w:val="29EC0622"/>
    <w:rsid w:val="29F90BEA"/>
    <w:rsid w:val="29FB1FE8"/>
    <w:rsid w:val="29FE68AE"/>
    <w:rsid w:val="2A031B89"/>
    <w:rsid w:val="2A070C32"/>
    <w:rsid w:val="2A0B0AA8"/>
    <w:rsid w:val="2A1F6D8E"/>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553EE9"/>
    <w:rsid w:val="2B674404"/>
    <w:rsid w:val="2B6E1B3C"/>
    <w:rsid w:val="2B801021"/>
    <w:rsid w:val="2B91322F"/>
    <w:rsid w:val="2B9A7696"/>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EF46B1"/>
    <w:rsid w:val="2CF220D0"/>
    <w:rsid w:val="2D032370"/>
    <w:rsid w:val="2D056154"/>
    <w:rsid w:val="2D094BEA"/>
    <w:rsid w:val="2D2A52C6"/>
    <w:rsid w:val="2D4D7629"/>
    <w:rsid w:val="2D880661"/>
    <w:rsid w:val="2D8F1DD6"/>
    <w:rsid w:val="2D915A33"/>
    <w:rsid w:val="2D954534"/>
    <w:rsid w:val="2D9800A5"/>
    <w:rsid w:val="2DC3712A"/>
    <w:rsid w:val="2DE171DF"/>
    <w:rsid w:val="2DEF1551"/>
    <w:rsid w:val="2E0200C9"/>
    <w:rsid w:val="2E3C6ABB"/>
    <w:rsid w:val="2E4345B4"/>
    <w:rsid w:val="2E5A3DAC"/>
    <w:rsid w:val="2E5D53FD"/>
    <w:rsid w:val="2E61599C"/>
    <w:rsid w:val="2E6332CF"/>
    <w:rsid w:val="2E6D3D40"/>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663F8"/>
    <w:rsid w:val="301B0290"/>
    <w:rsid w:val="303C4D07"/>
    <w:rsid w:val="306461F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1E71DFA"/>
    <w:rsid w:val="3201528F"/>
    <w:rsid w:val="322F3FB8"/>
    <w:rsid w:val="32391589"/>
    <w:rsid w:val="32454D73"/>
    <w:rsid w:val="324C06E6"/>
    <w:rsid w:val="324C4353"/>
    <w:rsid w:val="32537654"/>
    <w:rsid w:val="327775A4"/>
    <w:rsid w:val="32794A1C"/>
    <w:rsid w:val="327B7589"/>
    <w:rsid w:val="32931F82"/>
    <w:rsid w:val="32B10314"/>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D18BD"/>
    <w:rsid w:val="33A37FA3"/>
    <w:rsid w:val="33B73A4E"/>
    <w:rsid w:val="33B946F2"/>
    <w:rsid w:val="33B95A18"/>
    <w:rsid w:val="33D4718D"/>
    <w:rsid w:val="33DC0716"/>
    <w:rsid w:val="33E54418"/>
    <w:rsid w:val="33F07509"/>
    <w:rsid w:val="33F627C9"/>
    <w:rsid w:val="340467E0"/>
    <w:rsid w:val="341A5E10"/>
    <w:rsid w:val="34272982"/>
    <w:rsid w:val="342804A8"/>
    <w:rsid w:val="343C7EFD"/>
    <w:rsid w:val="34472085"/>
    <w:rsid w:val="34545741"/>
    <w:rsid w:val="34572B3B"/>
    <w:rsid w:val="346D0033"/>
    <w:rsid w:val="3474193F"/>
    <w:rsid w:val="347A4AA6"/>
    <w:rsid w:val="347C3D10"/>
    <w:rsid w:val="34BA5036"/>
    <w:rsid w:val="34BC5AFA"/>
    <w:rsid w:val="34C24459"/>
    <w:rsid w:val="34C91AA1"/>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8D4567"/>
    <w:rsid w:val="369D7707"/>
    <w:rsid w:val="36AB2FBA"/>
    <w:rsid w:val="36C3270A"/>
    <w:rsid w:val="36FF4B7D"/>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ED7A3F"/>
    <w:rsid w:val="37F75EE1"/>
    <w:rsid w:val="38172D0E"/>
    <w:rsid w:val="38317A04"/>
    <w:rsid w:val="38430BE0"/>
    <w:rsid w:val="384B5B0E"/>
    <w:rsid w:val="38591578"/>
    <w:rsid w:val="385B0E4C"/>
    <w:rsid w:val="385C66C2"/>
    <w:rsid w:val="38645F08"/>
    <w:rsid w:val="38697E97"/>
    <w:rsid w:val="387168C2"/>
    <w:rsid w:val="387548B4"/>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B3512"/>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615DAA"/>
    <w:rsid w:val="3B944458"/>
    <w:rsid w:val="3B954675"/>
    <w:rsid w:val="3B9823B7"/>
    <w:rsid w:val="3BAF7463"/>
    <w:rsid w:val="3BB271C7"/>
    <w:rsid w:val="3BB557AB"/>
    <w:rsid w:val="3BBF5B96"/>
    <w:rsid w:val="3BC744EA"/>
    <w:rsid w:val="3BCE135D"/>
    <w:rsid w:val="3BD60968"/>
    <w:rsid w:val="3C4414D2"/>
    <w:rsid w:val="3C487FE4"/>
    <w:rsid w:val="3C595B04"/>
    <w:rsid w:val="3C5C17D2"/>
    <w:rsid w:val="3C5F42F8"/>
    <w:rsid w:val="3C6C0F9B"/>
    <w:rsid w:val="3C7301F1"/>
    <w:rsid w:val="3C7356FA"/>
    <w:rsid w:val="3C860462"/>
    <w:rsid w:val="3CA1704A"/>
    <w:rsid w:val="3CCA5D29"/>
    <w:rsid w:val="3CD4741F"/>
    <w:rsid w:val="3CFB3A43"/>
    <w:rsid w:val="3CFB661F"/>
    <w:rsid w:val="3D0B626C"/>
    <w:rsid w:val="3D0F4D1C"/>
    <w:rsid w:val="3D167A38"/>
    <w:rsid w:val="3D487A50"/>
    <w:rsid w:val="3D5139EC"/>
    <w:rsid w:val="3D7A6218"/>
    <w:rsid w:val="3D8552FA"/>
    <w:rsid w:val="3D8C367A"/>
    <w:rsid w:val="3DB039E8"/>
    <w:rsid w:val="3DCF2188"/>
    <w:rsid w:val="3DD1570D"/>
    <w:rsid w:val="3DDE7492"/>
    <w:rsid w:val="3DF2026B"/>
    <w:rsid w:val="3DF80EEB"/>
    <w:rsid w:val="3DFA1107"/>
    <w:rsid w:val="3DFF04CC"/>
    <w:rsid w:val="3E0E6961"/>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7E18C4"/>
    <w:rsid w:val="3F821E5A"/>
    <w:rsid w:val="3F826617"/>
    <w:rsid w:val="3F882148"/>
    <w:rsid w:val="3FAD5B09"/>
    <w:rsid w:val="3FAF5707"/>
    <w:rsid w:val="3FD61700"/>
    <w:rsid w:val="3FD85683"/>
    <w:rsid w:val="3FF130F6"/>
    <w:rsid w:val="3FFA5B87"/>
    <w:rsid w:val="3FFF6096"/>
    <w:rsid w:val="40044B90"/>
    <w:rsid w:val="40153FD6"/>
    <w:rsid w:val="402042D4"/>
    <w:rsid w:val="40273D0A"/>
    <w:rsid w:val="40310071"/>
    <w:rsid w:val="4045485F"/>
    <w:rsid w:val="4081166C"/>
    <w:rsid w:val="40A01D3A"/>
    <w:rsid w:val="40C652D1"/>
    <w:rsid w:val="40C92CD2"/>
    <w:rsid w:val="40EE1315"/>
    <w:rsid w:val="410B7187"/>
    <w:rsid w:val="411249BA"/>
    <w:rsid w:val="41166258"/>
    <w:rsid w:val="414172BF"/>
    <w:rsid w:val="414C7ECC"/>
    <w:rsid w:val="416A190F"/>
    <w:rsid w:val="416E7E42"/>
    <w:rsid w:val="416F3BBA"/>
    <w:rsid w:val="418770B8"/>
    <w:rsid w:val="41AD023F"/>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50816"/>
    <w:rsid w:val="445826E4"/>
    <w:rsid w:val="44592AFA"/>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0A3EB2"/>
    <w:rsid w:val="46121C64"/>
    <w:rsid w:val="46162856"/>
    <w:rsid w:val="46226EB0"/>
    <w:rsid w:val="46326FF4"/>
    <w:rsid w:val="4658671E"/>
    <w:rsid w:val="465C2A22"/>
    <w:rsid w:val="466E205D"/>
    <w:rsid w:val="467911B3"/>
    <w:rsid w:val="46812B8D"/>
    <w:rsid w:val="46832413"/>
    <w:rsid w:val="46885E2A"/>
    <w:rsid w:val="469849D2"/>
    <w:rsid w:val="469F2601"/>
    <w:rsid w:val="46A82FBF"/>
    <w:rsid w:val="46AB40C3"/>
    <w:rsid w:val="46BA58D8"/>
    <w:rsid w:val="46C439A8"/>
    <w:rsid w:val="46CE7995"/>
    <w:rsid w:val="46D7323F"/>
    <w:rsid w:val="46E0501A"/>
    <w:rsid w:val="46F10BCE"/>
    <w:rsid w:val="46FC1214"/>
    <w:rsid w:val="47021DBA"/>
    <w:rsid w:val="47116AAD"/>
    <w:rsid w:val="471F2FD5"/>
    <w:rsid w:val="475D3DAD"/>
    <w:rsid w:val="47705F96"/>
    <w:rsid w:val="479C5383"/>
    <w:rsid w:val="479F646B"/>
    <w:rsid w:val="47A56FB4"/>
    <w:rsid w:val="47AD7CF1"/>
    <w:rsid w:val="47B9547A"/>
    <w:rsid w:val="47D67F88"/>
    <w:rsid w:val="4803505C"/>
    <w:rsid w:val="480831B5"/>
    <w:rsid w:val="480D66CD"/>
    <w:rsid w:val="480F105A"/>
    <w:rsid w:val="48194880"/>
    <w:rsid w:val="482849BA"/>
    <w:rsid w:val="483D056E"/>
    <w:rsid w:val="483F2BC9"/>
    <w:rsid w:val="485A1120"/>
    <w:rsid w:val="48A7549C"/>
    <w:rsid w:val="48B545A9"/>
    <w:rsid w:val="48BA15B1"/>
    <w:rsid w:val="48C93BB0"/>
    <w:rsid w:val="48D273AC"/>
    <w:rsid w:val="48D76D49"/>
    <w:rsid w:val="48E97759"/>
    <w:rsid w:val="491F1E48"/>
    <w:rsid w:val="492139EC"/>
    <w:rsid w:val="492359B6"/>
    <w:rsid w:val="49337978"/>
    <w:rsid w:val="495D26EB"/>
    <w:rsid w:val="49600707"/>
    <w:rsid w:val="49656EDC"/>
    <w:rsid w:val="49793828"/>
    <w:rsid w:val="4987138C"/>
    <w:rsid w:val="49883A6B"/>
    <w:rsid w:val="49B91793"/>
    <w:rsid w:val="49C37596"/>
    <w:rsid w:val="49CD147E"/>
    <w:rsid w:val="49CF169A"/>
    <w:rsid w:val="49D348F2"/>
    <w:rsid w:val="49E204D8"/>
    <w:rsid w:val="49FA66B9"/>
    <w:rsid w:val="4A0D3F70"/>
    <w:rsid w:val="4A103FF4"/>
    <w:rsid w:val="4A1277D9"/>
    <w:rsid w:val="4A2F2139"/>
    <w:rsid w:val="4A5D0A54"/>
    <w:rsid w:val="4A666565"/>
    <w:rsid w:val="4A7B56F5"/>
    <w:rsid w:val="4A7B66E4"/>
    <w:rsid w:val="4A7D5113"/>
    <w:rsid w:val="4A7F4FCB"/>
    <w:rsid w:val="4A812A30"/>
    <w:rsid w:val="4A89523C"/>
    <w:rsid w:val="4AB019AF"/>
    <w:rsid w:val="4AC54E91"/>
    <w:rsid w:val="4AD5154D"/>
    <w:rsid w:val="4AEA3364"/>
    <w:rsid w:val="4AF73617"/>
    <w:rsid w:val="4AFB71B8"/>
    <w:rsid w:val="4B101F6A"/>
    <w:rsid w:val="4B3F45FD"/>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9F27AB"/>
    <w:rsid w:val="4CBD4A44"/>
    <w:rsid w:val="4CD40D75"/>
    <w:rsid w:val="4CDE3815"/>
    <w:rsid w:val="4CED2983"/>
    <w:rsid w:val="4D0D2958"/>
    <w:rsid w:val="4D145493"/>
    <w:rsid w:val="4D2D4855"/>
    <w:rsid w:val="4D393332"/>
    <w:rsid w:val="4D3B01A7"/>
    <w:rsid w:val="4D4746C5"/>
    <w:rsid w:val="4D4D1254"/>
    <w:rsid w:val="4D5A74CD"/>
    <w:rsid w:val="4D6759FB"/>
    <w:rsid w:val="4D6E3517"/>
    <w:rsid w:val="4D950505"/>
    <w:rsid w:val="4DB14B03"/>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35942"/>
    <w:rsid w:val="4F0E00E7"/>
    <w:rsid w:val="4F0F2376"/>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046E2"/>
    <w:rsid w:val="5038679F"/>
    <w:rsid w:val="50463D38"/>
    <w:rsid w:val="5047222E"/>
    <w:rsid w:val="50670571"/>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DC1903"/>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30AC6"/>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4E5C05"/>
    <w:rsid w:val="58537A63"/>
    <w:rsid w:val="58643CC2"/>
    <w:rsid w:val="588075E9"/>
    <w:rsid w:val="588C2AEC"/>
    <w:rsid w:val="58CA7BFC"/>
    <w:rsid w:val="58E83887"/>
    <w:rsid w:val="58F90DE0"/>
    <w:rsid w:val="59023C1C"/>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9F6F5B"/>
    <w:rsid w:val="59A27420"/>
    <w:rsid w:val="59AD1F85"/>
    <w:rsid w:val="59D654A8"/>
    <w:rsid w:val="59D80CBB"/>
    <w:rsid w:val="5A011459"/>
    <w:rsid w:val="5A013CE4"/>
    <w:rsid w:val="5A0141A4"/>
    <w:rsid w:val="5A053904"/>
    <w:rsid w:val="5A196B54"/>
    <w:rsid w:val="5A1E47AC"/>
    <w:rsid w:val="5A447687"/>
    <w:rsid w:val="5A4C2893"/>
    <w:rsid w:val="5A5F6122"/>
    <w:rsid w:val="5A603305"/>
    <w:rsid w:val="5A701838"/>
    <w:rsid w:val="5A8156DE"/>
    <w:rsid w:val="5A84202D"/>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701E0"/>
    <w:rsid w:val="5BB926FC"/>
    <w:rsid w:val="5BF54320"/>
    <w:rsid w:val="5C1633F6"/>
    <w:rsid w:val="5C246971"/>
    <w:rsid w:val="5C4867F4"/>
    <w:rsid w:val="5C6737F1"/>
    <w:rsid w:val="5C9C18B0"/>
    <w:rsid w:val="5C9E7970"/>
    <w:rsid w:val="5CBD1826"/>
    <w:rsid w:val="5CC37F37"/>
    <w:rsid w:val="5CE943C9"/>
    <w:rsid w:val="5CF96FBB"/>
    <w:rsid w:val="5CFD1C22"/>
    <w:rsid w:val="5D044DFB"/>
    <w:rsid w:val="5D2A3C5C"/>
    <w:rsid w:val="5D2E4206"/>
    <w:rsid w:val="5D6F2B20"/>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95099F"/>
    <w:rsid w:val="5EA7453C"/>
    <w:rsid w:val="5EAE0F71"/>
    <w:rsid w:val="5ED27BE1"/>
    <w:rsid w:val="5ED35BB4"/>
    <w:rsid w:val="5ED75612"/>
    <w:rsid w:val="5F1F1B33"/>
    <w:rsid w:val="5F2136D8"/>
    <w:rsid w:val="5F2D0AE0"/>
    <w:rsid w:val="5F432EF8"/>
    <w:rsid w:val="5F47659C"/>
    <w:rsid w:val="5F526256"/>
    <w:rsid w:val="5F555D46"/>
    <w:rsid w:val="5F7E529D"/>
    <w:rsid w:val="5FA6034F"/>
    <w:rsid w:val="5FB40CBE"/>
    <w:rsid w:val="5FC2239B"/>
    <w:rsid w:val="5FCA04E2"/>
    <w:rsid w:val="5FDF1F8A"/>
    <w:rsid w:val="5FE356A8"/>
    <w:rsid w:val="5FF40024"/>
    <w:rsid w:val="602676E1"/>
    <w:rsid w:val="602E4F74"/>
    <w:rsid w:val="603418A5"/>
    <w:rsid w:val="60366D51"/>
    <w:rsid w:val="604D4C6F"/>
    <w:rsid w:val="606002D2"/>
    <w:rsid w:val="60936B26"/>
    <w:rsid w:val="60A457EB"/>
    <w:rsid w:val="60A74497"/>
    <w:rsid w:val="60B61030"/>
    <w:rsid w:val="60BE1C9B"/>
    <w:rsid w:val="60C356C4"/>
    <w:rsid w:val="60E92BEA"/>
    <w:rsid w:val="60FF41BB"/>
    <w:rsid w:val="61020C7F"/>
    <w:rsid w:val="61132CD2"/>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C610B8"/>
    <w:rsid w:val="62E224E8"/>
    <w:rsid w:val="62FE497B"/>
    <w:rsid w:val="62FF03D9"/>
    <w:rsid w:val="62FF64C2"/>
    <w:rsid w:val="630E4B89"/>
    <w:rsid w:val="63352116"/>
    <w:rsid w:val="63377DE5"/>
    <w:rsid w:val="633C769A"/>
    <w:rsid w:val="63452A53"/>
    <w:rsid w:val="63485127"/>
    <w:rsid w:val="635B58F5"/>
    <w:rsid w:val="637531A0"/>
    <w:rsid w:val="63966FB4"/>
    <w:rsid w:val="63973036"/>
    <w:rsid w:val="639B6291"/>
    <w:rsid w:val="639C2D33"/>
    <w:rsid w:val="63A105E6"/>
    <w:rsid w:val="63AD6150"/>
    <w:rsid w:val="63C96D02"/>
    <w:rsid w:val="63D36046"/>
    <w:rsid w:val="63D6255C"/>
    <w:rsid w:val="63E61F5F"/>
    <w:rsid w:val="63F00811"/>
    <w:rsid w:val="63F657AA"/>
    <w:rsid w:val="64065861"/>
    <w:rsid w:val="64144421"/>
    <w:rsid w:val="643A7DF2"/>
    <w:rsid w:val="644D7933"/>
    <w:rsid w:val="645152C2"/>
    <w:rsid w:val="64607667"/>
    <w:rsid w:val="64800394"/>
    <w:rsid w:val="648814BB"/>
    <w:rsid w:val="64975171"/>
    <w:rsid w:val="649A4B3B"/>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2159"/>
    <w:rsid w:val="656E7B61"/>
    <w:rsid w:val="657753A5"/>
    <w:rsid w:val="657A5833"/>
    <w:rsid w:val="65812DF0"/>
    <w:rsid w:val="65842EE1"/>
    <w:rsid w:val="659B022A"/>
    <w:rsid w:val="65A767B0"/>
    <w:rsid w:val="65AE3104"/>
    <w:rsid w:val="65B838A4"/>
    <w:rsid w:val="65C94D98"/>
    <w:rsid w:val="6602534E"/>
    <w:rsid w:val="66065FEC"/>
    <w:rsid w:val="660A5F17"/>
    <w:rsid w:val="66332DC3"/>
    <w:rsid w:val="6639006E"/>
    <w:rsid w:val="663C7C5F"/>
    <w:rsid w:val="663F505A"/>
    <w:rsid w:val="663F7785"/>
    <w:rsid w:val="664804B3"/>
    <w:rsid w:val="665E7BD6"/>
    <w:rsid w:val="66632EA0"/>
    <w:rsid w:val="66633E9A"/>
    <w:rsid w:val="66651C8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831701"/>
    <w:rsid w:val="699944EC"/>
    <w:rsid w:val="69995724"/>
    <w:rsid w:val="69B47EE5"/>
    <w:rsid w:val="69C4686C"/>
    <w:rsid w:val="6A176F2F"/>
    <w:rsid w:val="6A23687A"/>
    <w:rsid w:val="6A240036"/>
    <w:rsid w:val="6A372756"/>
    <w:rsid w:val="6A3B19C7"/>
    <w:rsid w:val="6A3C6480"/>
    <w:rsid w:val="6A4B20C8"/>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76CBC"/>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A94419"/>
    <w:rsid w:val="6DB3108B"/>
    <w:rsid w:val="6DBD5004"/>
    <w:rsid w:val="6DC63E68"/>
    <w:rsid w:val="6DCF4F15"/>
    <w:rsid w:val="6DD447A6"/>
    <w:rsid w:val="6DEF4626"/>
    <w:rsid w:val="6E066FBB"/>
    <w:rsid w:val="6E1152C9"/>
    <w:rsid w:val="6E4678CD"/>
    <w:rsid w:val="6E531FEA"/>
    <w:rsid w:val="6E5C6B75"/>
    <w:rsid w:val="6E6D037E"/>
    <w:rsid w:val="6E95214E"/>
    <w:rsid w:val="6E9B7282"/>
    <w:rsid w:val="6EA3225C"/>
    <w:rsid w:val="6EA84CF4"/>
    <w:rsid w:val="6EAC10F7"/>
    <w:rsid w:val="6EB135A6"/>
    <w:rsid w:val="6EBF1FE4"/>
    <w:rsid w:val="6EC5163F"/>
    <w:rsid w:val="6F003A11"/>
    <w:rsid w:val="6F0A08FB"/>
    <w:rsid w:val="6F153111"/>
    <w:rsid w:val="6F1D062A"/>
    <w:rsid w:val="6F3B3D99"/>
    <w:rsid w:val="6F415A91"/>
    <w:rsid w:val="6F5479EB"/>
    <w:rsid w:val="6F5558BD"/>
    <w:rsid w:val="6F5C177F"/>
    <w:rsid w:val="6F5E47A3"/>
    <w:rsid w:val="6F622446"/>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06E11"/>
    <w:rsid w:val="70032313"/>
    <w:rsid w:val="70057314"/>
    <w:rsid w:val="700A492A"/>
    <w:rsid w:val="701049D0"/>
    <w:rsid w:val="701653C9"/>
    <w:rsid w:val="70195AED"/>
    <w:rsid w:val="702F13E2"/>
    <w:rsid w:val="70335C2F"/>
    <w:rsid w:val="704C1556"/>
    <w:rsid w:val="705D5373"/>
    <w:rsid w:val="70724B95"/>
    <w:rsid w:val="707D50FC"/>
    <w:rsid w:val="707E0FD5"/>
    <w:rsid w:val="70867402"/>
    <w:rsid w:val="708741CD"/>
    <w:rsid w:val="70A95654"/>
    <w:rsid w:val="70C312D3"/>
    <w:rsid w:val="70D43718"/>
    <w:rsid w:val="70F73101"/>
    <w:rsid w:val="7116172E"/>
    <w:rsid w:val="71241D10"/>
    <w:rsid w:val="712437CA"/>
    <w:rsid w:val="712D0854"/>
    <w:rsid w:val="713B389B"/>
    <w:rsid w:val="7142463B"/>
    <w:rsid w:val="71910D2E"/>
    <w:rsid w:val="71A010A2"/>
    <w:rsid w:val="71AC2056"/>
    <w:rsid w:val="71C1345D"/>
    <w:rsid w:val="71CB2462"/>
    <w:rsid w:val="71D445CE"/>
    <w:rsid w:val="71DA38CD"/>
    <w:rsid w:val="71E25B41"/>
    <w:rsid w:val="71F650B9"/>
    <w:rsid w:val="71FB277D"/>
    <w:rsid w:val="720F6001"/>
    <w:rsid w:val="72473CB6"/>
    <w:rsid w:val="72686E3D"/>
    <w:rsid w:val="727A26CE"/>
    <w:rsid w:val="72983176"/>
    <w:rsid w:val="72AB51FE"/>
    <w:rsid w:val="72BB276F"/>
    <w:rsid w:val="72BE2D27"/>
    <w:rsid w:val="72C70099"/>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5B4F58"/>
    <w:rsid w:val="74820F49"/>
    <w:rsid w:val="748527D2"/>
    <w:rsid w:val="74921493"/>
    <w:rsid w:val="74A509B1"/>
    <w:rsid w:val="74B01B4A"/>
    <w:rsid w:val="74CA3328"/>
    <w:rsid w:val="74DF4B7F"/>
    <w:rsid w:val="74DF4EF4"/>
    <w:rsid w:val="74F62CED"/>
    <w:rsid w:val="74F83595"/>
    <w:rsid w:val="75120509"/>
    <w:rsid w:val="75133BF1"/>
    <w:rsid w:val="7518727D"/>
    <w:rsid w:val="752173ED"/>
    <w:rsid w:val="7530273D"/>
    <w:rsid w:val="75355FA6"/>
    <w:rsid w:val="75370EA5"/>
    <w:rsid w:val="7538094B"/>
    <w:rsid w:val="753D4E5A"/>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A9503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36589"/>
    <w:rsid w:val="782550BD"/>
    <w:rsid w:val="78261305"/>
    <w:rsid w:val="784974F5"/>
    <w:rsid w:val="784B19A6"/>
    <w:rsid w:val="78540E39"/>
    <w:rsid w:val="78681083"/>
    <w:rsid w:val="788B24B1"/>
    <w:rsid w:val="789079E5"/>
    <w:rsid w:val="7891016B"/>
    <w:rsid w:val="789B0816"/>
    <w:rsid w:val="78A04C44"/>
    <w:rsid w:val="78C338C8"/>
    <w:rsid w:val="78E72828"/>
    <w:rsid w:val="78EA7B9F"/>
    <w:rsid w:val="79224F56"/>
    <w:rsid w:val="79336CA0"/>
    <w:rsid w:val="793A7966"/>
    <w:rsid w:val="793B1C09"/>
    <w:rsid w:val="7947274B"/>
    <w:rsid w:val="797B41A3"/>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110428"/>
    <w:rsid w:val="7B113011"/>
    <w:rsid w:val="7B205002"/>
    <w:rsid w:val="7B220D7A"/>
    <w:rsid w:val="7B276391"/>
    <w:rsid w:val="7B2F5349"/>
    <w:rsid w:val="7B4707E1"/>
    <w:rsid w:val="7B5666FB"/>
    <w:rsid w:val="7B5C232E"/>
    <w:rsid w:val="7B5E12BB"/>
    <w:rsid w:val="7B637C47"/>
    <w:rsid w:val="7BA43E85"/>
    <w:rsid w:val="7BAB6FC2"/>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9C44FE"/>
    <w:rsid w:val="7CA31C79"/>
    <w:rsid w:val="7CB53251"/>
    <w:rsid w:val="7CB62D19"/>
    <w:rsid w:val="7CD93821"/>
    <w:rsid w:val="7CD95805"/>
    <w:rsid w:val="7D13314E"/>
    <w:rsid w:val="7D230DDA"/>
    <w:rsid w:val="7D365DD8"/>
    <w:rsid w:val="7D3A23FC"/>
    <w:rsid w:val="7D5E1E12"/>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qFormat="1"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6"/>
    <w:autoRedefine/>
    <w:qFormat/>
    <w:uiPriority w:val="0"/>
    <w:pPr>
      <w:keepNext/>
      <w:keepLines/>
      <w:spacing w:before="340" w:after="330" w:line="578" w:lineRule="auto"/>
      <w:outlineLvl w:val="0"/>
    </w:pPr>
    <w:rPr>
      <w:b/>
      <w:bCs/>
      <w:kern w:val="44"/>
      <w:sz w:val="44"/>
      <w:szCs w:val="44"/>
    </w:rPr>
  </w:style>
  <w:style w:type="paragraph" w:styleId="7">
    <w:name w:val="heading 2"/>
    <w:basedOn w:val="1"/>
    <w:next w:val="1"/>
    <w:autoRedefine/>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autoRedefine/>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7"/>
    <w:autoRedefine/>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8"/>
    <w:autoRedefine/>
    <w:qFormat/>
    <w:uiPriority w:val="0"/>
    <w:pPr>
      <w:keepNext/>
      <w:keepLines/>
      <w:spacing w:before="280" w:after="290" w:line="376" w:lineRule="auto"/>
      <w:outlineLvl w:val="4"/>
    </w:pPr>
    <w:rPr>
      <w:b/>
      <w:bCs/>
      <w:sz w:val="28"/>
      <w:szCs w:val="28"/>
    </w:rPr>
  </w:style>
  <w:style w:type="paragraph" w:styleId="11">
    <w:name w:val="heading 6"/>
    <w:basedOn w:val="1"/>
    <w:next w:val="1"/>
    <w:link w:val="59"/>
    <w:autoRedefine/>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60"/>
    <w:autoRedefine/>
    <w:qFormat/>
    <w:uiPriority w:val="0"/>
    <w:pPr>
      <w:keepNext/>
      <w:keepLines/>
      <w:spacing w:before="240" w:after="64" w:line="320" w:lineRule="auto"/>
      <w:outlineLvl w:val="6"/>
    </w:pPr>
    <w:rPr>
      <w:b/>
      <w:bCs/>
      <w:sz w:val="24"/>
    </w:rPr>
  </w:style>
  <w:style w:type="character" w:default="1" w:styleId="39">
    <w:name w:val="Default Paragraph Font"/>
    <w:autoRedefine/>
    <w:semiHidden/>
    <w:qFormat/>
    <w:uiPriority w:val="0"/>
  </w:style>
  <w:style w:type="table" w:default="1" w:styleId="3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link w:val="55"/>
    <w:autoRedefine/>
    <w:qFormat/>
    <w:uiPriority w:val="0"/>
    <w:pPr>
      <w:ind w:left="420" w:firstLine="420" w:firstLineChars="200"/>
    </w:pPr>
  </w:style>
  <w:style w:type="paragraph" w:styleId="3">
    <w:name w:val="Body Text Indent"/>
    <w:basedOn w:val="1"/>
    <w:next w:val="4"/>
    <w:link w:val="54"/>
    <w:autoRedefine/>
    <w:qFormat/>
    <w:uiPriority w:val="0"/>
    <w:pPr>
      <w:spacing w:after="120"/>
      <w:ind w:left="200" w:leftChars="200"/>
    </w:pPr>
  </w:style>
  <w:style w:type="paragraph" w:styleId="4">
    <w:name w:val="envelope return"/>
    <w:basedOn w:val="1"/>
    <w:next w:val="5"/>
    <w:autoRedefine/>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3">
    <w:name w:val="List Number 2"/>
    <w:basedOn w:val="1"/>
    <w:autoRedefine/>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autoRedefine/>
    <w:qFormat/>
    <w:uiPriority w:val="0"/>
    <w:pPr>
      <w:adjustRightInd w:val="0"/>
      <w:spacing w:line="360" w:lineRule="atLeast"/>
      <w:ind w:firstLine="482"/>
      <w:textAlignment w:val="baseline"/>
    </w:pPr>
    <w:rPr>
      <w:kern w:val="0"/>
      <w:sz w:val="24"/>
      <w:szCs w:val="20"/>
    </w:rPr>
  </w:style>
  <w:style w:type="paragraph" w:styleId="15">
    <w:name w:val="annotation text"/>
    <w:basedOn w:val="1"/>
    <w:link w:val="61"/>
    <w:autoRedefine/>
    <w:qFormat/>
    <w:uiPriority w:val="0"/>
    <w:pPr>
      <w:jc w:val="left"/>
    </w:pPr>
  </w:style>
  <w:style w:type="paragraph" w:styleId="16">
    <w:name w:val="Body Text"/>
    <w:basedOn w:val="1"/>
    <w:next w:val="17"/>
    <w:autoRedefine/>
    <w:semiHidden/>
    <w:qFormat/>
    <w:uiPriority w:val="0"/>
    <w:pPr>
      <w:spacing w:after="120"/>
    </w:pPr>
  </w:style>
  <w:style w:type="paragraph" w:styleId="17">
    <w:name w:val="Body Text First Indent"/>
    <w:basedOn w:val="16"/>
    <w:next w:val="18"/>
    <w:qFormat/>
    <w:uiPriority w:val="0"/>
    <w:pPr>
      <w:ind w:firstLine="420" w:firstLineChars="100"/>
    </w:pPr>
    <w:rPr>
      <w:rFonts w:ascii="Times New Roman" w:hAnsi="Times New Roman" w:eastAsia="宋体" w:cs="Times New Roman"/>
    </w:rPr>
  </w:style>
  <w:style w:type="paragraph" w:styleId="18">
    <w:name w:val="toc 6"/>
    <w:basedOn w:val="1"/>
    <w:next w:val="1"/>
    <w:qFormat/>
    <w:uiPriority w:val="0"/>
    <w:pPr>
      <w:autoSpaceDE w:val="0"/>
      <w:autoSpaceDN w:val="0"/>
      <w:ind w:left="1700"/>
      <w:jc w:val="left"/>
      <w:textAlignment w:val="baseline"/>
    </w:pPr>
    <w:rPr>
      <w:kern w:val="0"/>
      <w:sz w:val="18"/>
      <w:szCs w:val="18"/>
    </w:rPr>
  </w:style>
  <w:style w:type="paragraph" w:styleId="19">
    <w:name w:val="index 4"/>
    <w:basedOn w:val="1"/>
    <w:next w:val="1"/>
    <w:qFormat/>
    <w:uiPriority w:val="99"/>
    <w:pPr>
      <w:ind w:left="600" w:leftChars="600"/>
    </w:pPr>
    <w:rPr>
      <w:rFonts w:ascii="Times New Roman" w:hAnsi="Times New Roman" w:eastAsia="宋体" w:cs="Times New Roman"/>
    </w:rPr>
  </w:style>
  <w:style w:type="paragraph" w:styleId="20">
    <w:name w:val="toc 3"/>
    <w:basedOn w:val="1"/>
    <w:next w:val="1"/>
    <w:autoRedefine/>
    <w:qFormat/>
    <w:uiPriority w:val="39"/>
    <w:pPr>
      <w:tabs>
        <w:tab w:val="right" w:leader="dot" w:pos="9288"/>
      </w:tabs>
      <w:ind w:left="400" w:leftChars="400"/>
    </w:pPr>
    <w:rPr>
      <w:rFonts w:ascii="宋体"/>
    </w:rPr>
  </w:style>
  <w:style w:type="paragraph" w:styleId="21">
    <w:name w:val="Plain Text"/>
    <w:basedOn w:val="1"/>
    <w:next w:val="1"/>
    <w:link w:val="62"/>
    <w:autoRedefine/>
    <w:qFormat/>
    <w:uiPriority w:val="99"/>
    <w:rPr>
      <w:rFonts w:ascii="宋体"/>
      <w:color w:val="000000"/>
      <w:szCs w:val="20"/>
      <w:u w:val="none" w:color="000000"/>
    </w:rPr>
  </w:style>
  <w:style w:type="paragraph" w:styleId="22">
    <w:name w:val="Date"/>
    <w:basedOn w:val="1"/>
    <w:next w:val="1"/>
    <w:link w:val="63"/>
    <w:autoRedefine/>
    <w:qFormat/>
    <w:uiPriority w:val="0"/>
    <w:rPr>
      <w:rFonts w:ascii="Arial" w:hAnsi="Arial" w:eastAsia="仿宋_GB2312"/>
      <w:color w:val="000000"/>
      <w:sz w:val="32"/>
      <w:szCs w:val="20"/>
      <w:u w:val="none" w:color="000000"/>
    </w:rPr>
  </w:style>
  <w:style w:type="paragraph" w:styleId="23">
    <w:name w:val="Body Text Indent 2"/>
    <w:basedOn w:val="1"/>
    <w:link w:val="64"/>
    <w:autoRedefine/>
    <w:qFormat/>
    <w:uiPriority w:val="0"/>
    <w:pPr>
      <w:spacing w:after="120" w:line="480" w:lineRule="auto"/>
      <w:ind w:left="420" w:leftChars="200"/>
    </w:pPr>
  </w:style>
  <w:style w:type="paragraph" w:styleId="24">
    <w:name w:val="endnote text"/>
    <w:basedOn w:val="1"/>
    <w:autoRedefine/>
    <w:qFormat/>
    <w:uiPriority w:val="99"/>
    <w:pPr>
      <w:snapToGrid w:val="0"/>
    </w:pPr>
    <w:rPr>
      <w:rFonts w:ascii="仿宋" w:hAnsi="仿宋"/>
    </w:rPr>
  </w:style>
  <w:style w:type="paragraph" w:styleId="25">
    <w:name w:val="Balloon Text"/>
    <w:basedOn w:val="1"/>
    <w:link w:val="65"/>
    <w:autoRedefine/>
    <w:qFormat/>
    <w:uiPriority w:val="0"/>
    <w:rPr>
      <w:sz w:val="18"/>
      <w:szCs w:val="18"/>
    </w:rPr>
  </w:style>
  <w:style w:type="paragraph" w:styleId="26">
    <w:name w:val="footer"/>
    <w:basedOn w:val="1"/>
    <w:link w:val="66"/>
    <w:autoRedefine/>
    <w:qFormat/>
    <w:uiPriority w:val="0"/>
    <w:pPr>
      <w:tabs>
        <w:tab w:val="center" w:pos="4153"/>
        <w:tab w:val="right" w:pos="8306"/>
      </w:tabs>
      <w:snapToGrid w:val="0"/>
      <w:jc w:val="left"/>
    </w:pPr>
    <w:rPr>
      <w:sz w:val="18"/>
      <w:szCs w:val="18"/>
    </w:rPr>
  </w:style>
  <w:style w:type="paragraph" w:styleId="27">
    <w:name w:val="header"/>
    <w:basedOn w:val="1"/>
    <w:link w:val="67"/>
    <w:autoRedefine/>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autoRedefine/>
    <w:qFormat/>
    <w:uiPriority w:val="39"/>
  </w:style>
  <w:style w:type="paragraph" w:styleId="29">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30">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31">
    <w:name w:val="toc 2"/>
    <w:basedOn w:val="1"/>
    <w:next w:val="1"/>
    <w:autoRedefine/>
    <w:qFormat/>
    <w:uiPriority w:val="39"/>
    <w:pPr>
      <w:ind w:left="200" w:leftChars="200"/>
    </w:pPr>
  </w:style>
  <w:style w:type="paragraph" w:styleId="32">
    <w:name w:val="Normal (Web)"/>
    <w:basedOn w:val="1"/>
    <w:next w:val="33"/>
    <w:autoRedefine/>
    <w:qFormat/>
    <w:uiPriority w:val="0"/>
    <w:pPr>
      <w:widowControl/>
      <w:spacing w:before="100" w:beforeAutospacing="1" w:after="100" w:afterAutospacing="1"/>
      <w:jc w:val="left"/>
    </w:pPr>
    <w:rPr>
      <w:rFonts w:ascii="宋体" w:hAnsi="宋体" w:cs="宋体"/>
      <w:kern w:val="0"/>
      <w:sz w:val="24"/>
    </w:rPr>
  </w:style>
  <w:style w:type="paragraph" w:customStyle="1" w:styleId="33">
    <w:name w:val="正文文字 8"/>
    <w:basedOn w:val="1"/>
    <w:next w:val="1"/>
    <w:autoRedefine/>
    <w:qFormat/>
    <w:uiPriority w:val="0"/>
    <w:pPr>
      <w:ind w:left="240"/>
    </w:pPr>
    <w:rPr>
      <w:sz w:val="16"/>
    </w:rPr>
  </w:style>
  <w:style w:type="paragraph" w:styleId="34">
    <w:name w:val="index 1"/>
    <w:basedOn w:val="1"/>
    <w:next w:val="1"/>
    <w:autoRedefine/>
    <w:qFormat/>
    <w:uiPriority w:val="0"/>
    <w:pPr>
      <w:jc w:val="center"/>
    </w:pPr>
    <w:rPr>
      <w:rFonts w:ascii="Arial" w:hAnsi="Arial" w:eastAsia="Arial" w:cs="Arial"/>
      <w:b/>
      <w:bCs/>
      <w:sz w:val="28"/>
    </w:rPr>
  </w:style>
  <w:style w:type="paragraph" w:styleId="35">
    <w:name w:val="Title"/>
    <w:basedOn w:val="1"/>
    <w:next w:val="1"/>
    <w:autoRedefine/>
    <w:qFormat/>
    <w:uiPriority w:val="0"/>
    <w:pPr>
      <w:numPr>
        <w:ilvl w:val="0"/>
        <w:numId w:val="4"/>
      </w:numPr>
      <w:spacing w:line="360" w:lineRule="auto"/>
      <w:jc w:val="left"/>
      <w:outlineLvl w:val="0"/>
    </w:pPr>
    <w:rPr>
      <w:rFonts w:ascii="Cambria" w:hAnsi="Cambria" w:cs="Times New Roman"/>
      <w:b/>
      <w:bCs/>
      <w:sz w:val="28"/>
      <w:szCs w:val="32"/>
    </w:rPr>
  </w:style>
  <w:style w:type="paragraph" w:styleId="36">
    <w:name w:val="annotation subject"/>
    <w:basedOn w:val="15"/>
    <w:next w:val="15"/>
    <w:link w:val="68"/>
    <w:autoRedefine/>
    <w:qFormat/>
    <w:uiPriority w:val="0"/>
    <w:rPr>
      <w:b/>
      <w:bCs/>
    </w:rPr>
  </w:style>
  <w:style w:type="table" w:styleId="38">
    <w:name w:val="Table Grid"/>
    <w:basedOn w:val="3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autoRedefine/>
    <w:qFormat/>
    <w:uiPriority w:val="0"/>
    <w:rPr>
      <w:b/>
    </w:rPr>
  </w:style>
  <w:style w:type="character" w:styleId="41">
    <w:name w:val="page number"/>
    <w:autoRedefine/>
    <w:qFormat/>
    <w:uiPriority w:val="0"/>
  </w:style>
  <w:style w:type="character" w:styleId="42">
    <w:name w:val="FollowedHyperlink"/>
    <w:autoRedefine/>
    <w:qFormat/>
    <w:uiPriority w:val="0"/>
    <w:rPr>
      <w:color w:val="333333"/>
      <w:u w:val="none"/>
    </w:rPr>
  </w:style>
  <w:style w:type="character" w:styleId="43">
    <w:name w:val="Emphasis"/>
    <w:autoRedefine/>
    <w:qFormat/>
    <w:uiPriority w:val="20"/>
    <w:rPr>
      <w:i/>
      <w:iCs/>
    </w:rPr>
  </w:style>
  <w:style w:type="character" w:styleId="44">
    <w:name w:val="HTML Definition"/>
    <w:autoRedefine/>
    <w:qFormat/>
    <w:uiPriority w:val="0"/>
  </w:style>
  <w:style w:type="character" w:styleId="45">
    <w:name w:val="HTML Typewriter"/>
    <w:autoRedefine/>
    <w:qFormat/>
    <w:uiPriority w:val="0"/>
    <w:rPr>
      <w:rFonts w:ascii="monospace" w:hAnsi="monospace" w:eastAsia="monospace" w:cs="monospace"/>
      <w:sz w:val="20"/>
    </w:rPr>
  </w:style>
  <w:style w:type="character" w:styleId="46">
    <w:name w:val="HTML Acronym"/>
    <w:autoRedefine/>
    <w:qFormat/>
    <w:uiPriority w:val="0"/>
  </w:style>
  <w:style w:type="character" w:styleId="47">
    <w:name w:val="HTML Variable"/>
    <w:autoRedefine/>
    <w:qFormat/>
    <w:uiPriority w:val="0"/>
  </w:style>
  <w:style w:type="character" w:styleId="48">
    <w:name w:val="Hyperlink"/>
    <w:autoRedefine/>
    <w:qFormat/>
    <w:uiPriority w:val="99"/>
    <w:rPr>
      <w:color w:val="333333"/>
      <w:u w:val="none"/>
    </w:rPr>
  </w:style>
  <w:style w:type="character" w:styleId="49">
    <w:name w:val="HTML Code"/>
    <w:autoRedefine/>
    <w:qFormat/>
    <w:uiPriority w:val="0"/>
    <w:rPr>
      <w:rFonts w:hint="default" w:ascii="monospace" w:hAnsi="monospace" w:eastAsia="monospace" w:cs="monospace"/>
      <w:sz w:val="20"/>
    </w:rPr>
  </w:style>
  <w:style w:type="character" w:styleId="50">
    <w:name w:val="annotation reference"/>
    <w:autoRedefine/>
    <w:qFormat/>
    <w:uiPriority w:val="0"/>
    <w:rPr>
      <w:sz w:val="21"/>
      <w:szCs w:val="21"/>
    </w:rPr>
  </w:style>
  <w:style w:type="character" w:styleId="51">
    <w:name w:val="HTML Cite"/>
    <w:autoRedefine/>
    <w:qFormat/>
    <w:uiPriority w:val="0"/>
  </w:style>
  <w:style w:type="character" w:styleId="52">
    <w:name w:val="HTML Keyboard"/>
    <w:autoRedefine/>
    <w:qFormat/>
    <w:uiPriority w:val="0"/>
    <w:rPr>
      <w:rFonts w:hint="default" w:ascii="monospace" w:hAnsi="monospace" w:eastAsia="monospace" w:cs="monospace"/>
      <w:sz w:val="20"/>
    </w:rPr>
  </w:style>
  <w:style w:type="character" w:styleId="53">
    <w:name w:val="HTML Sample"/>
    <w:autoRedefine/>
    <w:qFormat/>
    <w:uiPriority w:val="0"/>
    <w:rPr>
      <w:rFonts w:hint="default" w:ascii="monospace" w:hAnsi="monospace" w:eastAsia="monospace" w:cs="monospace"/>
    </w:rPr>
  </w:style>
  <w:style w:type="character" w:customStyle="1" w:styleId="54">
    <w:name w:val="正文文本缩进 字符"/>
    <w:link w:val="3"/>
    <w:autoRedefine/>
    <w:qFormat/>
    <w:uiPriority w:val="0"/>
    <w:rPr>
      <w:kern w:val="2"/>
      <w:sz w:val="21"/>
      <w:szCs w:val="24"/>
    </w:rPr>
  </w:style>
  <w:style w:type="character" w:customStyle="1" w:styleId="55">
    <w:name w:val="正文文本首行缩进 2 字符"/>
    <w:link w:val="2"/>
    <w:autoRedefine/>
    <w:qFormat/>
    <w:uiPriority w:val="0"/>
  </w:style>
  <w:style w:type="character" w:customStyle="1" w:styleId="56">
    <w:name w:val="标题 1 字符"/>
    <w:link w:val="6"/>
    <w:autoRedefine/>
    <w:qFormat/>
    <w:uiPriority w:val="0"/>
    <w:rPr>
      <w:b/>
      <w:bCs/>
      <w:kern w:val="44"/>
      <w:sz w:val="44"/>
      <w:szCs w:val="44"/>
    </w:rPr>
  </w:style>
  <w:style w:type="character" w:customStyle="1" w:styleId="57">
    <w:name w:val="标题 4 字符"/>
    <w:link w:val="9"/>
    <w:autoRedefine/>
    <w:qFormat/>
    <w:locked/>
    <w:uiPriority w:val="0"/>
    <w:rPr>
      <w:rFonts w:ascii="Arial" w:hAnsi="Arial" w:eastAsia="黑体"/>
      <w:b/>
      <w:bCs/>
      <w:color w:val="000000"/>
      <w:sz w:val="28"/>
      <w:szCs w:val="28"/>
      <w:u w:val="none" w:color="000000"/>
      <w:lang w:val="en-US" w:eastAsia="zh-CN" w:bidi="ar-SA"/>
    </w:rPr>
  </w:style>
  <w:style w:type="character" w:customStyle="1" w:styleId="58">
    <w:name w:val="标题 5 字符"/>
    <w:link w:val="10"/>
    <w:autoRedefine/>
    <w:semiHidden/>
    <w:qFormat/>
    <w:uiPriority w:val="0"/>
    <w:rPr>
      <w:b/>
      <w:bCs/>
      <w:kern w:val="2"/>
      <w:sz w:val="28"/>
      <w:szCs w:val="28"/>
    </w:rPr>
  </w:style>
  <w:style w:type="character" w:customStyle="1" w:styleId="59">
    <w:name w:val="标题 6 字符"/>
    <w:link w:val="11"/>
    <w:autoRedefine/>
    <w:semiHidden/>
    <w:qFormat/>
    <w:uiPriority w:val="0"/>
    <w:rPr>
      <w:rFonts w:ascii="Cambria" w:hAnsi="Cambria" w:eastAsia="宋体" w:cs="Times New Roman"/>
      <w:b/>
      <w:bCs/>
      <w:kern w:val="2"/>
      <w:sz w:val="24"/>
      <w:szCs w:val="24"/>
    </w:rPr>
  </w:style>
  <w:style w:type="character" w:customStyle="1" w:styleId="60">
    <w:name w:val="标题 7 字符"/>
    <w:link w:val="12"/>
    <w:autoRedefine/>
    <w:semiHidden/>
    <w:qFormat/>
    <w:uiPriority w:val="0"/>
    <w:rPr>
      <w:b/>
      <w:bCs/>
      <w:kern w:val="2"/>
      <w:sz w:val="24"/>
      <w:szCs w:val="24"/>
    </w:rPr>
  </w:style>
  <w:style w:type="character" w:customStyle="1" w:styleId="61">
    <w:name w:val="批注文字 字符"/>
    <w:link w:val="15"/>
    <w:autoRedefine/>
    <w:qFormat/>
    <w:uiPriority w:val="0"/>
    <w:rPr>
      <w:kern w:val="2"/>
      <w:sz w:val="21"/>
      <w:szCs w:val="24"/>
    </w:rPr>
  </w:style>
  <w:style w:type="character" w:customStyle="1" w:styleId="62">
    <w:name w:val="纯文本 字符"/>
    <w:link w:val="21"/>
    <w:autoRedefine/>
    <w:qFormat/>
    <w:uiPriority w:val="99"/>
    <w:rPr>
      <w:rFonts w:ascii="宋体" w:eastAsia="宋体"/>
      <w:color w:val="000000"/>
      <w:kern w:val="2"/>
      <w:sz w:val="21"/>
      <w:u w:val="none" w:color="000000"/>
      <w:lang w:val="en-US" w:eastAsia="zh-CN" w:bidi="ar-SA"/>
    </w:rPr>
  </w:style>
  <w:style w:type="character" w:customStyle="1" w:styleId="63">
    <w:name w:val="日期 字符"/>
    <w:link w:val="22"/>
    <w:autoRedefine/>
    <w:qFormat/>
    <w:uiPriority w:val="0"/>
    <w:rPr>
      <w:rFonts w:ascii="Arial" w:hAnsi="Arial" w:eastAsia="仿宋_GB2312"/>
      <w:color w:val="000000"/>
      <w:kern w:val="2"/>
      <w:sz w:val="32"/>
      <w:u w:val="none" w:color="000000"/>
    </w:rPr>
  </w:style>
  <w:style w:type="character" w:customStyle="1" w:styleId="64">
    <w:name w:val="正文文本缩进 2 字符"/>
    <w:link w:val="23"/>
    <w:autoRedefine/>
    <w:qFormat/>
    <w:uiPriority w:val="0"/>
    <w:rPr>
      <w:kern w:val="2"/>
      <w:sz w:val="21"/>
      <w:szCs w:val="24"/>
    </w:rPr>
  </w:style>
  <w:style w:type="character" w:customStyle="1" w:styleId="65">
    <w:name w:val="批注框文本 字符"/>
    <w:link w:val="25"/>
    <w:autoRedefine/>
    <w:qFormat/>
    <w:uiPriority w:val="0"/>
    <w:rPr>
      <w:kern w:val="2"/>
      <w:sz w:val="18"/>
      <w:szCs w:val="18"/>
    </w:rPr>
  </w:style>
  <w:style w:type="character" w:customStyle="1" w:styleId="66">
    <w:name w:val="页脚 字符"/>
    <w:link w:val="26"/>
    <w:autoRedefine/>
    <w:qFormat/>
    <w:locked/>
    <w:uiPriority w:val="0"/>
    <w:rPr>
      <w:kern w:val="2"/>
      <w:sz w:val="18"/>
      <w:szCs w:val="18"/>
    </w:rPr>
  </w:style>
  <w:style w:type="character" w:customStyle="1" w:styleId="67">
    <w:name w:val="页眉 字符"/>
    <w:link w:val="27"/>
    <w:autoRedefine/>
    <w:qFormat/>
    <w:locked/>
    <w:uiPriority w:val="0"/>
    <w:rPr>
      <w:kern w:val="2"/>
      <w:sz w:val="18"/>
      <w:szCs w:val="18"/>
    </w:rPr>
  </w:style>
  <w:style w:type="character" w:customStyle="1" w:styleId="68">
    <w:name w:val="批注主题 字符"/>
    <w:link w:val="36"/>
    <w:autoRedefine/>
    <w:qFormat/>
    <w:uiPriority w:val="0"/>
    <w:rPr>
      <w:b/>
      <w:bCs/>
      <w:kern w:val="2"/>
      <w:sz w:val="21"/>
      <w:szCs w:val="24"/>
    </w:rPr>
  </w:style>
  <w:style w:type="character" w:customStyle="1" w:styleId="69">
    <w:name w:val="font121"/>
    <w:autoRedefine/>
    <w:qFormat/>
    <w:uiPriority w:val="0"/>
    <w:rPr>
      <w:rFonts w:hint="eastAsia" w:ascii="宋体" w:hAnsi="宋体" w:eastAsia="宋体" w:cs="宋体"/>
      <w:color w:val="000000"/>
      <w:sz w:val="24"/>
      <w:szCs w:val="24"/>
      <w:u w:val="none"/>
    </w:rPr>
  </w:style>
  <w:style w:type="character" w:customStyle="1" w:styleId="70">
    <w:name w:val="font141"/>
    <w:autoRedefine/>
    <w:qFormat/>
    <w:uiPriority w:val="0"/>
    <w:rPr>
      <w:rFonts w:ascii="Arial" w:hAnsi="Arial" w:cs="Arial"/>
      <w:color w:val="000000"/>
      <w:sz w:val="24"/>
      <w:szCs w:val="24"/>
      <w:u w:val="none"/>
    </w:rPr>
  </w:style>
  <w:style w:type="character" w:customStyle="1" w:styleId="71">
    <w:name w:val="_37aak"/>
    <w:autoRedefine/>
    <w:qFormat/>
    <w:uiPriority w:val="0"/>
  </w:style>
  <w:style w:type="character" w:customStyle="1" w:styleId="72">
    <w:name w:val="图表 Char"/>
    <w:link w:val="73"/>
    <w:autoRedefine/>
    <w:qFormat/>
    <w:uiPriority w:val="0"/>
    <w:rPr>
      <w:kern w:val="2"/>
      <w:sz w:val="21"/>
      <w:szCs w:val="21"/>
    </w:rPr>
  </w:style>
  <w:style w:type="paragraph" w:customStyle="1" w:styleId="73">
    <w:name w:val="图表"/>
    <w:basedOn w:val="1"/>
    <w:next w:val="1"/>
    <w:link w:val="72"/>
    <w:autoRedefine/>
    <w:qFormat/>
    <w:uiPriority w:val="0"/>
    <w:pPr>
      <w:jc w:val="center"/>
    </w:pPr>
    <w:rPr>
      <w:szCs w:val="21"/>
    </w:rPr>
  </w:style>
  <w:style w:type="character" w:customStyle="1" w:styleId="74">
    <w:name w:val="font01"/>
    <w:basedOn w:val="39"/>
    <w:autoRedefine/>
    <w:qFormat/>
    <w:uiPriority w:val="0"/>
    <w:rPr>
      <w:rFonts w:hint="eastAsia" w:ascii="宋体" w:hAnsi="宋体" w:eastAsia="宋体" w:cs="宋体"/>
      <w:color w:val="000000"/>
      <w:sz w:val="22"/>
      <w:szCs w:val="22"/>
      <w:u w:val="none"/>
    </w:rPr>
  </w:style>
  <w:style w:type="character" w:customStyle="1" w:styleId="75">
    <w:name w:val="hover4"/>
    <w:autoRedefine/>
    <w:qFormat/>
    <w:uiPriority w:val="0"/>
    <w:rPr>
      <w:color w:val="2590EB"/>
      <w:shd w:val="clear" w:color="auto" w:fill="E9F4FD"/>
    </w:rPr>
  </w:style>
  <w:style w:type="character" w:customStyle="1" w:styleId="76">
    <w:name w:val="font101"/>
    <w:autoRedefine/>
    <w:qFormat/>
    <w:uiPriority w:val="0"/>
    <w:rPr>
      <w:rFonts w:hint="eastAsia" w:ascii="宋体" w:hAnsi="宋体" w:eastAsia="宋体" w:cs="宋体"/>
      <w:color w:val="000000"/>
      <w:sz w:val="18"/>
      <w:szCs w:val="18"/>
      <w:u w:val="none"/>
    </w:rPr>
  </w:style>
  <w:style w:type="character" w:customStyle="1" w:styleId="77">
    <w:name w:val="font161"/>
    <w:autoRedefine/>
    <w:qFormat/>
    <w:uiPriority w:val="0"/>
    <w:rPr>
      <w:rFonts w:hint="eastAsia" w:ascii="宋体" w:hAnsi="宋体" w:eastAsia="宋体" w:cs="宋体"/>
      <w:b/>
      <w:bCs/>
      <w:color w:val="333333"/>
      <w:sz w:val="27"/>
      <w:szCs w:val="27"/>
      <w:u w:val="none"/>
    </w:rPr>
  </w:style>
  <w:style w:type="character" w:customStyle="1" w:styleId="78">
    <w:name w:val="first-child"/>
    <w:autoRedefine/>
    <w:qFormat/>
    <w:uiPriority w:val="0"/>
  </w:style>
  <w:style w:type="character" w:customStyle="1" w:styleId="79">
    <w:name w:val="【正文】 Char"/>
    <w:link w:val="80"/>
    <w:autoRedefine/>
    <w:qFormat/>
    <w:uiPriority w:val="0"/>
    <w:rPr>
      <w:rFonts w:cs="DokChampa"/>
      <w:kern w:val="2"/>
      <w:sz w:val="24"/>
      <w:szCs w:val="22"/>
    </w:rPr>
  </w:style>
  <w:style w:type="paragraph" w:customStyle="1" w:styleId="80">
    <w:name w:val="【正文】"/>
    <w:basedOn w:val="1"/>
    <w:link w:val="79"/>
    <w:autoRedefine/>
    <w:qFormat/>
    <w:uiPriority w:val="0"/>
    <w:pPr>
      <w:spacing w:line="360" w:lineRule="auto"/>
      <w:ind w:firstLine="480" w:firstLineChars="200"/>
    </w:pPr>
    <w:rPr>
      <w:sz w:val="24"/>
      <w:szCs w:val="22"/>
    </w:rPr>
  </w:style>
  <w:style w:type="character" w:customStyle="1" w:styleId="81">
    <w:name w:val="font131"/>
    <w:autoRedefine/>
    <w:qFormat/>
    <w:uiPriority w:val="0"/>
    <w:rPr>
      <w:rFonts w:ascii="仿宋" w:hAnsi="仿宋" w:eastAsia="仿宋" w:cs="仿宋"/>
      <w:color w:val="000000"/>
      <w:sz w:val="24"/>
      <w:szCs w:val="24"/>
      <w:u w:val="none"/>
    </w:rPr>
  </w:style>
  <w:style w:type="character" w:customStyle="1" w:styleId="82">
    <w:name w:val="font181"/>
    <w:autoRedefine/>
    <w:qFormat/>
    <w:uiPriority w:val="0"/>
    <w:rPr>
      <w:rFonts w:hint="eastAsia" w:ascii="宋体" w:hAnsi="宋体" w:eastAsia="宋体" w:cs="宋体"/>
      <w:color w:val="1A66B3"/>
      <w:sz w:val="18"/>
      <w:szCs w:val="18"/>
      <w:u w:val="none"/>
    </w:rPr>
  </w:style>
  <w:style w:type="character" w:customStyle="1" w:styleId="83">
    <w:name w:val="hover3"/>
    <w:autoRedefine/>
    <w:qFormat/>
    <w:uiPriority w:val="0"/>
  </w:style>
  <w:style w:type="character" w:customStyle="1" w:styleId="84">
    <w:name w:val="font112"/>
    <w:autoRedefine/>
    <w:qFormat/>
    <w:uiPriority w:val="0"/>
    <w:rPr>
      <w:rFonts w:ascii="Verdana" w:hAnsi="Verdana" w:cs="Verdana"/>
      <w:color w:val="000000"/>
      <w:sz w:val="18"/>
      <w:szCs w:val="18"/>
      <w:u w:val="none"/>
    </w:rPr>
  </w:style>
  <w:style w:type="character" w:customStyle="1" w:styleId="85">
    <w:name w:val="font81"/>
    <w:autoRedefine/>
    <w:qFormat/>
    <w:uiPriority w:val="0"/>
    <w:rPr>
      <w:rFonts w:hint="default" w:ascii="Verdana" w:hAnsi="Verdana" w:cs="Verdana"/>
      <w:color w:val="000000"/>
      <w:sz w:val="18"/>
      <w:szCs w:val="18"/>
      <w:u w:val="none"/>
    </w:rPr>
  </w:style>
  <w:style w:type="character" w:customStyle="1" w:styleId="86">
    <w:name w:val="hover"/>
    <w:autoRedefine/>
    <w:qFormat/>
    <w:uiPriority w:val="0"/>
    <w:rPr>
      <w:color w:val="2590EB"/>
      <w:shd w:val="clear" w:color="auto" w:fill="E9F4FD"/>
    </w:rPr>
  </w:style>
  <w:style w:type="character" w:customStyle="1" w:styleId="87">
    <w:name w:val="font41"/>
    <w:autoRedefine/>
    <w:qFormat/>
    <w:uiPriority w:val="0"/>
    <w:rPr>
      <w:rFonts w:hint="eastAsia" w:ascii="宋体" w:hAnsi="宋体" w:eastAsia="宋体" w:cs="宋体"/>
      <w:color w:val="000000"/>
      <w:sz w:val="22"/>
      <w:szCs w:val="22"/>
      <w:u w:val="none"/>
    </w:rPr>
  </w:style>
  <w:style w:type="character" w:customStyle="1" w:styleId="88">
    <w:name w:val="hover2"/>
    <w:autoRedefine/>
    <w:qFormat/>
    <w:uiPriority w:val="0"/>
    <w:rPr>
      <w:color w:val="2590EB"/>
    </w:rPr>
  </w:style>
  <w:style w:type="character" w:customStyle="1" w:styleId="89">
    <w:name w:val="hover1"/>
    <w:autoRedefine/>
    <w:qFormat/>
    <w:uiPriority w:val="0"/>
    <w:rPr>
      <w:color w:val="2590EB"/>
    </w:rPr>
  </w:style>
  <w:style w:type="character" w:customStyle="1" w:styleId="90">
    <w:name w:val="first-child1"/>
    <w:autoRedefine/>
    <w:qFormat/>
    <w:uiPriority w:val="0"/>
  </w:style>
  <w:style w:type="character" w:customStyle="1" w:styleId="91">
    <w:name w:val="selected"/>
    <w:autoRedefine/>
    <w:qFormat/>
    <w:uiPriority w:val="0"/>
    <w:rPr>
      <w:shd w:val="clear" w:color="auto" w:fill="B00006"/>
    </w:rPr>
  </w:style>
  <w:style w:type="character" w:customStyle="1" w:styleId="92">
    <w:name w:val="gpa"/>
    <w:autoRedefine/>
    <w:qFormat/>
    <w:uiPriority w:val="0"/>
    <w:rPr>
      <w:rFonts w:ascii="Arial" w:hAnsi="Arial" w:cs="Arial"/>
      <w:sz w:val="15"/>
      <w:szCs w:val="15"/>
    </w:rPr>
  </w:style>
  <w:style w:type="character" w:customStyle="1" w:styleId="93">
    <w:name w:val="apple-converted-space"/>
    <w:autoRedefine/>
    <w:qFormat/>
    <w:uiPriority w:val="0"/>
  </w:style>
  <w:style w:type="character" w:customStyle="1" w:styleId="94">
    <w:name w:val="列出段落 Char"/>
    <w:link w:val="95"/>
    <w:autoRedefine/>
    <w:qFormat/>
    <w:locked/>
    <w:uiPriority w:val="0"/>
    <w:rPr>
      <w:rFonts w:ascii="Calibri" w:hAnsi="Calibri" w:eastAsia="宋体"/>
      <w:kern w:val="2"/>
      <w:sz w:val="21"/>
      <w:szCs w:val="22"/>
      <w:lang w:val="en-US" w:eastAsia="zh-CN" w:bidi="ar-SA"/>
    </w:rPr>
  </w:style>
  <w:style w:type="paragraph" w:customStyle="1" w:styleId="95">
    <w:name w:val="List Paragraph1"/>
    <w:basedOn w:val="1"/>
    <w:link w:val="94"/>
    <w:autoRedefine/>
    <w:qFormat/>
    <w:uiPriority w:val="0"/>
    <w:pPr>
      <w:spacing w:line="312" w:lineRule="auto"/>
      <w:ind w:firstLine="420" w:firstLineChars="200"/>
    </w:pPr>
    <w:rPr>
      <w:rFonts w:ascii="Calibri" w:hAnsi="Calibri"/>
      <w:szCs w:val="22"/>
    </w:rPr>
  </w:style>
  <w:style w:type="character" w:customStyle="1" w:styleId="96">
    <w:name w:val="displayarti"/>
    <w:autoRedefine/>
    <w:qFormat/>
    <w:uiPriority w:val="0"/>
    <w:rPr>
      <w:color w:val="FFFFFF"/>
      <w:shd w:val="clear" w:color="auto" w:fill="A00000"/>
    </w:rPr>
  </w:style>
  <w:style w:type="character" w:customStyle="1" w:styleId="97">
    <w:name w:val="正文首行缩进 2 Char1"/>
    <w:autoRedefine/>
    <w:qFormat/>
    <w:uiPriority w:val="0"/>
  </w:style>
  <w:style w:type="character" w:customStyle="1" w:styleId="98">
    <w:name w:val="layui-this"/>
    <w:autoRedefine/>
    <w:qFormat/>
    <w:uiPriority w:val="0"/>
    <w:rPr>
      <w:bdr w:val="single" w:color="EEEEEE" w:sz="6" w:space="0"/>
      <w:shd w:val="clear" w:color="auto" w:fill="FFFFFF"/>
    </w:rPr>
  </w:style>
  <w:style w:type="character" w:customStyle="1" w:styleId="99">
    <w:name w:val="font151"/>
    <w:autoRedefine/>
    <w:qFormat/>
    <w:uiPriority w:val="0"/>
    <w:rPr>
      <w:rFonts w:hint="default" w:ascii="Verdana" w:hAnsi="Verdana" w:cs="Verdana"/>
      <w:b/>
      <w:bCs/>
      <w:color w:val="333333"/>
      <w:sz w:val="27"/>
      <w:szCs w:val="27"/>
      <w:u w:val="none"/>
    </w:rPr>
  </w:style>
  <w:style w:type="character" w:customStyle="1" w:styleId="100">
    <w:name w:val="font171"/>
    <w:autoRedefine/>
    <w:qFormat/>
    <w:uiPriority w:val="0"/>
    <w:rPr>
      <w:rFonts w:hint="eastAsia" w:ascii="宋体" w:hAnsi="宋体" w:eastAsia="宋体" w:cs="宋体"/>
      <w:color w:val="646464"/>
      <w:sz w:val="18"/>
      <w:szCs w:val="18"/>
      <w:u w:val="none"/>
    </w:rPr>
  </w:style>
  <w:style w:type="character" w:customStyle="1" w:styleId="101">
    <w:name w:val="hover7"/>
    <w:autoRedefine/>
    <w:qFormat/>
    <w:uiPriority w:val="0"/>
    <w:rPr>
      <w:color w:val="315EFB"/>
    </w:rPr>
  </w:style>
  <w:style w:type="paragraph" w:customStyle="1" w:styleId="102">
    <w:name w:val="列表2"/>
    <w:basedOn w:val="1"/>
    <w:next w:val="1"/>
    <w:autoRedefine/>
    <w:qFormat/>
    <w:uiPriority w:val="0"/>
    <w:pPr>
      <w:numPr>
        <w:ilvl w:val="0"/>
        <w:numId w:val="5"/>
      </w:numPr>
      <w:spacing w:line="200" w:lineRule="atLeast"/>
    </w:pPr>
    <w:rPr>
      <w:rFonts w:eastAsia="仿宋"/>
      <w:sz w:val="28"/>
    </w:rPr>
  </w:style>
  <w:style w:type="paragraph" w:customStyle="1" w:styleId="103">
    <w:name w:val="text-tag1"/>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4">
    <w:name w:val="标题4"/>
    <w:basedOn w:val="1"/>
    <w:autoRedefine/>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5">
    <w:name w:val="Char"/>
    <w:basedOn w:val="1"/>
    <w:next w:val="1"/>
    <w:autoRedefine/>
    <w:qFormat/>
    <w:uiPriority w:val="0"/>
    <w:pPr>
      <w:widowControl/>
      <w:spacing w:line="360" w:lineRule="auto"/>
      <w:jc w:val="left"/>
    </w:pPr>
    <w:rPr>
      <w:kern w:val="0"/>
      <w:szCs w:val="20"/>
      <w:lang w:eastAsia="en-US"/>
    </w:rPr>
  </w:style>
  <w:style w:type="paragraph" w:customStyle="1" w:styleId="106">
    <w:name w:val="样式1"/>
    <w:basedOn w:val="1"/>
    <w:autoRedefine/>
    <w:qFormat/>
    <w:uiPriority w:val="0"/>
    <w:pPr>
      <w:spacing w:line="360" w:lineRule="auto"/>
      <w:jc w:val="center"/>
    </w:pPr>
    <w:rPr>
      <w:rFonts w:ascii="Times New Roman" w:hAnsi="Times New Roman" w:cs="Times New Roman"/>
      <w:b/>
      <w:sz w:val="30"/>
      <w:szCs w:val="30"/>
    </w:rPr>
  </w:style>
  <w:style w:type="paragraph" w:customStyle="1" w:styleId="107">
    <w:name w:val=" Char Char Char Char"/>
    <w:basedOn w:val="1"/>
    <w:autoRedefine/>
    <w:qFormat/>
    <w:uiPriority w:val="0"/>
    <w:rPr>
      <w:rFonts w:ascii="Tahoma" w:hAnsi="Tahoma"/>
      <w:sz w:val="24"/>
      <w:szCs w:val="20"/>
    </w:rPr>
  </w:style>
  <w:style w:type="paragraph" w:customStyle="1" w:styleId="108">
    <w:name w:val="_Style 4"/>
    <w:basedOn w:val="1"/>
    <w:autoRedefine/>
    <w:qFormat/>
    <w:uiPriority w:val="34"/>
    <w:pPr>
      <w:adjustRightInd w:val="0"/>
      <w:ind w:firstLine="420" w:firstLineChars="200"/>
      <w:jc w:val="left"/>
      <w:textAlignment w:val="baseline"/>
    </w:pPr>
    <w:rPr>
      <w:kern w:val="0"/>
      <w:szCs w:val="20"/>
    </w:rPr>
  </w:style>
  <w:style w:type="paragraph" w:customStyle="1" w:styleId="109">
    <w:name w:val="列出段落2"/>
    <w:basedOn w:val="1"/>
    <w:autoRedefine/>
    <w:qFormat/>
    <w:uiPriority w:val="0"/>
    <w:pPr>
      <w:ind w:firstLine="420" w:firstLineChars="200"/>
    </w:pPr>
    <w:rPr>
      <w:rFonts w:ascii="Calibri" w:hAnsi="Calibri"/>
      <w:szCs w:val="22"/>
    </w:rPr>
  </w:style>
  <w:style w:type="paragraph" w:customStyle="1" w:styleId="110">
    <w:name w:val="列出段落11"/>
    <w:basedOn w:val="1"/>
    <w:autoRedefine/>
    <w:qFormat/>
    <w:uiPriority w:val="0"/>
    <w:pPr>
      <w:spacing w:after="120" w:line="360" w:lineRule="auto"/>
      <w:ind w:firstLine="420" w:firstLineChars="200"/>
    </w:pPr>
    <w:rPr>
      <w:rFonts w:ascii="Calibri" w:hAnsi="Calibri"/>
      <w:szCs w:val="22"/>
    </w:rPr>
  </w:style>
  <w:style w:type="paragraph" w:customStyle="1" w:styleId="111">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2">
    <w:name w:val="_Style 108"/>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113">
    <w:name w:val="Table Paragraph"/>
    <w:basedOn w:val="1"/>
    <w:autoRedefine/>
    <w:qFormat/>
    <w:uiPriority w:val="1"/>
    <w:rPr>
      <w:rFonts w:ascii="宋体" w:hAnsi="宋体" w:eastAsia="宋体" w:cs="宋体"/>
      <w:lang w:val="zh-CN" w:eastAsia="zh-CN" w:bidi="zh-CN"/>
    </w:rPr>
  </w:style>
  <w:style w:type="paragraph" w:customStyle="1" w:styleId="114">
    <w:name w:val="D&amp;L"/>
    <w:basedOn w:val="27"/>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5">
    <w:name w:val="列出段落1"/>
    <w:basedOn w:val="1"/>
    <w:autoRedefine/>
    <w:qFormat/>
    <w:uiPriority w:val="34"/>
    <w:pPr>
      <w:ind w:firstLine="420" w:firstLineChars="200"/>
    </w:pPr>
  </w:style>
  <w:style w:type="paragraph" w:customStyle="1" w:styleId="116">
    <w:name w:val="Char Char Char Char Char Char Char1 Char"/>
    <w:basedOn w:val="1"/>
    <w:autoRedefine/>
    <w:qFormat/>
    <w:uiPriority w:val="0"/>
    <w:rPr>
      <w:rFonts w:ascii="Tahoma" w:hAnsi="Tahoma"/>
      <w:sz w:val="24"/>
      <w:szCs w:val="20"/>
    </w:rPr>
  </w:style>
  <w:style w:type="paragraph" w:styleId="117">
    <w:name w:val="List Paragraph"/>
    <w:basedOn w:val="1"/>
    <w:autoRedefine/>
    <w:qFormat/>
    <w:uiPriority w:val="0"/>
    <w:pPr>
      <w:spacing w:line="360" w:lineRule="auto"/>
      <w:ind w:firstLine="420" w:firstLineChars="200"/>
    </w:pPr>
    <w:rPr>
      <w:rFonts w:ascii="宋体" w:hAnsi="宋体" w:cs="宋体"/>
      <w:sz w:val="24"/>
    </w:rPr>
  </w:style>
  <w:style w:type="paragraph" w:customStyle="1" w:styleId="118">
    <w:name w:val="List Paragraph2"/>
    <w:basedOn w:val="1"/>
    <w:autoRedefine/>
    <w:qFormat/>
    <w:uiPriority w:val="0"/>
    <w:pPr>
      <w:spacing w:line="360" w:lineRule="auto"/>
      <w:ind w:firstLine="420"/>
    </w:pPr>
    <w:rPr>
      <w:color w:val="000000"/>
      <w:sz w:val="24"/>
      <w:szCs w:val="21"/>
    </w:rPr>
  </w:style>
  <w:style w:type="paragraph" w:customStyle="1" w:styleId="119">
    <w:name w:val="（无样式）"/>
    <w:basedOn w:val="1"/>
    <w:autoRedefine/>
    <w:qFormat/>
    <w:uiPriority w:val="0"/>
    <w:pPr>
      <w:widowControl/>
      <w:numPr>
        <w:ilvl w:val="0"/>
        <w:numId w:val="7"/>
      </w:numPr>
      <w:spacing w:line="360" w:lineRule="auto"/>
      <w:ind w:firstLine="0"/>
    </w:pPr>
    <w:rPr>
      <w:sz w:val="24"/>
      <w:szCs w:val="20"/>
    </w:rPr>
  </w:style>
  <w:style w:type="paragraph" w:customStyle="1" w:styleId="120">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21">
    <w:name w:val="标题3-副本"/>
    <w:basedOn w:val="29"/>
    <w:autoRedefine/>
    <w:qFormat/>
    <w:uiPriority w:val="0"/>
    <w:pPr>
      <w:numPr>
        <w:ilvl w:val="0"/>
        <w:numId w:val="0"/>
      </w:numPr>
      <w:ind w:left="840"/>
    </w:pPr>
  </w:style>
  <w:style w:type="paragraph" w:customStyle="1" w:styleId="122">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3">
    <w:name w:val="_Style 2"/>
    <w:basedOn w:val="1"/>
    <w:autoRedefine/>
    <w:qFormat/>
    <w:uiPriority w:val="0"/>
  </w:style>
  <w:style w:type="paragraph" w:customStyle="1" w:styleId="124">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5">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126">
    <w:name w:val=" Char"/>
    <w:basedOn w:val="1"/>
    <w:autoRedefine/>
    <w:qFormat/>
    <w:uiPriority w:val="0"/>
  </w:style>
  <w:style w:type="paragraph" w:customStyle="1" w:styleId="127">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8">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9">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30">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31">
    <w:name w:val="num"/>
    <w:basedOn w:val="39"/>
    <w:autoRedefine/>
    <w:qFormat/>
    <w:uiPriority w:val="0"/>
    <w:rPr>
      <w:b/>
      <w:bCs/>
      <w:color w:val="FF7800"/>
    </w:rPr>
  </w:style>
  <w:style w:type="character" w:customStyle="1" w:styleId="132">
    <w:name w:val="a-desc"/>
    <w:basedOn w:val="39"/>
    <w:autoRedefine/>
    <w:qFormat/>
    <w:uiPriority w:val="0"/>
    <w:rPr>
      <w:color w:val="315EFB"/>
    </w:rPr>
  </w:style>
  <w:style w:type="character" w:customStyle="1" w:styleId="133">
    <w:name w:val="bg"/>
    <w:basedOn w:val="39"/>
    <w:autoRedefine/>
    <w:qFormat/>
    <w:uiPriority w:val="0"/>
    <w:rPr>
      <w:shd w:val="clear" w:color="auto" w:fill="000000"/>
    </w:rPr>
  </w:style>
  <w:style w:type="character" w:customStyle="1" w:styleId="134">
    <w:name w:val="bg1"/>
    <w:basedOn w:val="39"/>
    <w:autoRedefine/>
    <w:qFormat/>
    <w:uiPriority w:val="0"/>
    <w:rPr>
      <w:shd w:val="clear" w:color="auto" w:fill="000000"/>
    </w:rPr>
  </w:style>
  <w:style w:type="character" w:customStyle="1" w:styleId="135">
    <w:name w:val="bg2"/>
    <w:basedOn w:val="39"/>
    <w:autoRedefine/>
    <w:qFormat/>
    <w:uiPriority w:val="0"/>
    <w:rPr>
      <w:shd w:val="clear" w:color="auto" w:fill="000000"/>
    </w:rPr>
  </w:style>
  <w:style w:type="character" w:customStyle="1" w:styleId="136">
    <w:name w:val="iknow-qb-ad-sou-icon"/>
    <w:basedOn w:val="39"/>
    <w:autoRedefine/>
    <w:qFormat/>
    <w:uiPriority w:val="0"/>
  </w:style>
  <w:style w:type="character" w:customStyle="1" w:styleId="137">
    <w:name w:val="del-btn"/>
    <w:basedOn w:val="39"/>
    <w:autoRedefine/>
    <w:qFormat/>
    <w:uiPriority w:val="0"/>
  </w:style>
  <w:style w:type="character" w:customStyle="1" w:styleId="138">
    <w:name w:val="del-btn1"/>
    <w:basedOn w:val="39"/>
    <w:autoRedefine/>
    <w:qFormat/>
    <w:uiPriority w:val="0"/>
  </w:style>
  <w:style w:type="character" w:customStyle="1" w:styleId="139">
    <w:name w:val="del-btn2"/>
    <w:basedOn w:val="39"/>
    <w:autoRedefine/>
    <w:qFormat/>
    <w:uiPriority w:val="0"/>
  </w:style>
  <w:style w:type="character" w:customStyle="1" w:styleId="140">
    <w:name w:val="answer-title"/>
    <w:basedOn w:val="39"/>
    <w:autoRedefine/>
    <w:qFormat/>
    <w:uiPriority w:val="0"/>
  </w:style>
  <w:style w:type="character" w:customStyle="1" w:styleId="141">
    <w:name w:val="new-icon2"/>
    <w:basedOn w:val="39"/>
    <w:autoRedefine/>
    <w:qFormat/>
    <w:uiPriority w:val="0"/>
  </w:style>
  <w:style w:type="character" w:customStyle="1" w:styleId="142">
    <w:name w:val="new-icon3"/>
    <w:basedOn w:val="39"/>
    <w:autoRedefine/>
    <w:qFormat/>
    <w:uiPriority w:val="0"/>
  </w:style>
  <w:style w:type="character" w:customStyle="1" w:styleId="143">
    <w:name w:val="green"/>
    <w:basedOn w:val="39"/>
    <w:autoRedefine/>
    <w:qFormat/>
    <w:uiPriority w:val="0"/>
    <w:rPr>
      <w:color w:val="3B6FFF"/>
    </w:rPr>
  </w:style>
  <w:style w:type="character" w:customStyle="1" w:styleId="144">
    <w:name w:val="green1"/>
    <w:basedOn w:val="39"/>
    <w:autoRedefine/>
    <w:qFormat/>
    <w:uiPriority w:val="0"/>
    <w:rPr>
      <w:color w:val="3B6FFF"/>
    </w:rPr>
  </w:style>
  <w:style w:type="character" w:customStyle="1" w:styleId="145">
    <w:name w:val="green2"/>
    <w:basedOn w:val="39"/>
    <w:autoRedefine/>
    <w:qFormat/>
    <w:uiPriority w:val="0"/>
    <w:rPr>
      <w:color w:val="4DC86F"/>
    </w:rPr>
  </w:style>
  <w:style w:type="character" w:customStyle="1" w:styleId="146">
    <w:name w:val="green3"/>
    <w:basedOn w:val="39"/>
    <w:autoRedefine/>
    <w:qFormat/>
    <w:uiPriority w:val="0"/>
    <w:rPr>
      <w:color w:val="4DC86F"/>
    </w:rPr>
  </w:style>
  <w:style w:type="character" w:customStyle="1" w:styleId="147">
    <w:name w:val="answer-title2"/>
    <w:basedOn w:val="39"/>
    <w:autoRedefine/>
    <w:qFormat/>
    <w:uiPriority w:val="0"/>
  </w:style>
  <w:style w:type="character" w:customStyle="1" w:styleId="148">
    <w:name w:val="new-icon"/>
    <w:basedOn w:val="39"/>
    <w:autoRedefine/>
    <w:qFormat/>
    <w:uiPriority w:val="0"/>
  </w:style>
  <w:style w:type="character" w:customStyle="1" w:styleId="149">
    <w:name w:val="new-icon1"/>
    <w:basedOn w:val="39"/>
    <w:autoRedefine/>
    <w:qFormat/>
    <w:uiPriority w:val="0"/>
  </w:style>
  <w:style w:type="character" w:customStyle="1" w:styleId="150">
    <w:name w:val="font31"/>
    <w:basedOn w:val="39"/>
    <w:autoRedefine/>
    <w:qFormat/>
    <w:uiPriority w:val="0"/>
    <w:rPr>
      <w:rFonts w:hint="eastAsia" w:ascii="宋体" w:hAnsi="宋体" w:eastAsia="宋体" w:cs="宋体"/>
      <w:color w:val="000000"/>
      <w:sz w:val="21"/>
      <w:szCs w:val="21"/>
      <w:u w:val="none"/>
    </w:rPr>
  </w:style>
  <w:style w:type="character" w:customStyle="1" w:styleId="151">
    <w:name w:val="font51"/>
    <w:basedOn w:val="39"/>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56</Pages>
  <Words>2572</Words>
  <Characters>3297</Characters>
  <Lines>358</Lines>
  <Paragraphs>100</Paragraphs>
  <TotalTime>7</TotalTime>
  <ScaleCrop>false</ScaleCrop>
  <LinksUpToDate>false</LinksUpToDate>
  <CharactersWithSpaces>3561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韦韦</cp:lastModifiedBy>
  <cp:lastPrinted>2025-05-23T01:13:00Z</cp:lastPrinted>
  <dcterms:modified xsi:type="dcterms:W3CDTF">2025-06-13T03:58:22Z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C80E90BFE3A54839A142FED3384053EF_13</vt:lpwstr>
  </property>
  <property fmtid="{D5CDD505-2E9C-101B-9397-08002B2CF9AE}" pid="4" name="KSOTemplateDocerSaveRecord">
    <vt:lpwstr>eyJoZGlkIjoiZmQ5MGI3YTdkMjVkZTZjM2ZjZTQ5YjMxYTJjZjRlOWEiLCJ1c2VySWQiOiIzNjE4MjQ5In0=</vt:lpwstr>
  </property>
</Properties>
</file>