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678EFD">
      <w:pPr>
        <w:rPr>
          <w:rFonts w:hint="eastAsia"/>
          <w:color w:val="auto"/>
          <w:highlight w:val="none"/>
        </w:rPr>
      </w:pPr>
      <w:bookmarkStart w:id="0" w:name="OLE_LINK1"/>
    </w:p>
    <w:p w14:paraId="3102AEE1">
      <w:pPr>
        <w:keepNext w:val="0"/>
        <w:keepLines w:val="0"/>
        <w:pageBreakBefore w:val="0"/>
        <w:widowControl w:val="0"/>
        <w:kinsoku/>
        <w:wordWrap/>
        <w:overflowPunct/>
        <w:topLinePunct w:val="0"/>
        <w:autoSpaceDE/>
        <w:autoSpaceDN/>
        <w:bidi w:val="0"/>
        <w:adjustRightInd/>
        <w:snapToGrid w:val="0"/>
        <w:spacing w:before="313" w:beforeLines="100" w:after="313" w:afterLines="100" w:line="800" w:lineRule="exact"/>
        <w:jc w:val="center"/>
        <w:textAlignment w:val="auto"/>
        <w:rPr>
          <w:rFonts w:hint="default" w:eastAsia="宋体"/>
          <w:color w:val="auto"/>
          <w:sz w:val="22"/>
          <w:szCs w:val="28"/>
          <w:highlight w:val="none"/>
          <w:lang w:val="en-US" w:eastAsia="zh-CN"/>
        </w:rPr>
      </w:pPr>
      <w:r>
        <w:rPr>
          <w:rFonts w:hint="eastAsia" w:ascii="宋体" w:hAnsi="宋体" w:eastAsia="宋体" w:cs="宋体"/>
          <w:b/>
          <w:bCs/>
          <w:color w:val="auto"/>
          <w:w w:val="85"/>
          <w:sz w:val="48"/>
          <w:szCs w:val="48"/>
          <w:highlight w:val="none"/>
        </w:rPr>
        <w:t>滁州市扬子工业投资集团有限公司参股企业审计</w:t>
      </w:r>
      <w:r>
        <w:rPr>
          <w:rFonts w:hint="eastAsia" w:ascii="宋体" w:hAnsi="宋体" w:cs="宋体"/>
          <w:b/>
          <w:bCs/>
          <w:color w:val="auto"/>
          <w:w w:val="85"/>
          <w:sz w:val="48"/>
          <w:szCs w:val="48"/>
          <w:highlight w:val="none"/>
          <w:lang w:val="en-US" w:eastAsia="zh-CN"/>
        </w:rPr>
        <w:t>服务</w:t>
      </w:r>
      <w:r>
        <w:rPr>
          <w:rFonts w:hint="eastAsia" w:ascii="宋体" w:hAnsi="宋体" w:eastAsia="宋体" w:cs="宋体"/>
          <w:b/>
          <w:bCs/>
          <w:color w:val="auto"/>
          <w:w w:val="85"/>
          <w:sz w:val="48"/>
          <w:szCs w:val="48"/>
          <w:highlight w:val="none"/>
        </w:rPr>
        <w:t>项目</w:t>
      </w:r>
    </w:p>
    <w:p w14:paraId="75346B9D">
      <w:pPr>
        <w:spacing w:after="156" w:afterLines="50"/>
        <w:ind w:left="-850" w:leftChars="-405" w:right="-625"/>
        <w:jc w:val="center"/>
        <w:rPr>
          <w:rFonts w:hint="eastAsia"/>
          <w:color w:val="auto"/>
          <w:sz w:val="24"/>
          <w:highlight w:val="none"/>
        </w:rPr>
      </w:pPr>
    </w:p>
    <w:p w14:paraId="5B3F2512">
      <w:pPr>
        <w:rPr>
          <w:rFonts w:hint="eastAsia" w:ascii="宋体"/>
          <w:bCs/>
          <w:color w:val="auto"/>
          <w:szCs w:val="21"/>
          <w:highlight w:val="none"/>
        </w:rPr>
      </w:pPr>
    </w:p>
    <w:p w14:paraId="3975FF69">
      <w:pPr>
        <w:rPr>
          <w:rFonts w:hint="eastAsia" w:ascii="宋体"/>
          <w:bCs/>
          <w:color w:val="auto"/>
          <w:szCs w:val="21"/>
          <w:highlight w:val="none"/>
        </w:rPr>
      </w:pPr>
    </w:p>
    <w:p w14:paraId="66796547">
      <w:pPr>
        <w:spacing w:line="360" w:lineRule="auto"/>
        <w:jc w:val="center"/>
        <w:rPr>
          <w:rFonts w:hint="eastAsia" w:ascii="宋体" w:hAnsi="宋体" w:cs="宋体"/>
          <w:bCs/>
          <w:color w:val="auto"/>
          <w:sz w:val="96"/>
          <w:szCs w:val="96"/>
          <w:highlight w:val="none"/>
        </w:rPr>
      </w:pPr>
      <w:r>
        <w:rPr>
          <w:rFonts w:hint="eastAsia" w:ascii="宋体" w:hAnsi="宋体" w:cs="宋体"/>
          <w:b/>
          <w:color w:val="auto"/>
          <w:sz w:val="96"/>
          <w:szCs w:val="96"/>
          <w:highlight w:val="none"/>
        </w:rPr>
        <w:t>招 标 文 件</w:t>
      </w:r>
    </w:p>
    <w:p w14:paraId="4DF0B417">
      <w:pPr>
        <w:rPr>
          <w:rFonts w:hint="eastAsia" w:ascii="宋体" w:hAnsi="宋体"/>
          <w:b/>
          <w:color w:val="auto"/>
          <w:sz w:val="84"/>
          <w:szCs w:val="84"/>
          <w:highlight w:val="none"/>
        </w:rPr>
      </w:pPr>
    </w:p>
    <w:p w14:paraId="454AC2BD">
      <w:pPr>
        <w:pStyle w:val="36"/>
        <w:rPr>
          <w:rFonts w:hint="eastAsia"/>
          <w:color w:val="auto"/>
          <w:highlight w:val="none"/>
        </w:rPr>
      </w:pPr>
    </w:p>
    <w:p w14:paraId="2B4B50AE">
      <w:pPr>
        <w:rPr>
          <w:rFonts w:hint="eastAsia"/>
          <w:color w:val="auto"/>
          <w:highlight w:val="none"/>
        </w:rPr>
      </w:pPr>
    </w:p>
    <w:p w14:paraId="0A043D06">
      <w:pPr>
        <w:rPr>
          <w:rFonts w:hint="eastAsia" w:ascii="宋体"/>
          <w:color w:val="auto"/>
          <w:sz w:val="28"/>
          <w:szCs w:val="28"/>
          <w:highlight w:val="none"/>
        </w:rPr>
      </w:pPr>
    </w:p>
    <w:p w14:paraId="4F2646BA">
      <w:pPr>
        <w:pStyle w:val="23"/>
        <w:rPr>
          <w:rFonts w:hint="eastAsia"/>
          <w:color w:val="auto"/>
          <w:highlight w:val="none"/>
        </w:rPr>
      </w:pPr>
    </w:p>
    <w:p w14:paraId="4898C502">
      <w:pPr>
        <w:rPr>
          <w:rFonts w:hint="eastAsia" w:ascii="宋体"/>
          <w:b/>
          <w:color w:val="auto"/>
          <w:sz w:val="32"/>
          <w:szCs w:val="32"/>
          <w:highlight w:val="none"/>
        </w:rPr>
      </w:pPr>
    </w:p>
    <w:p w14:paraId="6E98E7EC">
      <w:pPr>
        <w:pStyle w:val="36"/>
        <w:rPr>
          <w:rFonts w:hint="eastAsia"/>
          <w:color w:val="auto"/>
          <w:highlight w:val="none"/>
        </w:rPr>
      </w:pPr>
    </w:p>
    <w:p w14:paraId="610B6BE1">
      <w:pPr>
        <w:pStyle w:val="29"/>
        <w:rPr>
          <w:rFonts w:hint="eastAsia"/>
          <w:color w:val="auto"/>
          <w:highlight w:val="none"/>
        </w:rPr>
      </w:pPr>
    </w:p>
    <w:p w14:paraId="4D216C92">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ascii="宋体"/>
          <w:b/>
          <w:color w:val="auto"/>
          <w:sz w:val="32"/>
          <w:szCs w:val="32"/>
          <w:highlight w:val="none"/>
        </w:rPr>
      </w:pPr>
      <w:r>
        <w:rPr>
          <w:rFonts w:hint="eastAsia" w:ascii="宋体"/>
          <w:b/>
          <w:color w:val="auto"/>
          <w:sz w:val="32"/>
          <w:szCs w:val="32"/>
          <w:highlight w:val="none"/>
          <w:lang w:val="en-US" w:eastAsia="zh-CN"/>
        </w:rPr>
        <w:t>招</w:t>
      </w:r>
      <w:r>
        <w:rPr>
          <w:rFonts w:hint="eastAsia" w:ascii="宋体"/>
          <w:b/>
          <w:color w:val="auto"/>
          <w:sz w:val="32"/>
          <w:szCs w:val="32"/>
          <w:highlight w:val="none"/>
        </w:rPr>
        <w:t xml:space="preserve">   </w:t>
      </w:r>
      <w:r>
        <w:rPr>
          <w:rFonts w:hint="eastAsia" w:ascii="宋体"/>
          <w:b/>
          <w:color w:val="auto"/>
          <w:sz w:val="32"/>
          <w:szCs w:val="32"/>
          <w:highlight w:val="none"/>
          <w:lang w:val="en-US" w:eastAsia="zh-CN"/>
        </w:rPr>
        <w:t>标</w:t>
      </w:r>
      <w:r>
        <w:rPr>
          <w:rFonts w:hint="eastAsia" w:ascii="宋体"/>
          <w:b/>
          <w:color w:val="auto"/>
          <w:sz w:val="32"/>
          <w:szCs w:val="32"/>
          <w:highlight w:val="none"/>
        </w:rPr>
        <w:t xml:space="preserve">   人：</w:t>
      </w:r>
      <w:r>
        <w:rPr>
          <w:rFonts w:hint="eastAsia" w:ascii="宋体"/>
          <w:b/>
          <w:color w:val="auto"/>
          <w:sz w:val="32"/>
          <w:szCs w:val="32"/>
          <w:highlight w:val="none"/>
          <w:u w:val="single"/>
          <w:lang w:val="en-US" w:eastAsia="zh-CN"/>
        </w:rPr>
        <w:t>滁州市扬子工业投资集团有限公司</w:t>
      </w:r>
      <w:r>
        <w:rPr>
          <w:rFonts w:hint="eastAsia" w:ascii="宋体"/>
          <w:b/>
          <w:color w:val="auto"/>
          <w:sz w:val="32"/>
          <w:szCs w:val="32"/>
          <w:highlight w:val="none"/>
        </w:rPr>
        <w:t>（盖单位章）</w:t>
      </w:r>
    </w:p>
    <w:p w14:paraId="44C1C13B">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ascii="宋体"/>
          <w:b/>
          <w:color w:val="auto"/>
          <w:sz w:val="32"/>
          <w:szCs w:val="32"/>
          <w:highlight w:val="none"/>
          <w:u w:val="single"/>
        </w:rPr>
      </w:pPr>
      <w:r>
        <w:rPr>
          <w:rFonts w:hint="eastAsia" w:ascii="宋体"/>
          <w:b/>
          <w:color w:val="auto"/>
          <w:sz w:val="32"/>
          <w:szCs w:val="32"/>
          <w:highlight w:val="none"/>
          <w:lang w:val="en-US" w:eastAsia="zh-CN"/>
        </w:rPr>
        <w:t>招标</w:t>
      </w:r>
      <w:r>
        <w:rPr>
          <w:rFonts w:hint="eastAsia" w:ascii="宋体"/>
          <w:b/>
          <w:color w:val="auto"/>
          <w:sz w:val="32"/>
          <w:szCs w:val="32"/>
          <w:highlight w:val="none"/>
        </w:rPr>
        <w:t>代理机构：</w:t>
      </w:r>
      <w:r>
        <w:rPr>
          <w:rFonts w:hint="eastAsia" w:ascii="宋体"/>
          <w:b/>
          <w:color w:val="auto"/>
          <w:sz w:val="32"/>
          <w:szCs w:val="32"/>
          <w:highlight w:val="none"/>
          <w:u w:val="single"/>
          <w:lang w:eastAsia="zh-CN"/>
        </w:rPr>
        <w:t>滁州市城投工程咨询管理有限公司</w:t>
      </w:r>
      <w:r>
        <w:rPr>
          <w:rFonts w:hint="eastAsia" w:ascii="宋体"/>
          <w:b/>
          <w:color w:val="auto"/>
          <w:sz w:val="32"/>
          <w:szCs w:val="32"/>
          <w:highlight w:val="none"/>
        </w:rPr>
        <w:t>（盖单位章）</w:t>
      </w:r>
    </w:p>
    <w:p w14:paraId="14684A3B">
      <w:pPr>
        <w:keepNext w:val="0"/>
        <w:keepLines w:val="0"/>
        <w:pageBreakBefore w:val="0"/>
        <w:widowControl w:val="0"/>
        <w:kinsoku/>
        <w:wordWrap/>
        <w:overflowPunct/>
        <w:topLinePunct w:val="0"/>
        <w:autoSpaceDE/>
        <w:autoSpaceDN/>
        <w:bidi w:val="0"/>
        <w:adjustRightInd/>
        <w:snapToGrid/>
        <w:spacing w:line="900" w:lineRule="exact"/>
        <w:jc w:val="center"/>
        <w:textAlignment w:val="auto"/>
        <w:rPr>
          <w:rFonts w:hint="eastAsia" w:ascii="宋体"/>
          <w:b/>
          <w:color w:val="auto"/>
          <w:sz w:val="32"/>
          <w:szCs w:val="32"/>
          <w:highlight w:val="none"/>
        </w:rPr>
      </w:pPr>
      <w:r>
        <w:rPr>
          <w:rFonts w:hint="eastAsia" w:ascii="宋体"/>
          <w:b/>
          <w:color w:val="auto"/>
          <w:sz w:val="32"/>
          <w:szCs w:val="32"/>
          <w:highlight w:val="none"/>
          <w:u w:val="single"/>
        </w:rPr>
        <w:t>202</w:t>
      </w:r>
      <w:r>
        <w:rPr>
          <w:rFonts w:hint="eastAsia" w:ascii="宋体"/>
          <w:b/>
          <w:color w:val="auto"/>
          <w:sz w:val="32"/>
          <w:szCs w:val="32"/>
          <w:highlight w:val="none"/>
          <w:u w:val="single"/>
          <w:lang w:val="en-US" w:eastAsia="zh-CN"/>
        </w:rPr>
        <w:t>5</w:t>
      </w:r>
      <w:r>
        <w:rPr>
          <w:rFonts w:hint="eastAsia" w:ascii="宋体"/>
          <w:b/>
          <w:color w:val="auto"/>
          <w:sz w:val="32"/>
          <w:szCs w:val="32"/>
          <w:highlight w:val="none"/>
        </w:rPr>
        <w:t>年</w:t>
      </w:r>
      <w:r>
        <w:rPr>
          <w:rFonts w:hint="eastAsia" w:ascii="宋体"/>
          <w:b/>
          <w:color w:val="auto"/>
          <w:sz w:val="32"/>
          <w:szCs w:val="32"/>
          <w:highlight w:val="none"/>
          <w:u w:val="single"/>
        </w:rPr>
        <w:t xml:space="preserve"> </w:t>
      </w:r>
      <w:r>
        <w:rPr>
          <w:rFonts w:hint="eastAsia" w:ascii="宋体"/>
          <w:b/>
          <w:color w:val="auto"/>
          <w:sz w:val="32"/>
          <w:szCs w:val="32"/>
          <w:highlight w:val="none"/>
          <w:u w:val="single"/>
          <w:lang w:val="en-US" w:eastAsia="zh-CN"/>
        </w:rPr>
        <w:t>5</w:t>
      </w:r>
      <w:r>
        <w:rPr>
          <w:rFonts w:hint="eastAsia" w:ascii="宋体"/>
          <w:b/>
          <w:color w:val="auto"/>
          <w:sz w:val="32"/>
          <w:szCs w:val="32"/>
          <w:highlight w:val="none"/>
        </w:rPr>
        <w:t>月</w:t>
      </w:r>
    </w:p>
    <w:p w14:paraId="5A5EBCBA">
      <w:pPr>
        <w:spacing w:line="360" w:lineRule="exact"/>
        <w:rPr>
          <w:rFonts w:hint="eastAsia"/>
          <w:b/>
          <w:color w:val="auto"/>
          <w:sz w:val="36"/>
          <w:highlight w:val="none"/>
        </w:rPr>
      </w:pPr>
    </w:p>
    <w:p w14:paraId="71163863">
      <w:pPr>
        <w:spacing w:line="360" w:lineRule="exact"/>
        <w:jc w:val="center"/>
        <w:rPr>
          <w:rFonts w:hint="eastAsia"/>
          <w:b/>
          <w:color w:val="auto"/>
          <w:sz w:val="36"/>
          <w:highlight w:val="none"/>
        </w:rPr>
      </w:pPr>
      <w:r>
        <w:rPr>
          <w:rFonts w:hint="eastAsia"/>
          <w:b/>
          <w:color w:val="auto"/>
          <w:sz w:val="36"/>
          <w:highlight w:val="none"/>
        </w:rPr>
        <w:br w:type="page"/>
      </w:r>
    </w:p>
    <w:p w14:paraId="646F9755">
      <w:pPr>
        <w:spacing w:line="360" w:lineRule="exact"/>
        <w:jc w:val="center"/>
        <w:rPr>
          <w:rFonts w:hint="eastAsia"/>
          <w:b/>
          <w:color w:val="auto"/>
          <w:sz w:val="36"/>
          <w:highlight w:val="none"/>
        </w:rPr>
      </w:pPr>
      <w:r>
        <w:rPr>
          <w:rFonts w:hint="eastAsia"/>
          <w:b/>
          <w:color w:val="auto"/>
          <w:sz w:val="36"/>
          <w:highlight w:val="none"/>
        </w:rPr>
        <w:t>目  录</w:t>
      </w:r>
    </w:p>
    <w:p w14:paraId="41D795BE">
      <w:pPr>
        <w:spacing w:line="360" w:lineRule="exact"/>
        <w:jc w:val="center"/>
        <w:rPr>
          <w:rFonts w:hint="eastAsia"/>
          <w:b/>
          <w:color w:val="auto"/>
          <w:sz w:val="36"/>
          <w:highlight w:val="none"/>
        </w:rPr>
      </w:pPr>
    </w:p>
    <w:p w14:paraId="7CF45282">
      <w:pPr>
        <w:pStyle w:val="27"/>
        <w:tabs>
          <w:tab w:val="right" w:leader="dot" w:pos="8296"/>
        </w:tabs>
        <w:spacing w:before="156" w:beforeLines="50" w:after="156" w:afterLines="50" w:line="500" w:lineRule="exact"/>
        <w:rPr>
          <w:rFonts w:ascii="宋体" w:hAnsi="宋体"/>
          <w:b/>
          <w:color w:val="auto"/>
          <w:sz w:val="24"/>
          <w:highlight w:val="none"/>
        </w:rPr>
      </w:pP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TOC \o "1-3" \h \z \u </w:instrText>
      </w:r>
      <w:r>
        <w:rPr>
          <w:rFonts w:hint="eastAsia" w:ascii="宋体" w:hAnsi="宋体" w:cs="宋体"/>
          <w:color w:val="auto"/>
          <w:sz w:val="24"/>
          <w:highlight w:val="none"/>
        </w:rPr>
        <w:fldChar w:fldCharType="separate"/>
      </w:r>
      <w:r>
        <w:rPr>
          <w:rFonts w:ascii="宋体" w:hAnsi="宋体"/>
          <w:color w:val="auto"/>
          <w:sz w:val="24"/>
          <w:highlight w:val="none"/>
        </w:rPr>
        <w:fldChar w:fldCharType="begin"/>
      </w:r>
      <w:r>
        <w:rPr>
          <w:rStyle w:val="48"/>
          <w:rFonts w:ascii="宋体" w:hAnsi="宋体"/>
          <w:color w:val="auto"/>
          <w:sz w:val="24"/>
          <w:highlight w:val="none"/>
        </w:rPr>
        <w:instrText xml:space="preserve"> </w:instrText>
      </w:r>
      <w:r>
        <w:rPr>
          <w:rFonts w:ascii="宋体" w:hAnsi="宋体"/>
          <w:color w:val="auto"/>
          <w:sz w:val="24"/>
          <w:highlight w:val="none"/>
        </w:rPr>
        <w:instrText xml:space="preserve">HYPERLINK \l "_Toc58430304"</w:instrText>
      </w:r>
      <w:r>
        <w:rPr>
          <w:rStyle w:val="48"/>
          <w:rFonts w:ascii="宋体" w:hAnsi="宋体"/>
          <w:color w:val="auto"/>
          <w:sz w:val="24"/>
          <w:highlight w:val="none"/>
        </w:rPr>
        <w:instrText xml:space="preserve"> </w:instrText>
      </w:r>
      <w:r>
        <w:rPr>
          <w:rFonts w:ascii="宋体" w:hAnsi="宋体"/>
          <w:color w:val="auto"/>
          <w:sz w:val="24"/>
          <w:highlight w:val="none"/>
        </w:rPr>
        <w:fldChar w:fldCharType="separate"/>
      </w:r>
      <w:r>
        <w:rPr>
          <w:rStyle w:val="48"/>
          <w:rFonts w:hint="eastAsia" w:ascii="宋体" w:hAnsi="宋体"/>
          <w:b/>
          <w:color w:val="auto"/>
          <w:sz w:val="24"/>
          <w:highlight w:val="none"/>
        </w:rPr>
        <w:t>第一章</w:t>
      </w:r>
      <w:r>
        <w:rPr>
          <w:rStyle w:val="48"/>
          <w:rFonts w:ascii="宋体" w:hAnsi="宋体"/>
          <w:b/>
          <w:color w:val="auto"/>
          <w:sz w:val="24"/>
          <w:highlight w:val="none"/>
        </w:rPr>
        <w:t xml:space="preserve"> </w:t>
      </w:r>
      <w:r>
        <w:rPr>
          <w:rStyle w:val="48"/>
          <w:rFonts w:hint="eastAsia" w:ascii="宋体" w:hAnsi="宋体"/>
          <w:b/>
          <w:color w:val="auto"/>
          <w:sz w:val="24"/>
          <w:highlight w:val="none"/>
          <w:lang w:val="en-US" w:eastAsia="zh-CN"/>
        </w:rPr>
        <w:t>招标公告</w:t>
      </w:r>
      <w:r>
        <w:rPr>
          <w:rFonts w:ascii="宋体" w:hAnsi="宋体"/>
          <w:b/>
          <w:color w:val="auto"/>
          <w:sz w:val="24"/>
          <w:highlight w:val="none"/>
        </w:rPr>
        <w:tab/>
      </w:r>
      <w:r>
        <w:rPr>
          <w:rFonts w:hint="eastAsia" w:ascii="宋体" w:hAnsi="宋体"/>
          <w:b/>
          <w:color w:val="auto"/>
          <w:sz w:val="24"/>
          <w:highlight w:val="none"/>
          <w:lang w:val="en-US" w:eastAsia="zh-CN"/>
        </w:rPr>
        <w:t>1</w:t>
      </w:r>
      <w:r>
        <w:rPr>
          <w:rFonts w:ascii="宋体" w:hAnsi="宋体"/>
          <w:b/>
          <w:color w:val="auto"/>
          <w:sz w:val="24"/>
          <w:highlight w:val="none"/>
        </w:rPr>
        <w:fldChar w:fldCharType="end"/>
      </w:r>
    </w:p>
    <w:p w14:paraId="0CF1839A">
      <w:pPr>
        <w:pStyle w:val="27"/>
        <w:tabs>
          <w:tab w:val="right" w:leader="dot" w:pos="8296"/>
        </w:tabs>
        <w:spacing w:before="156" w:beforeLines="50" w:after="156" w:afterLines="50" w:line="500" w:lineRule="exact"/>
        <w:rPr>
          <w:rFonts w:hint="eastAsia" w:ascii="宋体" w:hAnsi="宋体" w:eastAsia="宋体"/>
          <w:b/>
          <w:color w:val="auto"/>
          <w:sz w:val="24"/>
          <w:highlight w:val="none"/>
          <w:lang w:eastAsia="zh-CN"/>
        </w:rPr>
      </w:pPr>
      <w:r>
        <w:rPr>
          <w:rFonts w:ascii="宋体" w:hAnsi="宋体"/>
          <w:b/>
          <w:color w:val="auto"/>
          <w:sz w:val="24"/>
          <w:highlight w:val="none"/>
        </w:rPr>
        <w:fldChar w:fldCharType="begin"/>
      </w:r>
      <w:r>
        <w:rPr>
          <w:rStyle w:val="48"/>
          <w:rFonts w:ascii="宋体" w:hAnsi="宋体"/>
          <w:b/>
          <w:color w:val="auto"/>
          <w:sz w:val="24"/>
          <w:highlight w:val="none"/>
        </w:rPr>
        <w:instrText xml:space="preserve"> </w:instrText>
      </w:r>
      <w:r>
        <w:rPr>
          <w:rFonts w:ascii="宋体" w:hAnsi="宋体"/>
          <w:b/>
          <w:color w:val="auto"/>
          <w:sz w:val="24"/>
          <w:highlight w:val="none"/>
        </w:rPr>
        <w:instrText xml:space="preserve">HYPERLINK \l "_Toc58430313"</w:instrText>
      </w:r>
      <w:r>
        <w:rPr>
          <w:rStyle w:val="48"/>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8"/>
          <w:rFonts w:hint="eastAsia" w:ascii="宋体" w:hAnsi="宋体"/>
          <w:b/>
          <w:color w:val="auto"/>
          <w:sz w:val="24"/>
          <w:highlight w:val="none"/>
        </w:rPr>
        <w:t>第二章</w:t>
      </w:r>
      <w:r>
        <w:rPr>
          <w:rStyle w:val="48"/>
          <w:rFonts w:ascii="宋体" w:hAnsi="宋体"/>
          <w:b/>
          <w:color w:val="auto"/>
          <w:sz w:val="24"/>
          <w:highlight w:val="none"/>
        </w:rPr>
        <w:t xml:space="preserve"> </w:t>
      </w:r>
      <w:r>
        <w:rPr>
          <w:rStyle w:val="48"/>
          <w:rFonts w:hint="eastAsia" w:ascii="宋体" w:hAnsi="宋体"/>
          <w:b/>
          <w:color w:val="auto"/>
          <w:sz w:val="24"/>
          <w:highlight w:val="none"/>
        </w:rPr>
        <w:t>投标人须知</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6</w:t>
      </w:r>
    </w:p>
    <w:p w14:paraId="36CBB0FA">
      <w:pPr>
        <w:pStyle w:val="27"/>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8"/>
          <w:rFonts w:ascii="宋体" w:hAnsi="宋体"/>
          <w:b/>
          <w:color w:val="auto"/>
          <w:sz w:val="24"/>
          <w:highlight w:val="none"/>
        </w:rPr>
        <w:instrText xml:space="preserve"> </w:instrText>
      </w:r>
      <w:r>
        <w:rPr>
          <w:rFonts w:ascii="宋体" w:hAnsi="宋体"/>
          <w:b/>
          <w:color w:val="auto"/>
          <w:sz w:val="24"/>
          <w:highlight w:val="none"/>
        </w:rPr>
        <w:instrText xml:space="preserve">HYPERLINK \l "_Toc58430316"</w:instrText>
      </w:r>
      <w:r>
        <w:rPr>
          <w:rStyle w:val="48"/>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8"/>
          <w:rFonts w:hint="eastAsia" w:ascii="宋体" w:hAnsi="宋体"/>
          <w:b/>
          <w:color w:val="auto"/>
          <w:sz w:val="24"/>
          <w:highlight w:val="none"/>
        </w:rPr>
        <w:t>第三章</w:t>
      </w:r>
      <w:r>
        <w:rPr>
          <w:rStyle w:val="48"/>
          <w:rFonts w:ascii="宋体" w:hAnsi="宋体"/>
          <w:b/>
          <w:color w:val="auto"/>
          <w:sz w:val="24"/>
          <w:highlight w:val="none"/>
        </w:rPr>
        <w:t xml:space="preserve"> </w:t>
      </w:r>
      <w:r>
        <w:rPr>
          <w:rStyle w:val="48"/>
          <w:rFonts w:hint="eastAsia" w:ascii="宋体" w:hAnsi="宋体"/>
          <w:b/>
          <w:color w:val="auto"/>
          <w:sz w:val="24"/>
          <w:highlight w:val="none"/>
        </w:rPr>
        <w:t>评标办法（综合评分法）</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22</w:t>
      </w:r>
    </w:p>
    <w:p w14:paraId="05B8D3E4">
      <w:pPr>
        <w:pStyle w:val="27"/>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8"/>
          <w:rFonts w:ascii="宋体" w:hAnsi="宋体"/>
          <w:b/>
          <w:color w:val="auto"/>
          <w:sz w:val="24"/>
          <w:highlight w:val="none"/>
        </w:rPr>
        <w:instrText xml:space="preserve"> </w:instrText>
      </w:r>
      <w:r>
        <w:rPr>
          <w:rFonts w:ascii="宋体" w:hAnsi="宋体"/>
          <w:b/>
          <w:color w:val="auto"/>
          <w:sz w:val="24"/>
          <w:highlight w:val="none"/>
        </w:rPr>
        <w:instrText xml:space="preserve">HYPERLINK \l "_Toc58430328"</w:instrText>
      </w:r>
      <w:r>
        <w:rPr>
          <w:rStyle w:val="48"/>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8"/>
          <w:rFonts w:hint="eastAsia" w:ascii="宋体" w:hAnsi="宋体"/>
          <w:b/>
          <w:color w:val="auto"/>
          <w:sz w:val="24"/>
          <w:highlight w:val="none"/>
        </w:rPr>
        <w:t>第四章</w:t>
      </w:r>
      <w:r>
        <w:rPr>
          <w:rStyle w:val="48"/>
          <w:rFonts w:ascii="宋体" w:hAnsi="宋体"/>
          <w:b/>
          <w:color w:val="auto"/>
          <w:sz w:val="24"/>
          <w:highlight w:val="none"/>
        </w:rPr>
        <w:t xml:space="preserve"> </w:t>
      </w:r>
      <w:r>
        <w:rPr>
          <w:rStyle w:val="48"/>
          <w:rFonts w:hint="eastAsia" w:ascii="宋体" w:hAnsi="宋体"/>
          <w:b/>
          <w:color w:val="auto"/>
          <w:sz w:val="24"/>
          <w:highlight w:val="none"/>
        </w:rPr>
        <w:t>采购需求</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29</w:t>
      </w:r>
    </w:p>
    <w:p w14:paraId="015E87B1">
      <w:pPr>
        <w:pStyle w:val="27"/>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第五章 合同格式（参考）</w:t>
      </w:r>
      <w:r>
        <w:rPr>
          <w:rFonts w:ascii="宋体" w:hAnsi="宋体"/>
          <w:b/>
          <w:color w:val="auto"/>
          <w:sz w:val="24"/>
          <w:highlight w:val="none"/>
        </w:rPr>
        <w:tab/>
      </w:r>
      <w:r>
        <w:rPr>
          <w:rFonts w:hint="eastAsia" w:ascii="宋体" w:hAnsi="宋体"/>
          <w:b/>
          <w:color w:val="auto"/>
          <w:sz w:val="24"/>
          <w:highlight w:val="none"/>
          <w:lang w:val="en-US" w:eastAsia="zh-CN"/>
        </w:rPr>
        <w:t>31</w:t>
      </w:r>
    </w:p>
    <w:p w14:paraId="27292367">
      <w:pPr>
        <w:pStyle w:val="27"/>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8"/>
          <w:rFonts w:ascii="宋体" w:hAnsi="宋体"/>
          <w:b/>
          <w:color w:val="auto"/>
          <w:sz w:val="24"/>
          <w:highlight w:val="none"/>
        </w:rPr>
        <w:instrText xml:space="preserve"> </w:instrText>
      </w:r>
      <w:r>
        <w:rPr>
          <w:rFonts w:ascii="宋体" w:hAnsi="宋体"/>
          <w:b/>
          <w:color w:val="auto"/>
          <w:sz w:val="24"/>
          <w:highlight w:val="none"/>
        </w:rPr>
        <w:instrText xml:space="preserve">HYPERLINK \l "_Toc58430332"</w:instrText>
      </w:r>
      <w:r>
        <w:rPr>
          <w:rStyle w:val="48"/>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8"/>
          <w:rFonts w:hint="eastAsia" w:ascii="宋体" w:hAnsi="宋体"/>
          <w:b/>
          <w:color w:val="auto"/>
          <w:sz w:val="24"/>
          <w:highlight w:val="none"/>
        </w:rPr>
        <w:t>第</w:t>
      </w:r>
      <w:r>
        <w:rPr>
          <w:rStyle w:val="48"/>
          <w:rFonts w:hint="eastAsia" w:ascii="宋体" w:hAnsi="宋体"/>
          <w:b/>
          <w:color w:val="auto"/>
          <w:sz w:val="24"/>
          <w:highlight w:val="none"/>
          <w:lang w:val="en-US" w:eastAsia="zh-CN"/>
        </w:rPr>
        <w:t>六</w:t>
      </w:r>
      <w:r>
        <w:rPr>
          <w:rStyle w:val="48"/>
          <w:rFonts w:hint="eastAsia" w:ascii="宋体" w:hAnsi="宋体"/>
          <w:b/>
          <w:color w:val="auto"/>
          <w:sz w:val="24"/>
          <w:highlight w:val="none"/>
        </w:rPr>
        <w:t>章</w:t>
      </w:r>
      <w:r>
        <w:rPr>
          <w:rStyle w:val="48"/>
          <w:rFonts w:ascii="宋体" w:hAnsi="宋体"/>
          <w:b/>
          <w:color w:val="auto"/>
          <w:sz w:val="24"/>
          <w:highlight w:val="none"/>
        </w:rPr>
        <w:t xml:space="preserve"> </w:t>
      </w:r>
      <w:r>
        <w:rPr>
          <w:rStyle w:val="48"/>
          <w:rFonts w:hint="eastAsia" w:ascii="宋体" w:hAnsi="宋体"/>
          <w:b/>
          <w:color w:val="auto"/>
          <w:sz w:val="24"/>
          <w:highlight w:val="none"/>
        </w:rPr>
        <w:t>投标文件格式</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39</w:t>
      </w:r>
    </w:p>
    <w:p w14:paraId="160017E2">
      <w:pPr>
        <w:pStyle w:val="27"/>
        <w:tabs>
          <w:tab w:val="right" w:leader="dot" w:pos="8296"/>
        </w:tabs>
        <w:adjustRightInd w:val="0"/>
        <w:snapToGrid w:val="0"/>
        <w:spacing w:before="156" w:beforeLines="50" w:after="156" w:afterLines="50" w:line="500" w:lineRule="exact"/>
        <w:ind w:left="120" w:hanging="120" w:hangingChars="50"/>
        <w:jc w:val="center"/>
        <w:rPr>
          <w:rFonts w:hint="eastAsia" w:ascii="宋体"/>
          <w:b/>
          <w:bCs/>
          <w:color w:val="auto"/>
          <w:sz w:val="32"/>
          <w:szCs w:val="32"/>
          <w:highlight w:val="none"/>
        </w:rPr>
        <w:sectPr>
          <w:headerReference r:id="rId4" w:type="first"/>
          <w:footerReference r:id="rId7" w:type="first"/>
          <w:headerReference r:id="rId3" w:type="default"/>
          <w:footerReference r:id="rId5" w:type="default"/>
          <w:footerReference r:id="rId6" w:type="even"/>
          <w:pgSz w:w="11906" w:h="16838"/>
          <w:pgMar w:top="1440" w:right="1486" w:bottom="1440" w:left="1800" w:header="851" w:footer="992" w:gutter="0"/>
          <w:pgNumType w:start="1"/>
          <w:cols w:space="720" w:num="1"/>
          <w:docGrid w:type="lines" w:linePitch="312" w:charSpace="0"/>
        </w:sectPr>
      </w:pPr>
      <w:r>
        <w:rPr>
          <w:rFonts w:hint="eastAsia" w:ascii="宋体" w:hAnsi="宋体" w:cs="宋体"/>
          <w:color w:val="auto"/>
          <w:sz w:val="24"/>
          <w:highlight w:val="none"/>
        </w:rPr>
        <w:fldChar w:fldCharType="end"/>
      </w:r>
    </w:p>
    <w:p w14:paraId="11EDBE1A">
      <w:pPr>
        <w:spacing w:before="156" w:beforeLines="50" w:after="156" w:afterLines="50" w:line="600" w:lineRule="exact"/>
        <w:jc w:val="center"/>
        <w:outlineLvl w:val="0"/>
        <w:rPr>
          <w:rFonts w:hint="default" w:ascii="宋体" w:eastAsia="宋体"/>
          <w:b/>
          <w:color w:val="auto"/>
          <w:sz w:val="32"/>
          <w:szCs w:val="32"/>
          <w:highlight w:val="none"/>
          <w:lang w:val="en-US" w:eastAsia="zh-CN"/>
        </w:rPr>
      </w:pPr>
      <w:bookmarkStart w:id="1" w:name="_Toc58430304"/>
      <w:r>
        <w:rPr>
          <w:rFonts w:hint="eastAsia" w:ascii="宋体"/>
          <w:b/>
          <w:color w:val="auto"/>
          <w:sz w:val="32"/>
          <w:szCs w:val="32"/>
          <w:highlight w:val="none"/>
        </w:rPr>
        <w:t xml:space="preserve">第一章  </w:t>
      </w:r>
      <w:bookmarkEnd w:id="1"/>
      <w:r>
        <w:rPr>
          <w:rFonts w:hint="eastAsia" w:ascii="宋体"/>
          <w:b/>
          <w:color w:val="auto"/>
          <w:sz w:val="32"/>
          <w:szCs w:val="32"/>
          <w:highlight w:val="none"/>
          <w:lang w:val="en-US" w:eastAsia="zh-CN"/>
        </w:rPr>
        <w:t>招标公告</w:t>
      </w:r>
    </w:p>
    <w:p w14:paraId="3545CFDD">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bookmarkStart w:id="2" w:name="_Toc58430313"/>
      <w:r>
        <w:rPr>
          <w:rFonts w:hint="eastAsia" w:ascii="仿宋" w:hAnsi="仿宋" w:eastAsia="仿宋" w:cs="仿宋"/>
          <w:color w:val="auto"/>
          <w:sz w:val="28"/>
          <w:szCs w:val="28"/>
          <w:highlight w:val="none"/>
        </w:rPr>
        <w:t>项目概况</w:t>
      </w:r>
    </w:p>
    <w:p w14:paraId="2CDD1457">
      <w:pPr>
        <w:keepNext/>
        <w:keepLines/>
        <w:pageBreakBefore w:val="0"/>
        <w:widowControl w:val="0"/>
        <w:kinsoku/>
        <w:wordWrap/>
        <w:overflowPunct/>
        <w:topLinePunct w:val="0"/>
        <w:autoSpaceDE/>
        <w:autoSpaceDN/>
        <w:bidi w:val="0"/>
        <w:adjustRightInd/>
        <w:snapToGrid/>
        <w:ind w:firstLine="560" w:firstLineChars="200"/>
        <w:jc w:val="left"/>
        <w:textAlignment w:val="auto"/>
        <w:rPr>
          <w:rFonts w:hint="eastAsia" w:ascii="黑体" w:hAnsi="黑体" w:cs="宋体"/>
          <w:color w:val="auto"/>
          <w:sz w:val="28"/>
          <w:szCs w:val="28"/>
          <w:highlight w:val="none"/>
        </w:rPr>
      </w:pPr>
      <w:r>
        <w:rPr>
          <w:rFonts w:hint="eastAsia" w:ascii="仿宋" w:hAnsi="仿宋" w:eastAsia="仿宋" w:cs="仿宋"/>
          <w:color w:val="auto"/>
          <w:sz w:val="28"/>
          <w:szCs w:val="28"/>
          <w:highlight w:val="none"/>
          <w:u w:val="single"/>
          <w:lang w:val="en-US" w:eastAsia="zh-CN"/>
        </w:rPr>
        <w:t xml:space="preserve">滁州市扬子工业投资集团有限公司参股企业审计服务项目 </w:t>
      </w:r>
      <w:r>
        <w:rPr>
          <w:rFonts w:hint="eastAsia" w:ascii="仿宋" w:hAnsi="仿宋" w:eastAsia="仿宋" w:cs="仿宋"/>
          <w:color w:val="auto"/>
          <w:sz w:val="28"/>
          <w:szCs w:val="28"/>
          <w:highlight w:val="none"/>
          <w:u w:val="none"/>
        </w:rPr>
        <w:t>招标项目</w:t>
      </w:r>
      <w:r>
        <w:rPr>
          <w:rFonts w:hint="eastAsia" w:ascii="仿宋" w:hAnsi="仿宋" w:eastAsia="仿宋" w:cs="仿宋"/>
          <w:color w:val="auto"/>
          <w:sz w:val="28"/>
          <w:szCs w:val="28"/>
          <w:highlight w:val="none"/>
        </w:rPr>
        <w:t>的潜在投标人应在</w:t>
      </w:r>
      <w:r>
        <w:rPr>
          <w:rFonts w:hint="eastAsia" w:ascii="仿宋" w:hAnsi="仿宋" w:eastAsia="仿宋" w:cs="仿宋"/>
          <w:color w:val="auto"/>
          <w:sz w:val="28"/>
          <w:szCs w:val="28"/>
          <w:highlight w:val="none"/>
          <w:u w:val="single"/>
          <w:lang w:val="en-US" w:eastAsia="zh-CN"/>
        </w:rPr>
        <w:t>滁州市扬子工业投资集团有限公司官网（https://czyzgtjt.com/）、滁州市城投工程咨询管理有限公司官网（https://www.czctgczx.com/）</w:t>
      </w:r>
      <w:r>
        <w:rPr>
          <w:rFonts w:hint="eastAsia" w:ascii="仿宋" w:hAnsi="仿宋" w:eastAsia="仿宋" w:cs="仿宋"/>
          <w:color w:val="auto"/>
          <w:sz w:val="28"/>
          <w:szCs w:val="28"/>
          <w:highlight w:val="none"/>
        </w:rPr>
        <w:t>获取招标文件，并于</w:t>
      </w:r>
      <w:r>
        <w:rPr>
          <w:rFonts w:hint="eastAsia" w:ascii="仿宋" w:hAnsi="仿宋" w:eastAsia="仿宋" w:cs="仿宋"/>
          <w:color w:val="auto"/>
          <w:sz w:val="28"/>
          <w:szCs w:val="28"/>
          <w:highlight w:val="none"/>
          <w:u w:val="single"/>
        </w:rPr>
        <w:t>202</w:t>
      </w:r>
      <w:r>
        <w:rPr>
          <w:rFonts w:hint="eastAsia" w:ascii="仿宋" w:hAnsi="仿宋" w:eastAsia="仿宋" w:cs="仿宋"/>
          <w:color w:val="auto"/>
          <w:sz w:val="28"/>
          <w:szCs w:val="28"/>
          <w:highlight w:val="none"/>
          <w:u w:val="single"/>
          <w:lang w:val="en-US" w:eastAsia="zh-CN"/>
        </w:rPr>
        <w:t>5</w:t>
      </w:r>
      <w:r>
        <w:rPr>
          <w:rFonts w:hint="eastAsia" w:ascii="仿宋" w:hAnsi="仿宋" w:eastAsia="仿宋" w:cs="仿宋"/>
          <w:color w:val="auto"/>
          <w:sz w:val="28"/>
          <w:szCs w:val="28"/>
          <w:highlight w:val="none"/>
          <w:u w:val="single"/>
        </w:rPr>
        <w:t>年</w:t>
      </w:r>
      <w:r>
        <w:rPr>
          <w:rFonts w:hint="eastAsia" w:ascii="仿宋" w:hAnsi="仿宋" w:eastAsia="仿宋" w:cs="仿宋"/>
          <w:color w:val="auto"/>
          <w:sz w:val="28"/>
          <w:szCs w:val="28"/>
          <w:highlight w:val="none"/>
          <w:u w:val="single"/>
          <w:lang w:val="en-US" w:eastAsia="zh-CN"/>
        </w:rPr>
        <w:t>6</w:t>
      </w:r>
      <w:r>
        <w:rPr>
          <w:rFonts w:hint="eastAsia" w:ascii="仿宋" w:hAnsi="仿宋" w:eastAsia="仿宋" w:cs="仿宋"/>
          <w:color w:val="auto"/>
          <w:sz w:val="28"/>
          <w:szCs w:val="28"/>
          <w:highlight w:val="none"/>
          <w:u w:val="single"/>
        </w:rPr>
        <w:t>月</w:t>
      </w:r>
      <w:r>
        <w:rPr>
          <w:rFonts w:hint="eastAsia" w:ascii="仿宋" w:hAnsi="仿宋" w:eastAsia="仿宋" w:cs="仿宋"/>
          <w:color w:val="auto"/>
          <w:sz w:val="28"/>
          <w:szCs w:val="28"/>
          <w:highlight w:val="none"/>
          <w:u w:val="single"/>
          <w:lang w:val="en-US" w:eastAsia="zh-CN"/>
        </w:rPr>
        <w:t>9</w:t>
      </w:r>
      <w:r>
        <w:rPr>
          <w:rFonts w:hint="eastAsia" w:ascii="仿宋" w:hAnsi="仿宋" w:eastAsia="仿宋" w:cs="仿宋"/>
          <w:color w:val="auto"/>
          <w:sz w:val="28"/>
          <w:szCs w:val="28"/>
          <w:highlight w:val="none"/>
          <w:u w:val="single"/>
        </w:rPr>
        <w:t>日</w:t>
      </w:r>
      <w:r>
        <w:rPr>
          <w:rFonts w:hint="eastAsia" w:ascii="仿宋" w:hAnsi="仿宋" w:eastAsia="仿宋" w:cs="仿宋"/>
          <w:color w:val="auto"/>
          <w:sz w:val="28"/>
          <w:szCs w:val="28"/>
          <w:highlight w:val="none"/>
          <w:u w:val="single"/>
          <w:lang w:val="en-US" w:eastAsia="zh-CN"/>
        </w:rPr>
        <w:t>9</w:t>
      </w:r>
      <w:r>
        <w:rPr>
          <w:rFonts w:hint="eastAsia" w:ascii="仿宋" w:hAnsi="仿宋" w:eastAsia="仿宋" w:cs="仿宋"/>
          <w:color w:val="auto"/>
          <w:sz w:val="28"/>
          <w:szCs w:val="28"/>
          <w:highlight w:val="none"/>
          <w:u w:val="single"/>
        </w:rPr>
        <w:t>点00分</w:t>
      </w:r>
      <w:r>
        <w:rPr>
          <w:rFonts w:hint="eastAsia" w:ascii="仿宋" w:hAnsi="仿宋" w:eastAsia="仿宋" w:cs="仿宋"/>
          <w:color w:val="auto"/>
          <w:sz w:val="28"/>
          <w:szCs w:val="28"/>
          <w:highlight w:val="none"/>
        </w:rPr>
        <w:t>（北京时间）前递交投标文件。</w:t>
      </w:r>
    </w:p>
    <w:p w14:paraId="585B2F53">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一、项目基本情况</w:t>
      </w:r>
    </w:p>
    <w:p w14:paraId="54BA8521">
      <w:pPr>
        <w:ind w:firstLine="560" w:firstLineChars="200"/>
        <w:rPr>
          <w:rFonts w:hint="eastAsia" w:ascii="仿宋" w:hAnsi="仿宋" w:eastAsia="仿宋" w:cs="仿宋"/>
          <w:color w:val="auto"/>
          <w:sz w:val="28"/>
          <w:szCs w:val="28"/>
          <w:highlight w:val="none"/>
          <w:shd w:val="clear" w:color="auto" w:fill="auto"/>
          <w:lang w:val="en-US" w:eastAsia="zh-CN"/>
        </w:rPr>
      </w:pPr>
      <w:r>
        <w:rPr>
          <w:rFonts w:hint="eastAsia" w:ascii="仿宋" w:hAnsi="仿宋" w:eastAsia="仿宋" w:cs="仿宋"/>
          <w:color w:val="auto"/>
          <w:sz w:val="28"/>
          <w:szCs w:val="28"/>
          <w:highlight w:val="none"/>
          <w:shd w:val="clear" w:color="auto" w:fill="auto"/>
        </w:rPr>
        <w:t>项目名称：</w:t>
      </w:r>
      <w:r>
        <w:rPr>
          <w:rFonts w:hint="eastAsia" w:ascii="仿宋" w:hAnsi="仿宋" w:eastAsia="仿宋" w:cs="仿宋"/>
          <w:color w:val="auto"/>
          <w:sz w:val="28"/>
          <w:szCs w:val="28"/>
          <w:highlight w:val="none"/>
          <w:shd w:val="clear" w:color="auto" w:fill="auto"/>
          <w:lang w:val="en-US" w:eastAsia="zh-CN"/>
        </w:rPr>
        <w:t>滁州市扬子工业投资集团有限公司参股企业审计服务项目</w:t>
      </w:r>
    </w:p>
    <w:p w14:paraId="2D06523C">
      <w:pPr>
        <w:ind w:firstLine="560" w:firstLineChars="200"/>
        <w:rPr>
          <w:rFonts w:hint="default" w:ascii="仿宋" w:hAnsi="仿宋" w:eastAsia="仿宋" w:cs="仿宋"/>
          <w:color w:val="auto"/>
          <w:sz w:val="28"/>
          <w:szCs w:val="28"/>
          <w:highlight w:val="none"/>
          <w:shd w:val="clear" w:color="auto" w:fill="auto"/>
          <w:lang w:val="en-US" w:eastAsia="zh-CN"/>
        </w:rPr>
      </w:pPr>
      <w:r>
        <w:rPr>
          <w:rFonts w:hint="eastAsia" w:ascii="仿宋" w:hAnsi="仿宋" w:eastAsia="仿宋" w:cs="仿宋"/>
          <w:color w:val="auto"/>
          <w:sz w:val="28"/>
          <w:szCs w:val="28"/>
          <w:highlight w:val="none"/>
          <w:shd w:val="clear" w:color="auto" w:fill="auto"/>
        </w:rPr>
        <w:t>预算金额：</w:t>
      </w:r>
      <w:r>
        <w:rPr>
          <w:rFonts w:hint="eastAsia" w:ascii="仿宋" w:hAnsi="仿宋" w:eastAsia="仿宋" w:cs="仿宋"/>
          <w:color w:val="auto"/>
          <w:sz w:val="28"/>
          <w:szCs w:val="28"/>
          <w:highlight w:val="none"/>
          <w:shd w:val="clear" w:color="auto" w:fill="auto"/>
          <w:lang w:val="en-US" w:eastAsia="zh-CN"/>
        </w:rPr>
        <w:t>15万元</w:t>
      </w:r>
    </w:p>
    <w:p w14:paraId="52DCA986">
      <w:pPr>
        <w:ind w:firstLine="560" w:firstLineChars="200"/>
        <w:rPr>
          <w:rFonts w:hint="eastAsia" w:ascii="仿宋" w:hAnsi="仿宋" w:eastAsia="仿宋" w:cs="仿宋"/>
          <w:color w:val="auto"/>
          <w:sz w:val="28"/>
          <w:szCs w:val="28"/>
          <w:highlight w:val="none"/>
          <w:shd w:val="clear" w:color="auto" w:fill="auto"/>
          <w:lang w:val="en-US" w:eastAsia="zh-CN"/>
        </w:rPr>
      </w:pPr>
      <w:r>
        <w:rPr>
          <w:rFonts w:hint="eastAsia" w:ascii="仿宋" w:hAnsi="仿宋" w:eastAsia="仿宋" w:cs="仿宋"/>
          <w:color w:val="auto"/>
          <w:sz w:val="28"/>
          <w:szCs w:val="28"/>
          <w:highlight w:val="none"/>
          <w:shd w:val="clear" w:color="auto" w:fill="auto"/>
        </w:rPr>
        <w:t>最高限价：</w:t>
      </w:r>
      <w:r>
        <w:rPr>
          <w:rFonts w:hint="eastAsia" w:ascii="仿宋" w:hAnsi="仿宋" w:eastAsia="仿宋" w:cs="仿宋"/>
          <w:color w:val="auto"/>
          <w:sz w:val="28"/>
          <w:szCs w:val="28"/>
          <w:highlight w:val="none"/>
          <w:shd w:val="clear" w:color="auto" w:fill="auto"/>
          <w:lang w:val="en-US" w:eastAsia="zh-CN"/>
        </w:rPr>
        <w:t xml:space="preserve">15万元 </w:t>
      </w:r>
    </w:p>
    <w:p w14:paraId="0D44EA05">
      <w:pPr>
        <w:spacing w:before="0" w:beforeLines="0" w:line="240" w:lineRule="auto"/>
        <w:ind w:firstLine="560" w:firstLineChars="200"/>
        <w:rPr>
          <w:rFonts w:hint="default" w:ascii="仿宋" w:hAnsi="仿宋" w:eastAsia="仿宋" w:cs="仿宋"/>
          <w:color w:val="auto"/>
          <w:sz w:val="28"/>
          <w:szCs w:val="28"/>
          <w:highlight w:val="none"/>
          <w:shd w:val="clear" w:color="auto" w:fill="auto"/>
          <w:lang w:val="en-US" w:eastAsia="zh-CN"/>
        </w:rPr>
      </w:pPr>
      <w:r>
        <w:rPr>
          <w:rFonts w:hint="eastAsia" w:ascii="仿宋" w:hAnsi="仿宋" w:eastAsia="仿宋" w:cs="仿宋"/>
          <w:color w:val="auto"/>
          <w:sz w:val="28"/>
          <w:szCs w:val="28"/>
          <w:highlight w:val="none"/>
          <w:shd w:val="clear" w:color="auto" w:fill="auto"/>
        </w:rPr>
        <w:t>采购需求：</w:t>
      </w:r>
      <w:r>
        <w:rPr>
          <w:rFonts w:hint="eastAsia" w:ascii="仿宋" w:hAnsi="仿宋" w:eastAsia="仿宋" w:cs="仿宋"/>
          <w:color w:val="auto"/>
          <w:sz w:val="28"/>
          <w:szCs w:val="28"/>
          <w:highlight w:val="none"/>
          <w:shd w:val="clear" w:color="auto" w:fill="auto"/>
          <w:lang w:val="en-US" w:eastAsia="zh-CN"/>
        </w:rPr>
        <w:t>对滁州市扬子工业投资集团有限公司参股企业开展审计服务，审计期间为2024年、2025年、2026年，并分别出具审计报告</w:t>
      </w:r>
      <w:r>
        <w:rPr>
          <w:rFonts w:hint="eastAsia" w:ascii="仿宋" w:hAnsi="仿宋" w:eastAsia="仿宋" w:cs="仿宋"/>
          <w:color w:val="auto"/>
          <w:sz w:val="28"/>
          <w:szCs w:val="28"/>
          <w:highlight w:val="none"/>
          <w:shd w:val="clear" w:color="auto" w:fill="auto"/>
          <w:lang w:eastAsia="zh-CN"/>
        </w:rPr>
        <w:t>。</w:t>
      </w:r>
    </w:p>
    <w:p w14:paraId="26C11FD0">
      <w:pPr>
        <w:ind w:firstLine="560" w:firstLineChars="200"/>
        <w:rPr>
          <w:rFonts w:hint="eastAsia" w:ascii="仿宋" w:hAnsi="仿宋" w:eastAsia="仿宋" w:cs="仿宋"/>
          <w:color w:val="auto"/>
          <w:sz w:val="28"/>
          <w:szCs w:val="28"/>
          <w:highlight w:val="none"/>
          <w:shd w:val="clear" w:color="auto" w:fill="auto"/>
          <w:lang w:val="en-US" w:eastAsia="zh-CN"/>
        </w:rPr>
      </w:pPr>
      <w:r>
        <w:rPr>
          <w:rFonts w:hint="eastAsia" w:ascii="仿宋" w:hAnsi="仿宋" w:eastAsia="仿宋" w:cs="仿宋"/>
          <w:color w:val="auto"/>
          <w:sz w:val="28"/>
          <w:szCs w:val="28"/>
          <w:highlight w:val="none"/>
          <w:shd w:val="clear" w:color="auto" w:fill="auto"/>
        </w:rPr>
        <w:t>合同履行期限：</w:t>
      </w:r>
      <w:r>
        <w:rPr>
          <w:rFonts w:hint="eastAsia" w:ascii="仿宋" w:hAnsi="仿宋" w:eastAsia="仿宋" w:cs="仿宋"/>
          <w:color w:val="auto"/>
          <w:sz w:val="28"/>
          <w:szCs w:val="28"/>
          <w:highlight w:val="none"/>
          <w:shd w:val="clear" w:color="auto" w:fill="auto"/>
          <w:lang w:val="en-US" w:eastAsia="zh-CN"/>
        </w:rPr>
        <w:t>三年</w:t>
      </w:r>
    </w:p>
    <w:p w14:paraId="1F109278">
      <w:pPr>
        <w:ind w:firstLine="560" w:firstLineChars="200"/>
        <w:rPr>
          <w:rFonts w:hint="eastAsia" w:ascii="仿宋" w:hAnsi="仿宋" w:eastAsia="仿宋" w:cs="仿宋"/>
          <w:color w:val="auto"/>
          <w:sz w:val="28"/>
          <w:szCs w:val="28"/>
          <w:highlight w:val="none"/>
          <w:shd w:val="clear" w:color="auto" w:fill="auto"/>
        </w:rPr>
      </w:pPr>
      <w:r>
        <w:rPr>
          <w:rFonts w:hint="eastAsia" w:ascii="仿宋" w:hAnsi="仿宋" w:eastAsia="仿宋" w:cs="仿宋"/>
          <w:color w:val="auto"/>
          <w:sz w:val="28"/>
          <w:szCs w:val="28"/>
          <w:highlight w:val="none"/>
          <w:shd w:val="clear" w:color="auto" w:fill="auto"/>
        </w:rPr>
        <w:t>本项目</w:t>
      </w:r>
      <w:r>
        <w:rPr>
          <w:rFonts w:hint="eastAsia" w:ascii="仿宋" w:hAnsi="仿宋" w:eastAsia="仿宋" w:cs="仿宋"/>
          <w:color w:val="auto"/>
          <w:sz w:val="28"/>
          <w:szCs w:val="28"/>
          <w:highlight w:val="none"/>
          <w:shd w:val="clear" w:color="auto" w:fill="auto"/>
          <w:lang w:val="en-US" w:eastAsia="zh-CN"/>
        </w:rPr>
        <w:t>不</w:t>
      </w:r>
      <w:r>
        <w:rPr>
          <w:rFonts w:hint="eastAsia" w:ascii="仿宋" w:hAnsi="仿宋" w:eastAsia="仿宋" w:cs="仿宋"/>
          <w:color w:val="auto"/>
          <w:sz w:val="28"/>
          <w:szCs w:val="28"/>
          <w:highlight w:val="none"/>
          <w:shd w:val="clear" w:color="auto" w:fill="auto"/>
        </w:rPr>
        <w:t>接受联合体投标</w:t>
      </w:r>
      <w:r>
        <w:rPr>
          <w:rFonts w:hint="eastAsia" w:ascii="仿宋" w:hAnsi="仿宋" w:eastAsia="仿宋" w:cs="仿宋"/>
          <w:color w:val="auto"/>
          <w:sz w:val="28"/>
          <w:szCs w:val="28"/>
          <w:highlight w:val="none"/>
          <w:shd w:val="clear" w:color="auto" w:fill="auto"/>
          <w:lang w:eastAsia="zh-CN"/>
        </w:rPr>
        <w:t>。</w:t>
      </w:r>
    </w:p>
    <w:p w14:paraId="17E7DFC9">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3" w:name="_Toc35393791"/>
      <w:bookmarkStart w:id="4" w:name="_Toc28359080"/>
      <w:bookmarkStart w:id="5" w:name="_Toc28359003"/>
      <w:bookmarkStart w:id="6" w:name="_Toc35393622"/>
      <w:r>
        <w:rPr>
          <w:rFonts w:hint="eastAsia" w:ascii="黑体" w:hAnsi="黑体" w:eastAsia="黑体" w:cs="黑体"/>
          <w:color w:val="auto"/>
          <w:sz w:val="28"/>
          <w:szCs w:val="28"/>
          <w:highlight w:val="none"/>
        </w:rPr>
        <w:t>二、申请人的资格要求</w:t>
      </w:r>
      <w:bookmarkEnd w:id="3"/>
      <w:bookmarkEnd w:id="4"/>
      <w:bookmarkEnd w:id="5"/>
      <w:bookmarkEnd w:id="6"/>
    </w:p>
    <w:p w14:paraId="7F0F0817">
      <w:pPr>
        <w:ind w:firstLine="560" w:firstLineChars="200"/>
        <w:rPr>
          <w:rFonts w:hint="eastAsia" w:ascii="仿宋" w:hAnsi="仿宋" w:eastAsia="仿宋"/>
          <w:color w:val="auto"/>
          <w:sz w:val="28"/>
          <w:szCs w:val="28"/>
          <w:highlight w:val="none"/>
          <w:lang w:eastAsia="zh-CN"/>
        </w:rPr>
      </w:pPr>
      <w:bookmarkStart w:id="7" w:name="_Toc28359004"/>
      <w:bookmarkStart w:id="8" w:name="_Toc28359081"/>
      <w:bookmarkStart w:id="9" w:name="_Toc35393623"/>
      <w:bookmarkStart w:id="10" w:name="_Toc35393792"/>
      <w:r>
        <w:rPr>
          <w:rFonts w:hint="eastAsia" w:ascii="仿宋" w:hAnsi="仿宋" w:eastAsia="仿宋"/>
          <w:color w:val="auto"/>
          <w:sz w:val="28"/>
          <w:szCs w:val="28"/>
          <w:highlight w:val="none"/>
        </w:rPr>
        <w:t>1.</w:t>
      </w:r>
      <w:r>
        <w:rPr>
          <w:rFonts w:hint="eastAsia" w:ascii="仿宋" w:hAnsi="仿宋" w:eastAsia="仿宋"/>
          <w:color w:val="auto"/>
          <w:sz w:val="28"/>
          <w:szCs w:val="28"/>
          <w:highlight w:val="none"/>
          <w:lang w:val="en-US" w:eastAsia="zh-CN"/>
        </w:rPr>
        <w:t>投</w:t>
      </w:r>
      <w:r>
        <w:rPr>
          <w:rFonts w:hint="eastAsia" w:ascii="仿宋" w:hAnsi="仿宋" w:eastAsia="仿宋"/>
          <w:color w:val="auto"/>
          <w:sz w:val="28"/>
          <w:szCs w:val="28"/>
          <w:highlight w:val="none"/>
        </w:rPr>
        <w:t>标人须具有财政部门颁发的会计师事务所执业证书</w:t>
      </w:r>
      <w:r>
        <w:rPr>
          <w:rFonts w:hint="eastAsia" w:ascii="仿宋" w:hAnsi="仿宋" w:eastAsia="仿宋"/>
          <w:color w:val="auto"/>
          <w:sz w:val="28"/>
          <w:szCs w:val="28"/>
          <w:highlight w:val="none"/>
          <w:lang w:eastAsia="zh-CN"/>
        </w:rPr>
        <w:t>；</w:t>
      </w:r>
    </w:p>
    <w:p w14:paraId="158E14EE">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2.项目负责人须具有注册在投标单位的全国注册会计师资格证书（取得该证书年限达5年及以上，时间以全国注册会计师证书时间为准）；</w:t>
      </w:r>
    </w:p>
    <w:p w14:paraId="09B06DB2">
      <w:pPr>
        <w:ind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3.项目组成员不少于二人（不含项目负责人），项目组成员须具有中级会计师或以上资质；</w:t>
      </w:r>
    </w:p>
    <w:p w14:paraId="56CB8649">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三、获取招标文件</w:t>
      </w:r>
      <w:bookmarkEnd w:id="7"/>
      <w:bookmarkEnd w:id="8"/>
      <w:bookmarkEnd w:id="9"/>
      <w:bookmarkEnd w:id="10"/>
    </w:p>
    <w:p w14:paraId="240C4FB5">
      <w:pPr>
        <w:ind w:firstLine="540"/>
        <w:rPr>
          <w:rFonts w:hint="default" w:ascii="仿宋" w:hAnsi="仿宋" w:eastAsia="仿宋" w:cs="宋体"/>
          <w:color w:val="auto"/>
          <w:sz w:val="28"/>
          <w:szCs w:val="28"/>
          <w:highlight w:val="none"/>
          <w:u w:val="single"/>
          <w:lang w:val="en-US"/>
        </w:rPr>
      </w:pPr>
      <w:r>
        <w:rPr>
          <w:rFonts w:hint="eastAsia" w:ascii="仿宋" w:hAnsi="仿宋" w:eastAsia="仿宋" w:cs="宋体"/>
          <w:color w:val="auto"/>
          <w:sz w:val="28"/>
          <w:szCs w:val="28"/>
          <w:highlight w:val="none"/>
        </w:rPr>
        <w:t>时间：</w:t>
      </w:r>
      <w:r>
        <w:rPr>
          <w:rFonts w:ascii="仿宋" w:hAnsi="仿宋" w:eastAsia="仿宋" w:cs="宋体"/>
          <w:color w:val="auto"/>
          <w:sz w:val="28"/>
          <w:szCs w:val="28"/>
          <w:highlight w:val="none"/>
          <w:u w:val="single"/>
        </w:rPr>
        <w:t xml:space="preserve"> </w:t>
      </w:r>
      <w:r>
        <w:rPr>
          <w:rFonts w:hint="eastAsia" w:ascii="仿宋" w:hAnsi="仿宋" w:eastAsia="仿宋" w:cs="宋体"/>
          <w:color w:val="auto"/>
          <w:sz w:val="28"/>
          <w:szCs w:val="28"/>
          <w:highlight w:val="none"/>
          <w:u w:val="single"/>
        </w:rPr>
        <w:t>202</w:t>
      </w:r>
      <w:r>
        <w:rPr>
          <w:rFonts w:hint="eastAsia" w:ascii="仿宋" w:hAnsi="仿宋" w:eastAsia="仿宋" w:cs="宋体"/>
          <w:color w:val="auto"/>
          <w:sz w:val="28"/>
          <w:szCs w:val="28"/>
          <w:highlight w:val="none"/>
          <w:u w:val="single"/>
          <w:lang w:val="en-US" w:eastAsia="zh-CN"/>
        </w:rPr>
        <w:t>5</w:t>
      </w:r>
      <w:r>
        <w:rPr>
          <w:rFonts w:hint="eastAsia" w:ascii="仿宋" w:hAnsi="仿宋" w:eastAsia="仿宋" w:cs="宋体"/>
          <w:color w:val="auto"/>
          <w:sz w:val="28"/>
          <w:szCs w:val="28"/>
          <w:highlight w:val="none"/>
          <w:u w:val="single"/>
        </w:rPr>
        <w:t>年</w:t>
      </w:r>
      <w:r>
        <w:rPr>
          <w:rFonts w:hint="eastAsia" w:ascii="仿宋" w:hAnsi="仿宋" w:eastAsia="仿宋" w:cs="宋体"/>
          <w:color w:val="auto"/>
          <w:sz w:val="28"/>
          <w:szCs w:val="28"/>
          <w:highlight w:val="none"/>
          <w:u w:val="single"/>
          <w:lang w:val="en-US" w:eastAsia="zh-CN"/>
        </w:rPr>
        <w:t>5</w:t>
      </w:r>
      <w:r>
        <w:rPr>
          <w:rFonts w:hint="eastAsia" w:ascii="仿宋" w:hAnsi="仿宋" w:eastAsia="仿宋" w:cs="宋体"/>
          <w:color w:val="auto"/>
          <w:sz w:val="28"/>
          <w:szCs w:val="28"/>
          <w:highlight w:val="none"/>
          <w:u w:val="single"/>
        </w:rPr>
        <w:t>月</w:t>
      </w:r>
      <w:r>
        <w:rPr>
          <w:rFonts w:hint="eastAsia" w:ascii="仿宋" w:hAnsi="仿宋" w:eastAsia="仿宋" w:cs="宋体"/>
          <w:color w:val="auto"/>
          <w:sz w:val="28"/>
          <w:szCs w:val="28"/>
          <w:highlight w:val="none"/>
          <w:u w:val="single"/>
          <w:lang w:val="en-US" w:eastAsia="zh-CN"/>
        </w:rPr>
        <w:t>30</w:t>
      </w:r>
      <w:r>
        <w:rPr>
          <w:rFonts w:hint="eastAsia" w:ascii="仿宋" w:hAnsi="仿宋" w:eastAsia="仿宋" w:cs="宋体"/>
          <w:color w:val="auto"/>
          <w:sz w:val="28"/>
          <w:szCs w:val="28"/>
          <w:highlight w:val="none"/>
          <w:u w:val="single"/>
        </w:rPr>
        <w:t>日</w:t>
      </w:r>
      <w:r>
        <w:rPr>
          <w:rFonts w:hint="eastAsia" w:ascii="仿宋" w:hAnsi="仿宋" w:eastAsia="仿宋" w:cs="宋体"/>
          <w:color w:val="auto"/>
          <w:sz w:val="28"/>
          <w:szCs w:val="28"/>
          <w:highlight w:val="none"/>
        </w:rPr>
        <w:t>至</w:t>
      </w:r>
      <w:r>
        <w:rPr>
          <w:rFonts w:hint="eastAsia" w:ascii="仿宋" w:hAnsi="仿宋" w:eastAsia="仿宋" w:cs="宋体"/>
          <w:color w:val="auto"/>
          <w:sz w:val="28"/>
          <w:szCs w:val="28"/>
          <w:highlight w:val="none"/>
          <w:u w:val="single"/>
        </w:rPr>
        <w:t xml:space="preserve"> 202</w:t>
      </w:r>
      <w:r>
        <w:rPr>
          <w:rFonts w:hint="eastAsia" w:ascii="仿宋" w:hAnsi="仿宋" w:eastAsia="仿宋" w:cs="宋体"/>
          <w:color w:val="auto"/>
          <w:sz w:val="28"/>
          <w:szCs w:val="28"/>
          <w:highlight w:val="none"/>
          <w:u w:val="single"/>
          <w:lang w:val="en-US" w:eastAsia="zh-CN"/>
        </w:rPr>
        <w:t>5</w:t>
      </w:r>
      <w:r>
        <w:rPr>
          <w:rFonts w:hint="eastAsia" w:ascii="仿宋" w:hAnsi="仿宋" w:eastAsia="仿宋" w:cs="宋体"/>
          <w:color w:val="auto"/>
          <w:sz w:val="28"/>
          <w:szCs w:val="28"/>
          <w:highlight w:val="none"/>
          <w:u w:val="single"/>
        </w:rPr>
        <w:t>年</w:t>
      </w:r>
      <w:r>
        <w:rPr>
          <w:rFonts w:hint="eastAsia" w:ascii="仿宋" w:hAnsi="仿宋" w:eastAsia="仿宋" w:cs="宋体"/>
          <w:color w:val="auto"/>
          <w:sz w:val="28"/>
          <w:szCs w:val="28"/>
          <w:highlight w:val="none"/>
          <w:u w:val="single"/>
          <w:lang w:val="en-US" w:eastAsia="zh-CN"/>
        </w:rPr>
        <w:t>6</w:t>
      </w:r>
      <w:r>
        <w:rPr>
          <w:rFonts w:hint="eastAsia" w:ascii="仿宋" w:hAnsi="仿宋" w:eastAsia="仿宋" w:cs="宋体"/>
          <w:color w:val="auto"/>
          <w:sz w:val="28"/>
          <w:szCs w:val="28"/>
          <w:highlight w:val="none"/>
          <w:u w:val="single"/>
        </w:rPr>
        <w:t>月</w:t>
      </w:r>
      <w:r>
        <w:rPr>
          <w:rFonts w:hint="eastAsia" w:ascii="仿宋" w:hAnsi="仿宋" w:eastAsia="仿宋" w:cs="宋体"/>
          <w:color w:val="auto"/>
          <w:sz w:val="28"/>
          <w:szCs w:val="28"/>
          <w:highlight w:val="none"/>
          <w:u w:val="single"/>
          <w:lang w:val="en-US" w:eastAsia="zh-CN"/>
        </w:rPr>
        <w:t>9</w:t>
      </w:r>
      <w:r>
        <w:rPr>
          <w:rFonts w:hint="eastAsia" w:ascii="仿宋" w:hAnsi="仿宋" w:eastAsia="仿宋" w:cs="宋体"/>
          <w:color w:val="auto"/>
          <w:sz w:val="28"/>
          <w:szCs w:val="28"/>
          <w:highlight w:val="none"/>
          <w:u w:val="single"/>
        </w:rPr>
        <w:t>日</w:t>
      </w:r>
    </w:p>
    <w:p w14:paraId="49CE042D">
      <w:pPr>
        <w:ind w:firstLine="540"/>
        <w:rPr>
          <w:rFonts w:hint="eastAsia" w:ascii="仿宋" w:hAnsi="仿宋" w:eastAsia="仿宋" w:cs="宋体"/>
          <w:color w:val="auto"/>
          <w:sz w:val="28"/>
          <w:szCs w:val="28"/>
          <w:highlight w:val="none"/>
          <w:u w:val="single"/>
          <w:lang w:val="en-US" w:eastAsia="zh-CN"/>
        </w:rPr>
      </w:pPr>
      <w:r>
        <w:rPr>
          <w:rFonts w:hint="eastAsia" w:ascii="仿宋" w:hAnsi="仿宋" w:eastAsia="仿宋" w:cs="宋体"/>
          <w:color w:val="auto"/>
          <w:sz w:val="28"/>
          <w:szCs w:val="28"/>
          <w:highlight w:val="none"/>
        </w:rPr>
        <w:t>方式：网上下载</w:t>
      </w:r>
    </w:p>
    <w:p w14:paraId="73BC1C06">
      <w:pPr>
        <w:ind w:firstLine="540"/>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售价：0元</w:t>
      </w:r>
    </w:p>
    <w:p w14:paraId="58C7EECB">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11" w:name="_Toc28359005"/>
      <w:bookmarkStart w:id="12" w:name="_Toc28359082"/>
      <w:bookmarkStart w:id="13" w:name="_Toc35393624"/>
      <w:bookmarkStart w:id="14" w:name="_Toc35393793"/>
      <w:r>
        <w:rPr>
          <w:rFonts w:hint="eastAsia" w:ascii="黑体" w:hAnsi="黑体" w:eastAsia="黑体" w:cs="黑体"/>
          <w:color w:val="auto"/>
          <w:sz w:val="28"/>
          <w:szCs w:val="28"/>
          <w:highlight w:val="none"/>
        </w:rPr>
        <w:t>四、提交投标文件</w:t>
      </w:r>
      <w:bookmarkEnd w:id="11"/>
      <w:bookmarkEnd w:id="12"/>
      <w:r>
        <w:rPr>
          <w:rFonts w:hint="eastAsia" w:ascii="黑体" w:hAnsi="黑体" w:eastAsia="黑体" w:cs="黑体"/>
          <w:color w:val="auto"/>
          <w:sz w:val="28"/>
          <w:szCs w:val="28"/>
          <w:highlight w:val="none"/>
        </w:rPr>
        <w:t>截止时间、开标时间和地点</w:t>
      </w:r>
      <w:bookmarkEnd w:id="13"/>
      <w:bookmarkEnd w:id="14"/>
    </w:p>
    <w:p w14:paraId="76284AC0">
      <w:pPr>
        <w:ind w:firstLine="560" w:firstLineChars="200"/>
        <w:rPr>
          <w:rFonts w:hint="eastAsia" w:ascii="仿宋" w:hAnsi="仿宋" w:eastAsia="仿宋"/>
          <w:bCs/>
          <w:iCs/>
          <w:color w:val="auto"/>
          <w:sz w:val="28"/>
          <w:szCs w:val="28"/>
          <w:highlight w:val="none"/>
          <w:lang w:eastAsia="zh-CN"/>
        </w:rPr>
      </w:pPr>
      <w:r>
        <w:rPr>
          <w:rFonts w:hint="eastAsia" w:ascii="仿宋" w:hAnsi="仿宋" w:eastAsia="仿宋"/>
          <w:bCs/>
          <w:color w:val="auto"/>
          <w:sz w:val="28"/>
          <w:szCs w:val="28"/>
          <w:highlight w:val="none"/>
          <w:u w:val="none"/>
          <w:lang w:val="en-US" w:eastAsia="zh-CN"/>
        </w:rPr>
        <w:t>截止时间及开标时间：</w:t>
      </w:r>
      <w:r>
        <w:rPr>
          <w:rFonts w:hint="eastAsia" w:ascii="仿宋" w:hAnsi="仿宋" w:eastAsia="仿宋"/>
          <w:bCs/>
          <w:color w:val="auto"/>
          <w:sz w:val="28"/>
          <w:szCs w:val="28"/>
          <w:highlight w:val="none"/>
          <w:u w:val="single"/>
        </w:rPr>
        <w:t>202</w:t>
      </w:r>
      <w:r>
        <w:rPr>
          <w:rFonts w:hint="eastAsia" w:ascii="仿宋" w:hAnsi="仿宋" w:eastAsia="仿宋"/>
          <w:bCs/>
          <w:color w:val="auto"/>
          <w:sz w:val="28"/>
          <w:szCs w:val="28"/>
          <w:highlight w:val="none"/>
          <w:u w:val="single"/>
          <w:lang w:val="en-US" w:eastAsia="zh-CN"/>
        </w:rPr>
        <w:t>5</w:t>
      </w:r>
      <w:r>
        <w:rPr>
          <w:rFonts w:hint="eastAsia" w:ascii="仿宋" w:hAnsi="仿宋" w:eastAsia="仿宋"/>
          <w:bCs/>
          <w:color w:val="auto"/>
          <w:sz w:val="28"/>
          <w:szCs w:val="28"/>
          <w:highlight w:val="none"/>
          <w:u w:val="single"/>
        </w:rPr>
        <w:t>年</w:t>
      </w:r>
      <w:r>
        <w:rPr>
          <w:rFonts w:hint="eastAsia" w:ascii="仿宋" w:hAnsi="仿宋" w:eastAsia="仿宋"/>
          <w:bCs/>
          <w:color w:val="auto"/>
          <w:sz w:val="28"/>
          <w:szCs w:val="28"/>
          <w:highlight w:val="none"/>
          <w:u w:val="single"/>
          <w:lang w:val="en-US" w:eastAsia="zh-CN"/>
        </w:rPr>
        <w:t>6</w:t>
      </w:r>
      <w:r>
        <w:rPr>
          <w:rFonts w:hint="eastAsia" w:ascii="仿宋" w:hAnsi="仿宋" w:eastAsia="仿宋"/>
          <w:bCs/>
          <w:color w:val="auto"/>
          <w:sz w:val="28"/>
          <w:szCs w:val="28"/>
          <w:highlight w:val="none"/>
          <w:u w:val="single"/>
        </w:rPr>
        <w:t>月</w:t>
      </w:r>
      <w:r>
        <w:rPr>
          <w:rFonts w:hint="eastAsia" w:ascii="仿宋" w:hAnsi="仿宋" w:eastAsia="仿宋"/>
          <w:bCs/>
          <w:color w:val="auto"/>
          <w:sz w:val="28"/>
          <w:szCs w:val="28"/>
          <w:highlight w:val="none"/>
          <w:u w:val="single"/>
          <w:lang w:val="en-US" w:eastAsia="zh-CN"/>
        </w:rPr>
        <w:t>9</w:t>
      </w:r>
      <w:r>
        <w:rPr>
          <w:rFonts w:hint="eastAsia" w:ascii="仿宋" w:hAnsi="仿宋" w:eastAsia="仿宋"/>
          <w:bCs/>
          <w:color w:val="auto"/>
          <w:sz w:val="28"/>
          <w:szCs w:val="28"/>
          <w:highlight w:val="none"/>
          <w:u w:val="single"/>
        </w:rPr>
        <w:t>日</w:t>
      </w:r>
      <w:r>
        <w:rPr>
          <w:rFonts w:hint="eastAsia" w:ascii="仿宋" w:hAnsi="仿宋" w:eastAsia="仿宋"/>
          <w:bCs/>
          <w:color w:val="auto"/>
          <w:sz w:val="28"/>
          <w:szCs w:val="28"/>
          <w:highlight w:val="none"/>
          <w:u w:val="single"/>
          <w:lang w:val="en-US" w:eastAsia="zh-CN"/>
        </w:rPr>
        <w:t>9</w:t>
      </w:r>
      <w:r>
        <w:rPr>
          <w:rFonts w:hint="eastAsia" w:ascii="仿宋" w:hAnsi="仿宋" w:eastAsia="仿宋"/>
          <w:bCs/>
          <w:color w:val="auto"/>
          <w:sz w:val="28"/>
          <w:szCs w:val="28"/>
          <w:highlight w:val="none"/>
          <w:u w:val="single"/>
        </w:rPr>
        <w:t>点</w:t>
      </w:r>
      <w:r>
        <w:rPr>
          <w:rFonts w:hint="eastAsia" w:ascii="仿宋" w:hAnsi="仿宋" w:eastAsia="仿宋"/>
          <w:bCs/>
          <w:color w:val="auto"/>
          <w:sz w:val="28"/>
          <w:szCs w:val="28"/>
          <w:highlight w:val="none"/>
          <w:u w:val="single"/>
          <w:lang w:val="en-US" w:eastAsia="zh-CN"/>
        </w:rPr>
        <w:t>00</w:t>
      </w:r>
      <w:r>
        <w:rPr>
          <w:rFonts w:hint="eastAsia" w:ascii="仿宋" w:hAnsi="仿宋" w:eastAsia="仿宋"/>
          <w:bCs/>
          <w:color w:val="auto"/>
          <w:sz w:val="28"/>
          <w:szCs w:val="28"/>
          <w:highlight w:val="none"/>
          <w:u w:val="single"/>
        </w:rPr>
        <w:t>分</w:t>
      </w:r>
      <w:r>
        <w:rPr>
          <w:rFonts w:hint="eastAsia" w:ascii="仿宋" w:hAnsi="仿宋" w:eastAsia="仿宋"/>
          <w:bCs/>
          <w:color w:val="auto"/>
          <w:sz w:val="28"/>
          <w:szCs w:val="28"/>
          <w:highlight w:val="none"/>
        </w:rPr>
        <w:t>（北京时间）</w:t>
      </w:r>
      <w:r>
        <w:rPr>
          <w:rFonts w:hint="eastAsia" w:ascii="仿宋" w:hAnsi="仿宋" w:eastAsia="仿宋"/>
          <w:bCs/>
          <w:color w:val="auto"/>
          <w:sz w:val="28"/>
          <w:szCs w:val="28"/>
          <w:highlight w:val="none"/>
          <w:lang w:eastAsia="zh-CN"/>
        </w:rPr>
        <w:t>；</w:t>
      </w:r>
    </w:p>
    <w:p w14:paraId="25496BF9">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地点：</w:t>
      </w:r>
      <w:r>
        <w:rPr>
          <w:rFonts w:hint="eastAsia" w:ascii="仿宋" w:hAnsi="仿宋" w:eastAsia="仿宋"/>
          <w:color w:val="auto"/>
          <w:sz w:val="28"/>
          <w:szCs w:val="28"/>
          <w:highlight w:val="none"/>
          <w:lang w:val="en-US" w:eastAsia="zh-CN"/>
        </w:rPr>
        <w:t>本项目仅接受加密电子投标文件，投标人在投标截止时间前通过新点电子交易平台后在【滁州专区】（https://www.etrading.cn/BREpointSSO/login/oauth2login?regioncode=DQ_ChuZhou）交易系统递交电子投标文件</w:t>
      </w:r>
    </w:p>
    <w:p w14:paraId="32F1878C">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lang w:val="en-US" w:eastAsia="zh-CN"/>
        </w:rPr>
        <w:t>五</w:t>
      </w:r>
      <w:r>
        <w:rPr>
          <w:rFonts w:hint="eastAsia" w:ascii="黑体" w:hAnsi="黑体" w:eastAsia="黑体" w:cs="黑体"/>
          <w:color w:val="auto"/>
          <w:sz w:val="28"/>
          <w:szCs w:val="28"/>
          <w:highlight w:val="none"/>
        </w:rPr>
        <w:t>、投标保证金金额及缴纳账户</w:t>
      </w:r>
    </w:p>
    <w:p w14:paraId="4D56E9B2">
      <w:pPr>
        <w:pStyle w:val="129"/>
        <w:rPr>
          <w:color w:val="auto"/>
          <w:highlight w:val="none"/>
        </w:rPr>
      </w:pPr>
      <w:bookmarkStart w:id="15" w:name="_Toc35393795"/>
      <w:bookmarkStart w:id="16" w:name="_Toc35393626"/>
      <w:r>
        <w:rPr>
          <w:color w:val="auto"/>
          <w:highlight w:val="none"/>
        </w:rPr>
        <w:t>窗体顶端</w:t>
      </w:r>
    </w:p>
    <w:p w14:paraId="1E3A71CE">
      <w:pPr>
        <w:ind w:firstLine="560" w:firstLineChars="200"/>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不要求投标人提交投标保证金。</w:t>
      </w:r>
      <w:bookmarkEnd w:id="15"/>
      <w:bookmarkEnd w:id="16"/>
    </w:p>
    <w:p w14:paraId="739C1960">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六、其他补充事宜</w:t>
      </w:r>
    </w:p>
    <w:p w14:paraId="7A38E843">
      <w:pPr>
        <w:ind w:firstLine="560" w:firstLineChars="200"/>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lang w:val="en-US" w:eastAsia="zh-CN"/>
        </w:rPr>
        <w:t>1.供应商从滁州市城投工程咨询管理有限公司（https://www.czctgczx.com）/）下载。</w:t>
      </w:r>
    </w:p>
    <w:p w14:paraId="38D4E624">
      <w:pPr>
        <w:ind w:firstLine="560" w:firstLineChars="200"/>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lang w:val="en-US" w:eastAsia="zh-CN"/>
        </w:rPr>
        <w:t>供应商自行承担因未按要求获取询价文件导致无法上传电子投标文件的风险。</w:t>
      </w:r>
    </w:p>
    <w:p w14:paraId="60963877">
      <w:pPr>
        <w:ind w:firstLine="560" w:firstLineChars="200"/>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lang w:val="en-US" w:eastAsia="zh-CN"/>
        </w:rPr>
        <w:t>方式：（1）供应商须登录新点电子交易平台【滁州专区】查询、获取采购文件。首次登录办理入库手续，办理入库不收取任何费用。新点电子招投标统一认证平台使用相关问题（如系统登录、信息登记、录入及提交、数字证书关联等）请拨打服务电话：4009280095-5（工作日）。  </w:t>
      </w:r>
    </w:p>
    <w:p w14:paraId="47365D7A">
      <w:pPr>
        <w:ind w:firstLine="560" w:firstLineChars="200"/>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lang w:val="en-US" w:eastAsia="zh-CN"/>
        </w:rPr>
        <w:t>（2）供应商登录新点电子交易平台【滁州专区】获取询价文件及其它资料（含澄清和补充说明等）。如在询价文件获取过程中遇到系统问题，请拨打技术支持服务热线 4009280095或者网站首页在线客服。</w:t>
      </w:r>
    </w:p>
    <w:p w14:paraId="1D4FCD7C">
      <w:pPr>
        <w:ind w:firstLine="560" w:firstLineChars="200"/>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lang w:val="en-US" w:eastAsia="zh-CN"/>
        </w:rPr>
        <w:t>2.招标文件及相关资料售价：人民币0元/套。</w:t>
      </w:r>
    </w:p>
    <w:p w14:paraId="367F37D6">
      <w:pPr>
        <w:ind w:firstLine="560" w:firstLineChars="200"/>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lang w:val="en-US" w:eastAsia="zh-CN"/>
        </w:rPr>
        <w:t>3.本项目开评标实行全流程电子化，开标活动在线完成。开标时供应商无需到达开标现场，不接受现场解密，实行远程解密和在线询标。各供应商认真学习《新点电子交易平台供应商操作手册》，务必掌握远程解密方法和在线回复询标方法。</w:t>
      </w:r>
    </w:p>
    <w:p w14:paraId="68B9BD11">
      <w:pPr>
        <w:ind w:firstLine="560" w:firstLineChars="200"/>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lang w:val="en-US" w:eastAsia="zh-CN"/>
        </w:rPr>
        <w:t>4.本项目采用不见面开标，供应商登录滁州市城投工程咨询有限公司不见面开标系统参与网上开标（网址：http://js.etrading.cn/EpointBidOpening/bidopeninghallaction/hall/login）。</w:t>
      </w:r>
    </w:p>
    <w:p w14:paraId="38A41C30">
      <w:pPr>
        <w:ind w:firstLine="560" w:firstLineChars="200"/>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lang w:val="en-US" w:eastAsia="zh-CN"/>
        </w:rPr>
        <w:t>供应商应在投标截止时间之前，登录新点电子交易平台【滁州专区】上传投标文件</w:t>
      </w:r>
    </w:p>
    <w:p w14:paraId="6D8D69A1">
      <w:pPr>
        <w:ind w:firstLine="560" w:firstLineChars="200"/>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lang w:val="en-US" w:eastAsia="zh-CN"/>
        </w:rPr>
        <w:t>5.本项目仅接受加密电子投标文件供应商在投标截止时间前通过新点电子交易平台后在【滁州专区】</w:t>
      </w:r>
    </w:p>
    <w:p w14:paraId="65D1391A">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（https://www.etrading.cn/BREpointSSO/login/oauth2login?regioncode=DQ_ChuZhou）交易系统递交电子投标文件。</w:t>
      </w:r>
    </w:p>
    <w:p w14:paraId="5CC2153E">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6.公告发布媒介：滁州市扬子工业投资集团有限公司、安徽省招标投标信息网、滁州市城投工程咨询管理有限公司。</w:t>
      </w:r>
    </w:p>
    <w:p w14:paraId="526855C1">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7.投标文件制作软件下载：</w:t>
      </w:r>
    </w:p>
    <w:p w14:paraId="0FA52C8A">
      <w:pPr>
        <w:ind w:firstLine="560" w:firstLineChars="200"/>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https://download.bqpoint.com/download/downloaddetail.html?SourceFrom=Ztb&amp;ZtbSoftXiaQuCode=0128&amp;ZtbSoftType=tballinclusive</w:t>
      </w:r>
    </w:p>
    <w:p w14:paraId="5C0E03AB">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lang w:val="en-US" w:eastAsia="zh-CN"/>
        </w:rPr>
        <w:t>七</w:t>
      </w:r>
      <w:r>
        <w:rPr>
          <w:rFonts w:hint="eastAsia" w:ascii="黑体" w:hAnsi="黑体" w:eastAsia="黑体" w:cs="黑体"/>
          <w:color w:val="auto"/>
          <w:sz w:val="28"/>
          <w:szCs w:val="28"/>
          <w:highlight w:val="none"/>
        </w:rPr>
        <w:t>、对本次招标提出询问，请按以下方式联系</w:t>
      </w:r>
    </w:p>
    <w:p w14:paraId="00E2201B">
      <w:pPr>
        <w:pStyle w:val="6"/>
        <w:numPr>
          <w:ilvl w:val="0"/>
          <w:numId w:val="0"/>
        </w:numPr>
        <w:adjustRightInd/>
        <w:spacing w:line="240" w:lineRule="auto"/>
        <w:ind w:left="-199" w:leftChars="-95" w:firstLine="560" w:firstLineChars="2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　1.招标人信息</w:t>
      </w:r>
    </w:p>
    <w:p w14:paraId="15FC428B">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名    称：</w:t>
      </w:r>
      <w:r>
        <w:rPr>
          <w:rFonts w:hint="eastAsia" w:ascii="仿宋" w:hAnsi="仿宋" w:eastAsia="仿宋" w:cs="仿宋"/>
          <w:color w:val="auto"/>
          <w:sz w:val="28"/>
          <w:szCs w:val="28"/>
          <w:highlight w:val="none"/>
          <w:u w:val="single"/>
          <w:lang w:eastAsia="zh-CN"/>
        </w:rPr>
        <w:t>滁州市扬子工业投资集团有限公司</w:t>
      </w:r>
    </w:p>
    <w:p w14:paraId="55CE62D5">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地    址：</w:t>
      </w:r>
      <w:r>
        <w:rPr>
          <w:rFonts w:hint="eastAsia" w:ascii="仿宋" w:hAnsi="仿宋" w:eastAsia="仿宋" w:cs="仿宋"/>
          <w:color w:val="auto"/>
          <w:sz w:val="28"/>
          <w:szCs w:val="28"/>
          <w:highlight w:val="none"/>
          <w:u w:val="single"/>
          <w:lang w:val="en-US" w:eastAsia="zh-CN"/>
        </w:rPr>
        <w:t xml:space="preserve">滁州市南谯区中都大道与醉翁路交叉口西南角城投大厦13楼1312室 </w:t>
      </w:r>
      <w:r>
        <w:rPr>
          <w:rFonts w:hint="eastAsia" w:ascii="仿宋" w:hAnsi="仿宋" w:eastAsia="仿宋" w:cs="仿宋"/>
          <w:color w:val="auto"/>
          <w:sz w:val="28"/>
          <w:szCs w:val="28"/>
          <w:highlight w:val="none"/>
          <w:u w:val="single"/>
        </w:rPr>
        <w:t xml:space="preserve">  </w:t>
      </w:r>
    </w:p>
    <w:p w14:paraId="769FF50A">
      <w:pPr>
        <w:ind w:firstLine="560" w:firstLineChars="200"/>
        <w:jc w:val="left"/>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联系方式：</w:t>
      </w:r>
      <w:r>
        <w:rPr>
          <w:rFonts w:hint="eastAsia" w:ascii="仿宋" w:hAnsi="仿宋" w:eastAsia="仿宋" w:cs="仿宋"/>
          <w:color w:val="auto"/>
          <w:sz w:val="28"/>
          <w:szCs w:val="28"/>
          <w:highlight w:val="none"/>
          <w:u w:val="single"/>
          <w:lang w:val="en-US" w:eastAsia="zh-CN"/>
        </w:rPr>
        <w:t xml:space="preserve">0550-3018129、17755099330 </w:t>
      </w:r>
    </w:p>
    <w:p w14:paraId="6C2069E7">
      <w:pPr>
        <w:pStyle w:val="36"/>
        <w:ind w:left="0" w:leftChars="0" w:firstLine="560" w:firstLineChars="200"/>
        <w:rPr>
          <w:rFonts w:hint="default"/>
          <w:color w:val="auto"/>
          <w:highlight w:val="none"/>
          <w:lang w:val="en-US"/>
        </w:rPr>
      </w:pPr>
      <w:r>
        <w:rPr>
          <w:rFonts w:hint="eastAsia" w:ascii="仿宋" w:hAnsi="仿宋" w:eastAsia="仿宋" w:cs="仿宋"/>
          <w:color w:val="auto"/>
          <w:sz w:val="28"/>
          <w:szCs w:val="28"/>
          <w:highlight w:val="none"/>
          <w:u w:val="none"/>
          <w:lang w:val="en-US" w:eastAsia="zh-CN"/>
        </w:rPr>
        <w:t>监督电话：</w:t>
      </w:r>
      <w:r>
        <w:rPr>
          <w:rFonts w:hint="eastAsia" w:ascii="仿宋" w:hAnsi="仿宋" w:eastAsia="仿宋" w:cs="仿宋"/>
          <w:color w:val="auto"/>
          <w:sz w:val="28"/>
          <w:szCs w:val="28"/>
          <w:highlight w:val="none"/>
          <w:u w:val="single"/>
          <w:lang w:val="en-US" w:eastAsia="zh-CN"/>
        </w:rPr>
        <w:t>0550-3017855</w:t>
      </w:r>
    </w:p>
    <w:p w14:paraId="07B57201">
      <w:pPr>
        <w:pStyle w:val="6"/>
        <w:numPr>
          <w:ilvl w:val="0"/>
          <w:numId w:val="0"/>
        </w:numPr>
        <w:adjustRightInd/>
        <w:spacing w:line="240" w:lineRule="auto"/>
        <w:ind w:left="-199" w:leftChars="-95" w:firstLine="840" w:firstLineChars="3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2.代理机构信息</w:t>
      </w:r>
    </w:p>
    <w:p w14:paraId="5E0614A3">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名    称：</w:t>
      </w:r>
      <w:r>
        <w:rPr>
          <w:rFonts w:hint="eastAsia" w:ascii="仿宋" w:hAnsi="仿宋" w:eastAsia="仿宋" w:cs="仿宋"/>
          <w:color w:val="auto"/>
          <w:sz w:val="28"/>
          <w:szCs w:val="28"/>
          <w:highlight w:val="none"/>
          <w:u w:val="single"/>
        </w:rPr>
        <w:t>滁州市城投工程咨询管理有限公司</w:t>
      </w:r>
    </w:p>
    <w:p w14:paraId="4FB0259B">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地　　址：</w:t>
      </w:r>
      <w:r>
        <w:rPr>
          <w:rFonts w:hint="eastAsia" w:ascii="仿宋" w:hAnsi="仿宋" w:eastAsia="仿宋" w:cs="仿宋"/>
          <w:color w:val="auto"/>
          <w:sz w:val="28"/>
          <w:szCs w:val="28"/>
          <w:highlight w:val="none"/>
          <w:u w:val="single"/>
        </w:rPr>
        <w:t>滁州市龙蟠大道109号房产大厦6楼</w:t>
      </w:r>
    </w:p>
    <w:p w14:paraId="151802B5">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联系方式：</w:t>
      </w:r>
      <w:r>
        <w:rPr>
          <w:rFonts w:hint="eastAsia" w:ascii="仿宋" w:hAnsi="仿宋" w:eastAsia="仿宋" w:cs="仿宋"/>
          <w:color w:val="auto"/>
          <w:sz w:val="28"/>
          <w:szCs w:val="28"/>
          <w:highlight w:val="none"/>
          <w:u w:val="single"/>
        </w:rPr>
        <w:t>0550-3519590、18005501210</w:t>
      </w:r>
    </w:p>
    <w:p w14:paraId="13BAF074">
      <w:pPr>
        <w:pStyle w:val="6"/>
        <w:numPr>
          <w:ilvl w:val="0"/>
          <w:numId w:val="0"/>
        </w:numPr>
        <w:adjustRightInd/>
        <w:spacing w:line="240" w:lineRule="auto"/>
        <w:ind w:left="-199" w:leftChars="-95" w:firstLine="840" w:firstLineChars="3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3.项目联系方式</w:t>
      </w:r>
    </w:p>
    <w:p w14:paraId="16E3DA23">
      <w:pPr>
        <w:pStyle w:val="20"/>
        <w:ind w:left="-199" w:leftChars="-95" w:firstLine="840" w:firstLineChars="300"/>
        <w:jc w:val="left"/>
        <w:rPr>
          <w:rFonts w:hint="eastAsia" w:ascii="仿宋" w:hAnsi="仿宋" w:eastAsia="仿宋" w:cs="仿宋"/>
          <w:color w:val="auto"/>
          <w:sz w:val="28"/>
          <w:szCs w:val="28"/>
          <w:highlight w:val="none"/>
          <w:u w:val="single" w:color="auto"/>
        </w:rPr>
      </w:pPr>
      <w:r>
        <w:rPr>
          <w:rFonts w:hint="eastAsia" w:ascii="仿宋" w:hAnsi="仿宋" w:eastAsia="仿宋" w:cs="仿宋"/>
          <w:color w:val="auto"/>
          <w:sz w:val="28"/>
          <w:szCs w:val="28"/>
          <w:highlight w:val="none"/>
        </w:rPr>
        <w:t>项目联系人：</w:t>
      </w:r>
      <w:r>
        <w:rPr>
          <w:rFonts w:hint="eastAsia" w:ascii="仿宋" w:hAnsi="仿宋" w:eastAsia="仿宋" w:cs="仿宋"/>
          <w:color w:val="auto"/>
          <w:sz w:val="28"/>
          <w:szCs w:val="28"/>
          <w:highlight w:val="none"/>
          <w:u w:val="single" w:color="auto"/>
          <w:lang w:val="en-US" w:eastAsia="zh-CN"/>
        </w:rPr>
        <w:t>徐川、</w:t>
      </w:r>
      <w:r>
        <w:rPr>
          <w:rFonts w:hint="eastAsia" w:ascii="仿宋" w:hAnsi="仿宋" w:eastAsia="仿宋" w:cs="仿宋"/>
          <w:color w:val="auto"/>
          <w:sz w:val="28"/>
          <w:szCs w:val="28"/>
          <w:highlight w:val="none"/>
          <w:u w:val="single" w:color="auto"/>
        </w:rPr>
        <w:t>杨韦</w:t>
      </w:r>
    </w:p>
    <w:p w14:paraId="34A7C39D">
      <w:pPr>
        <w:ind w:left="-199" w:leftChars="-95" w:firstLine="840" w:firstLineChars="300"/>
        <w:jc w:val="left"/>
        <w:rPr>
          <w:rFonts w:ascii="仿宋" w:hAnsi="仿宋" w:eastAsia="仿宋"/>
          <w:color w:val="auto"/>
          <w:sz w:val="28"/>
          <w:szCs w:val="28"/>
          <w:highlight w:val="none"/>
          <w:u w:val="single"/>
        </w:rPr>
      </w:pPr>
      <w:r>
        <w:rPr>
          <w:rFonts w:hint="eastAsia" w:ascii="仿宋" w:hAnsi="仿宋" w:eastAsia="仿宋" w:cs="仿宋"/>
          <w:color w:val="auto"/>
          <w:sz w:val="28"/>
          <w:szCs w:val="28"/>
          <w:highlight w:val="none"/>
        </w:rPr>
        <w:t>电　　 话：</w:t>
      </w:r>
      <w:r>
        <w:rPr>
          <w:rFonts w:hint="eastAsia" w:ascii="仿宋" w:hAnsi="仿宋" w:eastAsia="仿宋" w:cs="仿宋"/>
          <w:color w:val="auto"/>
          <w:sz w:val="28"/>
          <w:szCs w:val="28"/>
          <w:highlight w:val="none"/>
          <w:u w:val="single" w:color="auto"/>
          <w:lang w:val="en-US" w:eastAsia="zh-CN"/>
        </w:rPr>
        <w:t>0550-3018129 、</w:t>
      </w:r>
      <w:r>
        <w:rPr>
          <w:rFonts w:hint="eastAsia" w:ascii="仿宋" w:hAnsi="仿宋" w:eastAsia="仿宋" w:cs="仿宋"/>
          <w:color w:val="auto"/>
          <w:sz w:val="28"/>
          <w:szCs w:val="28"/>
          <w:highlight w:val="none"/>
          <w:u w:val="single" w:color="auto"/>
        </w:rPr>
        <w:t>0</w:t>
      </w:r>
      <w:r>
        <w:rPr>
          <w:rFonts w:hint="eastAsia" w:ascii="仿宋" w:hAnsi="仿宋" w:eastAsia="仿宋" w:cs="仿宋"/>
          <w:color w:val="auto"/>
          <w:sz w:val="28"/>
          <w:szCs w:val="28"/>
          <w:highlight w:val="none"/>
          <w:u w:val="single"/>
        </w:rPr>
        <w:t xml:space="preserve">550-3519590 </w:t>
      </w:r>
    </w:p>
    <w:p w14:paraId="10E9FD09">
      <w:pPr>
        <w:spacing w:before="156" w:beforeLines="50" w:after="156" w:afterLines="50"/>
        <w:ind w:firstLine="643" w:firstLineChars="200"/>
        <w:jc w:val="center"/>
        <w:outlineLvl w:val="0"/>
        <w:rPr>
          <w:rFonts w:hint="eastAsia" w:ascii="宋体"/>
          <w:b/>
          <w:color w:val="auto"/>
          <w:sz w:val="32"/>
          <w:szCs w:val="32"/>
          <w:highlight w:val="none"/>
        </w:rPr>
      </w:pPr>
      <w:r>
        <w:rPr>
          <w:rFonts w:hint="eastAsia" w:ascii="宋体"/>
          <w:b/>
          <w:color w:val="auto"/>
          <w:sz w:val="32"/>
          <w:szCs w:val="32"/>
          <w:highlight w:val="none"/>
        </w:rPr>
        <w:br w:type="page"/>
      </w:r>
      <w:r>
        <w:rPr>
          <w:rFonts w:hint="eastAsia" w:ascii="宋体"/>
          <w:b/>
          <w:color w:val="auto"/>
          <w:sz w:val="32"/>
          <w:szCs w:val="32"/>
          <w:highlight w:val="none"/>
        </w:rPr>
        <w:t>第二章 投标人须知</w:t>
      </w:r>
      <w:bookmarkEnd w:id="2"/>
    </w:p>
    <w:p w14:paraId="35E6B667">
      <w:pPr>
        <w:snapToGrid w:val="0"/>
        <w:spacing w:line="500" w:lineRule="exact"/>
        <w:jc w:val="center"/>
        <w:outlineLvl w:val="1"/>
        <w:rPr>
          <w:rFonts w:hint="eastAsia" w:ascii="宋体"/>
          <w:b/>
          <w:color w:val="auto"/>
          <w:sz w:val="28"/>
          <w:szCs w:val="28"/>
          <w:highlight w:val="none"/>
        </w:rPr>
      </w:pPr>
      <w:bookmarkStart w:id="17" w:name="_Toc449028865"/>
      <w:bookmarkStart w:id="18" w:name="_Toc58430314"/>
      <w:r>
        <w:rPr>
          <w:rFonts w:hint="eastAsia" w:ascii="宋体"/>
          <w:b/>
          <w:color w:val="auto"/>
          <w:sz w:val="32"/>
          <w:szCs w:val="32"/>
          <w:highlight w:val="none"/>
        </w:rPr>
        <w:t>一、</w:t>
      </w:r>
      <w:r>
        <w:rPr>
          <w:rFonts w:hint="eastAsia" w:ascii="宋体"/>
          <w:b/>
          <w:color w:val="auto"/>
          <w:sz w:val="28"/>
          <w:szCs w:val="28"/>
          <w:highlight w:val="none"/>
        </w:rPr>
        <w:t>投标人须知前附表</w:t>
      </w:r>
      <w:bookmarkEnd w:id="17"/>
      <w:bookmarkEnd w:id="18"/>
    </w:p>
    <w:tbl>
      <w:tblPr>
        <w:tblStyle w:val="37"/>
        <w:tblW w:w="10200"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020"/>
        <w:gridCol w:w="2508"/>
        <w:gridCol w:w="6672"/>
      </w:tblGrid>
      <w:tr w14:paraId="706E0CA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6" w:hRule="atLeast"/>
          <w:jc w:val="center"/>
        </w:trPr>
        <w:tc>
          <w:tcPr>
            <w:tcW w:w="1020" w:type="dxa"/>
            <w:noWrap w:val="0"/>
            <w:vAlign w:val="center"/>
          </w:tcPr>
          <w:p w14:paraId="1A3509D5">
            <w:pPr>
              <w:pStyle w:val="20"/>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条款号</w:t>
            </w:r>
          </w:p>
        </w:tc>
        <w:tc>
          <w:tcPr>
            <w:tcW w:w="2508" w:type="dxa"/>
            <w:noWrap w:val="0"/>
            <w:vAlign w:val="center"/>
          </w:tcPr>
          <w:p w14:paraId="7BA55396">
            <w:pPr>
              <w:pStyle w:val="20"/>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内容</w:t>
            </w:r>
          </w:p>
        </w:tc>
        <w:tc>
          <w:tcPr>
            <w:tcW w:w="6672" w:type="dxa"/>
            <w:noWrap w:val="0"/>
            <w:vAlign w:val="center"/>
          </w:tcPr>
          <w:p w14:paraId="59DDC3F7">
            <w:pPr>
              <w:pStyle w:val="20"/>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说明与要求</w:t>
            </w:r>
          </w:p>
        </w:tc>
      </w:tr>
      <w:tr w14:paraId="2B4DAFB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9" w:hRule="atLeast"/>
          <w:jc w:val="center"/>
        </w:trPr>
        <w:tc>
          <w:tcPr>
            <w:tcW w:w="1020" w:type="dxa"/>
            <w:noWrap w:val="0"/>
            <w:vAlign w:val="center"/>
          </w:tcPr>
          <w:p w14:paraId="6318A9A0">
            <w:pPr>
              <w:pStyle w:val="20"/>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2CA37101">
            <w:pPr>
              <w:pStyle w:val="20"/>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项目名称</w:t>
            </w:r>
          </w:p>
        </w:tc>
        <w:tc>
          <w:tcPr>
            <w:tcW w:w="6672" w:type="dxa"/>
            <w:noWrap w:val="0"/>
            <w:vAlign w:val="center"/>
          </w:tcPr>
          <w:p w14:paraId="524A5409">
            <w:pPr>
              <w:pStyle w:val="20"/>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滁州市扬子工业投资集团有限公司参股企业审计服务项目</w:t>
            </w:r>
          </w:p>
        </w:tc>
      </w:tr>
      <w:tr w14:paraId="465BC34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06" w:hRule="atLeast"/>
          <w:jc w:val="center"/>
        </w:trPr>
        <w:tc>
          <w:tcPr>
            <w:tcW w:w="1020" w:type="dxa"/>
            <w:noWrap w:val="0"/>
            <w:vAlign w:val="center"/>
          </w:tcPr>
          <w:p w14:paraId="73295DAB">
            <w:pPr>
              <w:pStyle w:val="20"/>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221F67F3">
            <w:pPr>
              <w:pStyle w:val="20"/>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期</w:t>
            </w:r>
          </w:p>
        </w:tc>
        <w:tc>
          <w:tcPr>
            <w:tcW w:w="6672" w:type="dxa"/>
            <w:noWrap w:val="0"/>
            <w:vAlign w:val="center"/>
          </w:tcPr>
          <w:p w14:paraId="643C3D70">
            <w:pPr>
              <w:pStyle w:val="23"/>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审计期间为2024年、2025年、2026年，共</w:t>
            </w:r>
            <w:r>
              <w:rPr>
                <w:rFonts w:hint="eastAsia" w:ascii="宋体" w:hAnsi="宋体" w:eastAsia="宋体" w:cs="宋体"/>
                <w:color w:val="auto"/>
                <w:sz w:val="21"/>
                <w:szCs w:val="21"/>
                <w:highlight w:val="none"/>
                <w:lang w:val="en-US" w:eastAsia="zh-CN"/>
              </w:rPr>
              <w:t>三年</w:t>
            </w:r>
          </w:p>
        </w:tc>
      </w:tr>
      <w:tr w14:paraId="78E37B6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9" w:hRule="atLeast"/>
          <w:jc w:val="center"/>
        </w:trPr>
        <w:tc>
          <w:tcPr>
            <w:tcW w:w="1020" w:type="dxa"/>
            <w:noWrap w:val="0"/>
            <w:vAlign w:val="center"/>
          </w:tcPr>
          <w:p w14:paraId="2CE19DC5">
            <w:pPr>
              <w:pStyle w:val="20"/>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67A96464">
            <w:pPr>
              <w:pStyle w:val="20"/>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地点</w:t>
            </w:r>
          </w:p>
        </w:tc>
        <w:tc>
          <w:tcPr>
            <w:tcW w:w="6672" w:type="dxa"/>
            <w:noWrap w:val="0"/>
            <w:vAlign w:val="center"/>
          </w:tcPr>
          <w:p w14:paraId="71EEC963">
            <w:pPr>
              <w:pStyle w:val="20"/>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eastAsia="zh-CN"/>
              </w:rPr>
              <w:t>招标人</w:t>
            </w:r>
            <w:r>
              <w:rPr>
                <w:rFonts w:hint="eastAsia" w:ascii="宋体" w:hAnsi="宋体" w:eastAsia="宋体" w:cs="宋体"/>
                <w:color w:val="auto"/>
                <w:sz w:val="21"/>
                <w:szCs w:val="21"/>
                <w:highlight w:val="none"/>
              </w:rPr>
              <w:t>指定地点</w:t>
            </w:r>
          </w:p>
        </w:tc>
      </w:tr>
      <w:tr w14:paraId="7F4B4E7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8" w:hRule="atLeast"/>
          <w:jc w:val="center"/>
        </w:trPr>
        <w:tc>
          <w:tcPr>
            <w:tcW w:w="1020" w:type="dxa"/>
            <w:noWrap w:val="0"/>
            <w:vAlign w:val="center"/>
          </w:tcPr>
          <w:p w14:paraId="50E43DD6">
            <w:pPr>
              <w:pStyle w:val="20"/>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508" w:type="dxa"/>
            <w:noWrap w:val="0"/>
            <w:vAlign w:val="center"/>
          </w:tcPr>
          <w:p w14:paraId="5B610DF1">
            <w:pPr>
              <w:pStyle w:val="20"/>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eastAsia="zh-CN"/>
              </w:rPr>
              <w:t>招标人</w:t>
            </w:r>
            <w:r>
              <w:rPr>
                <w:rFonts w:hint="eastAsia" w:ascii="宋体" w:hAnsi="宋体" w:eastAsia="宋体" w:cs="宋体"/>
                <w:color w:val="auto"/>
                <w:sz w:val="21"/>
                <w:szCs w:val="21"/>
                <w:highlight w:val="none"/>
              </w:rPr>
              <w:t>联系人及电话</w:t>
            </w:r>
          </w:p>
        </w:tc>
        <w:tc>
          <w:tcPr>
            <w:tcW w:w="6672" w:type="dxa"/>
            <w:noWrap w:val="0"/>
            <w:vAlign w:val="center"/>
          </w:tcPr>
          <w:p w14:paraId="2B3A019D">
            <w:pPr>
              <w:pStyle w:val="20"/>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联系人：</w:t>
            </w:r>
            <w:r>
              <w:rPr>
                <w:rFonts w:hint="eastAsia" w:ascii="宋体" w:hAnsi="宋体" w:eastAsia="宋体" w:cs="宋体"/>
                <w:color w:val="auto"/>
                <w:sz w:val="21"/>
                <w:szCs w:val="21"/>
                <w:highlight w:val="none"/>
                <w:lang w:val="en-US" w:eastAsia="zh-CN"/>
              </w:rPr>
              <w:t>徐川</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电话：</w:t>
            </w:r>
            <w:r>
              <w:rPr>
                <w:rFonts w:hint="eastAsia" w:ascii="宋体" w:hAnsi="宋体" w:eastAsia="宋体" w:cs="宋体"/>
                <w:color w:val="auto"/>
                <w:sz w:val="21"/>
                <w:szCs w:val="21"/>
                <w:highlight w:val="none"/>
                <w:lang w:val="en-US" w:eastAsia="zh-CN"/>
              </w:rPr>
              <w:t>0550-3018129</w:t>
            </w:r>
            <w:r>
              <w:rPr>
                <w:rFonts w:hint="eastAsia" w:hAnsi="宋体" w:cs="宋体"/>
                <w:color w:val="auto"/>
                <w:sz w:val="21"/>
                <w:szCs w:val="21"/>
                <w:highlight w:val="none"/>
                <w:lang w:val="en-US" w:eastAsia="zh-CN"/>
              </w:rPr>
              <w:t>、17755099330</w:t>
            </w:r>
            <w:r>
              <w:rPr>
                <w:rFonts w:hint="eastAsia" w:ascii="宋体" w:hAnsi="宋体" w:eastAsia="宋体" w:cs="宋体"/>
                <w:color w:val="auto"/>
                <w:sz w:val="21"/>
                <w:szCs w:val="21"/>
                <w:highlight w:val="none"/>
                <w:lang w:val="en-US" w:eastAsia="zh-CN"/>
              </w:rPr>
              <w:t xml:space="preserve"> </w:t>
            </w:r>
          </w:p>
        </w:tc>
      </w:tr>
      <w:tr w14:paraId="7F9E755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63" w:hRule="atLeast"/>
          <w:jc w:val="center"/>
        </w:trPr>
        <w:tc>
          <w:tcPr>
            <w:tcW w:w="1020" w:type="dxa"/>
            <w:noWrap w:val="0"/>
            <w:vAlign w:val="center"/>
          </w:tcPr>
          <w:p w14:paraId="33E688FB">
            <w:pPr>
              <w:pStyle w:val="20"/>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508" w:type="dxa"/>
            <w:noWrap w:val="0"/>
            <w:vAlign w:val="center"/>
          </w:tcPr>
          <w:p w14:paraId="41D596D1">
            <w:pPr>
              <w:pStyle w:val="20"/>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采购代理机构联系人及电话</w:t>
            </w:r>
          </w:p>
        </w:tc>
        <w:tc>
          <w:tcPr>
            <w:tcW w:w="6672" w:type="dxa"/>
            <w:noWrap w:val="0"/>
            <w:vAlign w:val="center"/>
          </w:tcPr>
          <w:p w14:paraId="63775677">
            <w:pPr>
              <w:pStyle w:val="20"/>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联系人：杨韦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电话0550-30519590、18005501210</w:t>
            </w:r>
          </w:p>
        </w:tc>
      </w:tr>
      <w:tr w14:paraId="27D4BB6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57" w:hRule="atLeast"/>
          <w:jc w:val="center"/>
        </w:trPr>
        <w:tc>
          <w:tcPr>
            <w:tcW w:w="1020" w:type="dxa"/>
            <w:noWrap w:val="0"/>
            <w:vAlign w:val="center"/>
          </w:tcPr>
          <w:p w14:paraId="3F82ED0A">
            <w:pPr>
              <w:pStyle w:val="20"/>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2508" w:type="dxa"/>
            <w:noWrap w:val="0"/>
            <w:vAlign w:val="center"/>
          </w:tcPr>
          <w:p w14:paraId="3968C901">
            <w:pPr>
              <w:pStyle w:val="20"/>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资金来源                                                                                                                                                                 </w:t>
            </w:r>
          </w:p>
        </w:tc>
        <w:tc>
          <w:tcPr>
            <w:tcW w:w="6672" w:type="dxa"/>
            <w:noWrap w:val="0"/>
            <w:vAlign w:val="center"/>
          </w:tcPr>
          <w:p w14:paraId="74A942F4">
            <w:pPr>
              <w:pStyle w:val="20"/>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自筹资金</w:t>
            </w:r>
          </w:p>
        </w:tc>
      </w:tr>
      <w:tr w14:paraId="5BC09B4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jc w:val="center"/>
        </w:trPr>
        <w:tc>
          <w:tcPr>
            <w:tcW w:w="1020" w:type="dxa"/>
            <w:noWrap w:val="0"/>
            <w:vAlign w:val="center"/>
          </w:tcPr>
          <w:p w14:paraId="20C9780F">
            <w:pPr>
              <w:pStyle w:val="20"/>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p>
        </w:tc>
        <w:tc>
          <w:tcPr>
            <w:tcW w:w="2508" w:type="dxa"/>
            <w:noWrap w:val="0"/>
            <w:vAlign w:val="center"/>
          </w:tcPr>
          <w:p w14:paraId="54D288A8">
            <w:pPr>
              <w:pStyle w:val="20"/>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采购预算</w:t>
            </w:r>
          </w:p>
        </w:tc>
        <w:tc>
          <w:tcPr>
            <w:tcW w:w="6672" w:type="dxa"/>
            <w:noWrap w:val="0"/>
            <w:vAlign w:val="center"/>
          </w:tcPr>
          <w:p w14:paraId="7F9AA5A2">
            <w:pPr>
              <w:pStyle w:val="20"/>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val="en-US" w:eastAsia="zh-CN"/>
              </w:rPr>
              <w:t>150000</w:t>
            </w:r>
            <w:r>
              <w:rPr>
                <w:rFonts w:hint="eastAsia" w:ascii="宋体" w:hAnsi="宋体" w:eastAsia="宋体" w:cs="宋体"/>
                <w:color w:val="auto"/>
                <w:sz w:val="21"/>
                <w:szCs w:val="21"/>
                <w:highlight w:val="none"/>
              </w:rPr>
              <w:t>元</w:t>
            </w:r>
          </w:p>
        </w:tc>
      </w:tr>
      <w:tr w14:paraId="00458A9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14:paraId="273745CF">
            <w:pPr>
              <w:pStyle w:val="20"/>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2508" w:type="dxa"/>
            <w:noWrap w:val="0"/>
            <w:vAlign w:val="center"/>
          </w:tcPr>
          <w:p w14:paraId="439D7814">
            <w:pPr>
              <w:pStyle w:val="20"/>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最高限价</w:t>
            </w:r>
          </w:p>
        </w:tc>
        <w:tc>
          <w:tcPr>
            <w:tcW w:w="6672" w:type="dxa"/>
            <w:noWrap w:val="0"/>
            <w:vAlign w:val="center"/>
          </w:tcPr>
          <w:p w14:paraId="644B641F">
            <w:pPr>
              <w:pStyle w:val="20"/>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val="en-US" w:eastAsia="zh-CN"/>
              </w:rPr>
              <w:t>壹拾伍万元整</w:t>
            </w:r>
            <w:r>
              <w:rPr>
                <w:rFonts w:hint="eastAsia" w:ascii="宋体" w:hAnsi="宋体" w:eastAsia="宋体" w:cs="宋体"/>
                <w:color w:val="auto"/>
                <w:sz w:val="21"/>
                <w:szCs w:val="21"/>
                <w:highlight w:val="none"/>
              </w:rPr>
              <w:t>（</w:t>
            </w:r>
            <w:r>
              <w:rPr>
                <w:rFonts w:hint="eastAsia" w:hAnsi="宋体" w:cs="宋体"/>
                <w:color w:val="auto"/>
                <w:sz w:val="21"/>
                <w:szCs w:val="21"/>
                <w:highlight w:val="none"/>
                <w:lang w:val="en-US" w:eastAsia="zh-CN"/>
              </w:rPr>
              <w:t>150000</w:t>
            </w:r>
            <w:r>
              <w:rPr>
                <w:rFonts w:hint="eastAsia" w:ascii="宋体" w:hAnsi="宋体" w:eastAsia="宋体" w:cs="宋体"/>
                <w:color w:val="auto"/>
                <w:sz w:val="21"/>
                <w:szCs w:val="21"/>
                <w:highlight w:val="none"/>
              </w:rPr>
              <w:t>元），投标报价不得高于最高限价，否则将作为无效投标处理。</w:t>
            </w:r>
          </w:p>
        </w:tc>
      </w:tr>
      <w:tr w14:paraId="61945AC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14:paraId="61F60937">
            <w:pPr>
              <w:pStyle w:val="20"/>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w:t>
            </w:r>
          </w:p>
        </w:tc>
        <w:tc>
          <w:tcPr>
            <w:tcW w:w="2508" w:type="dxa"/>
            <w:noWrap w:val="0"/>
            <w:vAlign w:val="center"/>
          </w:tcPr>
          <w:p w14:paraId="398E18B4">
            <w:pPr>
              <w:pStyle w:val="20"/>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采购内容</w:t>
            </w:r>
          </w:p>
        </w:tc>
        <w:tc>
          <w:tcPr>
            <w:tcW w:w="6672" w:type="dxa"/>
            <w:noWrap w:val="0"/>
            <w:vAlign w:val="center"/>
          </w:tcPr>
          <w:p w14:paraId="27879C67">
            <w:pPr>
              <w:pStyle w:val="20"/>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本项目采购内容包括：详见《采购需求》</w:t>
            </w:r>
          </w:p>
        </w:tc>
      </w:tr>
      <w:tr w14:paraId="1B15F94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jc w:val="center"/>
        </w:trPr>
        <w:tc>
          <w:tcPr>
            <w:tcW w:w="1020" w:type="dxa"/>
            <w:noWrap w:val="0"/>
            <w:vAlign w:val="center"/>
          </w:tcPr>
          <w:p w14:paraId="79998D5D">
            <w:pPr>
              <w:pStyle w:val="20"/>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w:t>
            </w:r>
          </w:p>
        </w:tc>
        <w:tc>
          <w:tcPr>
            <w:tcW w:w="2508" w:type="dxa"/>
            <w:noWrap w:val="0"/>
            <w:vAlign w:val="center"/>
          </w:tcPr>
          <w:p w14:paraId="5CDEBF68">
            <w:pPr>
              <w:pStyle w:val="20"/>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标包划分</w:t>
            </w:r>
          </w:p>
        </w:tc>
        <w:tc>
          <w:tcPr>
            <w:tcW w:w="6672" w:type="dxa"/>
            <w:noWrap w:val="0"/>
            <w:vAlign w:val="center"/>
          </w:tcPr>
          <w:p w14:paraId="23CBC516">
            <w:pPr>
              <w:pStyle w:val="20"/>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本项目划分为</w:t>
            </w:r>
            <w:r>
              <w:rPr>
                <w:rFonts w:hint="eastAsia" w:ascii="宋体" w:hAnsi="宋体" w:eastAsia="宋体" w:cs="宋体"/>
                <w:color w:val="auto"/>
                <w:sz w:val="21"/>
                <w:szCs w:val="21"/>
                <w:highlight w:val="none"/>
                <w:u w:val="single"/>
              </w:rPr>
              <w:t xml:space="preserve"> 1  </w:t>
            </w:r>
            <w:r>
              <w:rPr>
                <w:rFonts w:hint="eastAsia" w:ascii="宋体" w:hAnsi="宋体" w:eastAsia="宋体" w:cs="宋体"/>
                <w:color w:val="auto"/>
                <w:sz w:val="21"/>
                <w:szCs w:val="21"/>
                <w:highlight w:val="none"/>
              </w:rPr>
              <w:t>个标包</w:t>
            </w:r>
          </w:p>
        </w:tc>
      </w:tr>
      <w:tr w14:paraId="7D1220B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0" w:hRule="atLeast"/>
          <w:jc w:val="center"/>
        </w:trPr>
        <w:tc>
          <w:tcPr>
            <w:tcW w:w="1020" w:type="dxa"/>
            <w:noWrap w:val="0"/>
            <w:vAlign w:val="center"/>
          </w:tcPr>
          <w:p w14:paraId="36FF8F54">
            <w:pPr>
              <w:pStyle w:val="20"/>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w:t>
            </w:r>
          </w:p>
        </w:tc>
        <w:tc>
          <w:tcPr>
            <w:tcW w:w="2508" w:type="dxa"/>
            <w:noWrap w:val="0"/>
            <w:vAlign w:val="center"/>
          </w:tcPr>
          <w:p w14:paraId="481A039E">
            <w:pPr>
              <w:pStyle w:val="20"/>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招标方式</w:t>
            </w:r>
          </w:p>
        </w:tc>
        <w:tc>
          <w:tcPr>
            <w:tcW w:w="6672" w:type="dxa"/>
            <w:noWrap w:val="0"/>
            <w:vAlign w:val="center"/>
          </w:tcPr>
          <w:p w14:paraId="46460C92">
            <w:pPr>
              <w:pStyle w:val="20"/>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公开招标</w:t>
            </w:r>
          </w:p>
        </w:tc>
      </w:tr>
      <w:tr w14:paraId="2AF0CE6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03" w:hRule="atLeast"/>
          <w:jc w:val="center"/>
        </w:trPr>
        <w:tc>
          <w:tcPr>
            <w:tcW w:w="1020" w:type="dxa"/>
            <w:noWrap w:val="0"/>
            <w:vAlign w:val="center"/>
          </w:tcPr>
          <w:p w14:paraId="767A5398">
            <w:pPr>
              <w:pStyle w:val="20"/>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2508" w:type="dxa"/>
            <w:noWrap w:val="0"/>
            <w:vAlign w:val="center"/>
          </w:tcPr>
          <w:p w14:paraId="56AC511D">
            <w:pPr>
              <w:pStyle w:val="20"/>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投标人资格条件及其他要求</w:t>
            </w:r>
          </w:p>
        </w:tc>
        <w:tc>
          <w:tcPr>
            <w:tcW w:w="6672" w:type="dxa"/>
            <w:noWrap w:val="0"/>
            <w:vAlign w:val="center"/>
          </w:tcPr>
          <w:p w14:paraId="28E125F1">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7259147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3EE1DDAF">
            <w:pPr>
              <w:pStyle w:val="20"/>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w:t>
            </w:r>
          </w:p>
        </w:tc>
        <w:tc>
          <w:tcPr>
            <w:tcW w:w="2508" w:type="dxa"/>
            <w:noWrap w:val="0"/>
            <w:vAlign w:val="center"/>
          </w:tcPr>
          <w:p w14:paraId="152037C7">
            <w:pPr>
              <w:pStyle w:val="20"/>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踏勘现场</w:t>
            </w:r>
          </w:p>
        </w:tc>
        <w:tc>
          <w:tcPr>
            <w:tcW w:w="6672" w:type="dxa"/>
            <w:noWrap w:val="0"/>
            <w:vAlign w:val="center"/>
          </w:tcPr>
          <w:p w14:paraId="795FC847">
            <w:pPr>
              <w:pStyle w:val="20"/>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不组织,投标人自行踏勘现场</w:t>
            </w:r>
          </w:p>
        </w:tc>
      </w:tr>
      <w:tr w14:paraId="08D77F6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7DCD0D01">
            <w:pPr>
              <w:pStyle w:val="20"/>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10.1</w:t>
            </w:r>
          </w:p>
        </w:tc>
        <w:tc>
          <w:tcPr>
            <w:tcW w:w="2508" w:type="dxa"/>
            <w:noWrap w:val="0"/>
            <w:vAlign w:val="center"/>
          </w:tcPr>
          <w:p w14:paraId="2F735089">
            <w:pPr>
              <w:pStyle w:val="20"/>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投标预备会</w:t>
            </w:r>
          </w:p>
        </w:tc>
        <w:tc>
          <w:tcPr>
            <w:tcW w:w="6672" w:type="dxa"/>
            <w:noWrap w:val="0"/>
            <w:vAlign w:val="center"/>
          </w:tcPr>
          <w:p w14:paraId="637A8464">
            <w:pPr>
              <w:pStyle w:val="20"/>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不召开</w:t>
            </w:r>
          </w:p>
        </w:tc>
      </w:tr>
      <w:tr w14:paraId="27C80B4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7" w:hRule="atLeast"/>
          <w:jc w:val="center"/>
        </w:trPr>
        <w:tc>
          <w:tcPr>
            <w:tcW w:w="1020" w:type="dxa"/>
            <w:noWrap w:val="0"/>
            <w:vAlign w:val="center"/>
          </w:tcPr>
          <w:p w14:paraId="6FB2E082">
            <w:pPr>
              <w:pStyle w:val="20"/>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11.1</w:t>
            </w:r>
          </w:p>
        </w:tc>
        <w:tc>
          <w:tcPr>
            <w:tcW w:w="2508" w:type="dxa"/>
            <w:noWrap w:val="0"/>
            <w:vAlign w:val="center"/>
          </w:tcPr>
          <w:p w14:paraId="6958E0EA">
            <w:pPr>
              <w:pStyle w:val="20"/>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联合体投标</w:t>
            </w:r>
          </w:p>
        </w:tc>
        <w:tc>
          <w:tcPr>
            <w:tcW w:w="6672" w:type="dxa"/>
            <w:noWrap w:val="0"/>
            <w:vAlign w:val="center"/>
          </w:tcPr>
          <w:p w14:paraId="54E6AF09">
            <w:pPr>
              <w:pStyle w:val="20"/>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646585A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58" w:hRule="atLeast"/>
          <w:jc w:val="center"/>
        </w:trPr>
        <w:tc>
          <w:tcPr>
            <w:tcW w:w="1020" w:type="dxa"/>
            <w:noWrap w:val="0"/>
            <w:vAlign w:val="center"/>
          </w:tcPr>
          <w:p w14:paraId="5A15E816">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12.1</w:t>
            </w:r>
          </w:p>
        </w:tc>
        <w:tc>
          <w:tcPr>
            <w:tcW w:w="2508" w:type="dxa"/>
            <w:noWrap w:val="0"/>
            <w:vAlign w:val="center"/>
          </w:tcPr>
          <w:p w14:paraId="127CBEB6">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招标代理费</w:t>
            </w:r>
            <w:r>
              <w:rPr>
                <w:rFonts w:hint="eastAsia" w:ascii="宋体" w:hAnsi="宋体" w:eastAsia="宋体" w:cs="宋体"/>
                <w:color w:val="auto"/>
                <w:sz w:val="21"/>
                <w:szCs w:val="21"/>
                <w:highlight w:val="none"/>
                <w:lang w:val="en-US" w:eastAsia="zh-CN"/>
              </w:rPr>
              <w:t>及其他费用</w:t>
            </w:r>
          </w:p>
        </w:tc>
        <w:tc>
          <w:tcPr>
            <w:tcW w:w="6672" w:type="dxa"/>
            <w:noWrap w:val="0"/>
            <w:vAlign w:val="center"/>
          </w:tcPr>
          <w:p w14:paraId="0DE9D365">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代理服务费金额：</w:t>
            </w:r>
            <w:r>
              <w:rPr>
                <w:rFonts w:hint="eastAsia" w:ascii="宋体" w:hAnsi="宋体" w:cs="宋体"/>
                <w:color w:val="auto"/>
                <w:sz w:val="21"/>
                <w:szCs w:val="21"/>
                <w:highlight w:val="none"/>
                <w:lang w:val="en-US" w:eastAsia="zh-CN"/>
              </w:rPr>
              <w:t>2000</w:t>
            </w:r>
            <w:r>
              <w:rPr>
                <w:rFonts w:hint="eastAsia" w:ascii="宋体" w:hAnsi="宋体" w:eastAsia="宋体" w:cs="宋体"/>
                <w:color w:val="auto"/>
                <w:sz w:val="21"/>
                <w:szCs w:val="21"/>
                <w:highlight w:val="none"/>
              </w:rPr>
              <w:t>元；</w:t>
            </w:r>
            <w:r>
              <w:rPr>
                <w:rFonts w:hint="eastAsia" w:ascii="宋体" w:hAnsi="宋体" w:cs="宋体"/>
                <w:color w:val="auto"/>
                <w:sz w:val="21"/>
                <w:szCs w:val="21"/>
                <w:highlight w:val="none"/>
                <w:lang w:val="en-US" w:eastAsia="zh-CN"/>
              </w:rPr>
              <w:t>专家评审</w:t>
            </w:r>
            <w:r>
              <w:rPr>
                <w:rFonts w:hint="eastAsia" w:ascii="宋体" w:hAnsi="宋体" w:eastAsia="宋体" w:cs="宋体"/>
                <w:color w:val="auto"/>
                <w:sz w:val="21"/>
                <w:szCs w:val="21"/>
                <w:highlight w:val="none"/>
                <w:lang w:val="en-US" w:eastAsia="zh-CN"/>
              </w:rPr>
              <w:t>费用以实际发生费用为准。</w:t>
            </w:r>
          </w:p>
          <w:p w14:paraId="0E8D1C9D">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支付主体：</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rPr>
              <w:t>。</w:t>
            </w:r>
          </w:p>
        </w:tc>
      </w:tr>
      <w:tr w14:paraId="29412D6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1B7ECF6E">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15.4</w:t>
            </w:r>
          </w:p>
        </w:tc>
        <w:tc>
          <w:tcPr>
            <w:tcW w:w="2508" w:type="dxa"/>
            <w:noWrap w:val="0"/>
            <w:vAlign w:val="center"/>
          </w:tcPr>
          <w:p w14:paraId="2A9FA4AC">
            <w:pPr>
              <w:pStyle w:val="20"/>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eastAsia="zh-CN"/>
              </w:rPr>
              <w:t>招标人</w:t>
            </w:r>
            <w:r>
              <w:rPr>
                <w:rFonts w:hint="eastAsia" w:ascii="宋体" w:hAnsi="宋体" w:eastAsia="宋体" w:cs="宋体"/>
                <w:color w:val="auto"/>
                <w:sz w:val="21"/>
                <w:szCs w:val="21"/>
                <w:highlight w:val="none"/>
              </w:rPr>
              <w:t>澄清的方式</w:t>
            </w:r>
          </w:p>
        </w:tc>
        <w:tc>
          <w:tcPr>
            <w:tcW w:w="6672" w:type="dxa"/>
            <w:noWrap w:val="0"/>
            <w:vAlign w:val="center"/>
          </w:tcPr>
          <w:p w14:paraId="01EC2342">
            <w:pPr>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招标人将</w:t>
            </w:r>
            <w:r>
              <w:rPr>
                <w:rFonts w:hint="eastAsia" w:ascii="宋体" w:hAnsi="宋体" w:eastAsia="宋体" w:cs="宋体"/>
                <w:b/>
                <w:bCs/>
                <w:color w:val="auto"/>
                <w:sz w:val="21"/>
                <w:szCs w:val="21"/>
                <w:highlight w:val="none"/>
                <w:lang w:val="en-US" w:eastAsia="zh-CN"/>
              </w:rPr>
              <w:t>于202</w:t>
            </w:r>
            <w:r>
              <w:rPr>
                <w:rFonts w:hint="eastAsia" w:ascii="宋体" w:hAnsi="宋体" w:cs="宋体"/>
                <w:b/>
                <w:bCs/>
                <w:color w:val="auto"/>
                <w:sz w:val="21"/>
                <w:szCs w:val="21"/>
                <w:highlight w:val="none"/>
                <w:lang w:val="en-US" w:eastAsia="zh-CN"/>
              </w:rPr>
              <w:t>5</w:t>
            </w:r>
            <w:r>
              <w:rPr>
                <w:rFonts w:hint="eastAsia" w:ascii="宋体" w:hAnsi="宋体" w:eastAsia="宋体" w:cs="宋体"/>
                <w:b/>
                <w:bCs/>
                <w:color w:val="auto"/>
                <w:sz w:val="21"/>
                <w:szCs w:val="21"/>
                <w:highlight w:val="none"/>
                <w:lang w:val="en-US" w:eastAsia="zh-CN"/>
              </w:rPr>
              <w:t>年</w:t>
            </w:r>
            <w:r>
              <w:rPr>
                <w:rFonts w:hint="eastAsia" w:ascii="宋体" w:hAnsi="宋体" w:cs="宋体"/>
                <w:b/>
                <w:bCs/>
                <w:color w:val="auto"/>
                <w:sz w:val="21"/>
                <w:szCs w:val="21"/>
                <w:highlight w:val="none"/>
                <w:lang w:val="en-US" w:eastAsia="zh-CN"/>
              </w:rPr>
              <w:t>6</w:t>
            </w:r>
            <w:r>
              <w:rPr>
                <w:rFonts w:hint="eastAsia" w:ascii="宋体" w:hAnsi="宋体" w:eastAsia="宋体" w:cs="宋体"/>
                <w:b/>
                <w:bCs/>
                <w:color w:val="auto"/>
                <w:sz w:val="21"/>
                <w:szCs w:val="21"/>
                <w:highlight w:val="none"/>
                <w:lang w:val="en-US" w:eastAsia="zh-CN"/>
              </w:rPr>
              <w:t>月</w:t>
            </w:r>
            <w:r>
              <w:rPr>
                <w:rFonts w:hint="eastAsia" w:ascii="宋体" w:hAnsi="宋体" w:cs="宋体"/>
                <w:b/>
                <w:bCs/>
                <w:color w:val="auto"/>
                <w:sz w:val="21"/>
                <w:szCs w:val="21"/>
                <w:highlight w:val="none"/>
                <w:lang w:val="en-US" w:eastAsia="zh-CN"/>
              </w:rPr>
              <w:t>5</w:t>
            </w:r>
            <w:r>
              <w:rPr>
                <w:rFonts w:hint="eastAsia" w:ascii="宋体" w:hAnsi="宋体" w:eastAsia="宋体" w:cs="宋体"/>
                <w:b/>
                <w:bCs/>
                <w:color w:val="auto"/>
                <w:sz w:val="21"/>
                <w:szCs w:val="21"/>
                <w:highlight w:val="none"/>
                <w:lang w:val="en-US" w:eastAsia="zh-CN"/>
              </w:rPr>
              <w:t>日</w:t>
            </w:r>
            <w:r>
              <w:rPr>
                <w:rFonts w:hint="eastAsia" w:ascii="宋体" w:hAnsi="宋体" w:cs="宋体"/>
                <w:b/>
                <w:bCs/>
                <w:color w:val="auto"/>
                <w:sz w:val="21"/>
                <w:szCs w:val="21"/>
                <w:highlight w:val="none"/>
                <w:lang w:val="en-US" w:eastAsia="zh-CN"/>
              </w:rPr>
              <w:t>17</w:t>
            </w:r>
            <w:r>
              <w:rPr>
                <w:rFonts w:hint="eastAsia" w:ascii="宋体" w:hAnsi="宋体" w:eastAsia="宋体" w:cs="宋体"/>
                <w:b/>
                <w:bCs/>
                <w:color w:val="auto"/>
                <w:sz w:val="21"/>
                <w:szCs w:val="21"/>
                <w:highlight w:val="none"/>
                <w:lang w:val="en-US" w:eastAsia="zh-CN"/>
              </w:rPr>
              <w:t>时</w:t>
            </w:r>
            <w:r>
              <w:rPr>
                <w:rFonts w:hint="eastAsia" w:ascii="宋体" w:hAnsi="宋体" w:eastAsia="宋体" w:cs="宋体"/>
                <w:color w:val="auto"/>
                <w:sz w:val="21"/>
                <w:szCs w:val="21"/>
                <w:highlight w:val="none"/>
                <w:lang w:val="en-US" w:eastAsia="zh-CN"/>
              </w:rPr>
              <w:t>后，</w:t>
            </w:r>
            <w:r>
              <w:rPr>
                <w:rFonts w:hint="eastAsia" w:ascii="宋体" w:hAnsi="宋体" w:eastAsia="宋体" w:cs="宋体"/>
                <w:color w:val="auto"/>
                <w:sz w:val="21"/>
                <w:szCs w:val="21"/>
                <w:highlight w:val="none"/>
              </w:rPr>
              <w:t>以更正公告形式</w:t>
            </w:r>
            <w:r>
              <w:rPr>
                <w:rFonts w:hint="eastAsia" w:ascii="宋体" w:hAnsi="宋体" w:eastAsia="宋体" w:cs="宋体"/>
                <w:color w:val="auto"/>
                <w:sz w:val="21"/>
                <w:szCs w:val="21"/>
                <w:highlight w:val="none"/>
                <w:lang w:val="en-US" w:eastAsia="zh-CN"/>
              </w:rPr>
              <w:t>在滁州扬子工业投资集团有限公司官网（https://czyzgtjt.com/）、滁州市城投工程咨询管理有限公司官网（https://www.czctgczx.com/）予以公布。</w:t>
            </w:r>
          </w:p>
        </w:tc>
      </w:tr>
      <w:tr w14:paraId="3A6E123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31170B05">
            <w:pPr>
              <w:pStyle w:val="20"/>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22.1</w:t>
            </w:r>
          </w:p>
        </w:tc>
        <w:tc>
          <w:tcPr>
            <w:tcW w:w="2508" w:type="dxa"/>
            <w:noWrap w:val="0"/>
            <w:vAlign w:val="center"/>
          </w:tcPr>
          <w:p w14:paraId="25281D9A">
            <w:pPr>
              <w:pStyle w:val="20"/>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w:t>
            </w:r>
          </w:p>
        </w:tc>
        <w:tc>
          <w:tcPr>
            <w:tcW w:w="6672" w:type="dxa"/>
            <w:noWrap w:val="0"/>
            <w:vAlign w:val="center"/>
          </w:tcPr>
          <w:p w14:paraId="3E554A3E">
            <w:pPr>
              <w:pStyle w:val="20"/>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60</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日历天（从投标截止之日算起）。在此期限内，凡符合本招标文件要求的投标文件均保持有效。</w:t>
            </w:r>
          </w:p>
        </w:tc>
      </w:tr>
      <w:tr w14:paraId="4519985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020" w:type="dxa"/>
            <w:noWrap w:val="0"/>
            <w:vAlign w:val="center"/>
          </w:tcPr>
          <w:p w14:paraId="2B29037D">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w:t>
            </w:r>
          </w:p>
        </w:tc>
        <w:tc>
          <w:tcPr>
            <w:tcW w:w="2508" w:type="dxa"/>
            <w:noWrap w:val="0"/>
            <w:vAlign w:val="center"/>
          </w:tcPr>
          <w:p w14:paraId="4A17999F">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投标保证金</w:t>
            </w:r>
          </w:p>
        </w:tc>
        <w:tc>
          <w:tcPr>
            <w:tcW w:w="6672" w:type="dxa"/>
            <w:noWrap w:val="0"/>
            <w:vAlign w:val="top"/>
          </w:tcPr>
          <w:p w14:paraId="1FFAD352">
            <w:pPr>
              <w:keepNext w:val="0"/>
              <w:keepLines w:val="0"/>
              <w:pageBreakBefore w:val="0"/>
              <w:widowControl/>
              <w:shd w:val="clear" w:color="auto" w:fill="FFFFFF"/>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不收取</w:t>
            </w:r>
          </w:p>
        </w:tc>
      </w:tr>
      <w:tr w14:paraId="277ABA7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18" w:hRule="atLeast"/>
          <w:jc w:val="center"/>
        </w:trPr>
        <w:tc>
          <w:tcPr>
            <w:tcW w:w="1020" w:type="dxa"/>
            <w:noWrap w:val="0"/>
            <w:vAlign w:val="center"/>
          </w:tcPr>
          <w:p w14:paraId="4AA4CCB3">
            <w:pPr>
              <w:pStyle w:val="20"/>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24.1</w:t>
            </w:r>
          </w:p>
        </w:tc>
        <w:tc>
          <w:tcPr>
            <w:tcW w:w="2508" w:type="dxa"/>
            <w:noWrap w:val="0"/>
            <w:vAlign w:val="center"/>
          </w:tcPr>
          <w:p w14:paraId="6F00881E">
            <w:pPr>
              <w:pStyle w:val="20"/>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投标文件数量</w:t>
            </w:r>
          </w:p>
        </w:tc>
        <w:tc>
          <w:tcPr>
            <w:tcW w:w="6672" w:type="dxa"/>
            <w:noWrap w:val="0"/>
            <w:vAlign w:val="center"/>
          </w:tcPr>
          <w:p w14:paraId="7765310A">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加密电子投标文件应在投标截止时间前通过登录新点电子交易平台【滁州专区】上传投标文件。</w:t>
            </w:r>
          </w:p>
          <w:p w14:paraId="7D86F341">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（投标人中标后须递交与网上电子投标文件完全一致的纸质版投标文件，并按要求加盖单位章；份数：正本 1 份，副本2份；中标人领取中标通知书时，一并递交给代理机构）。</w:t>
            </w:r>
          </w:p>
        </w:tc>
      </w:tr>
      <w:tr w14:paraId="42C6F36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72F0B69E">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24.2</w:t>
            </w:r>
          </w:p>
        </w:tc>
        <w:tc>
          <w:tcPr>
            <w:tcW w:w="2508" w:type="dxa"/>
            <w:noWrap w:val="0"/>
            <w:vAlign w:val="center"/>
          </w:tcPr>
          <w:p w14:paraId="08F5FCC9">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签字或盖章要求</w:t>
            </w:r>
          </w:p>
        </w:tc>
        <w:tc>
          <w:tcPr>
            <w:tcW w:w="6672" w:type="dxa"/>
            <w:noWrap w:val="0"/>
            <w:vAlign w:val="center"/>
          </w:tcPr>
          <w:p w14:paraId="6CD65EB5">
            <w:pPr>
              <w:keepNext w:val="0"/>
              <w:keepLines w:val="0"/>
              <w:pageBreakBefore w:val="0"/>
              <w:widowControl/>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b w:val="0"/>
                <w:bCs/>
                <w:color w:val="auto"/>
                <w:kern w:val="0"/>
                <w:sz w:val="21"/>
                <w:szCs w:val="21"/>
                <w:highlight w:val="none"/>
              </w:rPr>
              <w:t>投标文件须按格式文件要求签字或盖章，否则经评委会一致认定后，按照无效投标处理。</w:t>
            </w:r>
          </w:p>
        </w:tc>
      </w:tr>
      <w:tr w14:paraId="271CE27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73" w:hRule="atLeast"/>
          <w:jc w:val="center"/>
        </w:trPr>
        <w:tc>
          <w:tcPr>
            <w:tcW w:w="1020" w:type="dxa"/>
            <w:noWrap w:val="0"/>
            <w:vAlign w:val="center"/>
          </w:tcPr>
          <w:p w14:paraId="659754A4">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25.1</w:t>
            </w:r>
          </w:p>
        </w:tc>
        <w:tc>
          <w:tcPr>
            <w:tcW w:w="2508" w:type="dxa"/>
            <w:noWrap w:val="0"/>
            <w:vAlign w:val="center"/>
          </w:tcPr>
          <w:p w14:paraId="1B1DA8F5">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投标文件提交截止时间</w:t>
            </w:r>
          </w:p>
        </w:tc>
        <w:tc>
          <w:tcPr>
            <w:tcW w:w="6672" w:type="dxa"/>
            <w:noWrap w:val="0"/>
            <w:vAlign w:val="center"/>
          </w:tcPr>
          <w:p w14:paraId="120DD331">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202</w:t>
            </w:r>
            <w:r>
              <w:rPr>
                <w:rFonts w:hint="eastAsia" w:ascii="宋体" w:hAnsi="宋体" w:cs="宋体"/>
                <w:b/>
                <w:bCs/>
                <w:color w:val="auto"/>
                <w:sz w:val="21"/>
                <w:szCs w:val="21"/>
                <w:highlight w:val="none"/>
                <w:lang w:val="en-US" w:eastAsia="zh-CN"/>
              </w:rPr>
              <w:t>5</w:t>
            </w:r>
            <w:r>
              <w:rPr>
                <w:rFonts w:hint="eastAsia" w:ascii="宋体" w:hAnsi="宋体" w:eastAsia="宋体" w:cs="宋体"/>
                <w:b/>
                <w:bCs/>
                <w:color w:val="auto"/>
                <w:sz w:val="21"/>
                <w:szCs w:val="21"/>
                <w:highlight w:val="none"/>
              </w:rPr>
              <w:t>年</w:t>
            </w:r>
            <w:r>
              <w:rPr>
                <w:rFonts w:hint="eastAsia" w:ascii="宋体" w:hAnsi="宋体" w:cs="宋体"/>
                <w:b/>
                <w:bCs/>
                <w:color w:val="auto"/>
                <w:sz w:val="21"/>
                <w:szCs w:val="21"/>
                <w:highlight w:val="none"/>
                <w:lang w:val="en-US" w:eastAsia="zh-CN"/>
              </w:rPr>
              <w:t>6</w:t>
            </w:r>
            <w:r>
              <w:rPr>
                <w:rFonts w:hint="eastAsia" w:ascii="宋体" w:hAnsi="宋体" w:eastAsia="宋体" w:cs="宋体"/>
                <w:b/>
                <w:bCs/>
                <w:color w:val="auto"/>
                <w:sz w:val="21"/>
                <w:szCs w:val="21"/>
                <w:highlight w:val="none"/>
              </w:rPr>
              <w:t>月</w:t>
            </w:r>
            <w:r>
              <w:rPr>
                <w:rFonts w:hint="eastAsia" w:ascii="宋体" w:hAnsi="宋体" w:cs="宋体"/>
                <w:b/>
                <w:bCs/>
                <w:color w:val="auto"/>
                <w:sz w:val="21"/>
                <w:szCs w:val="21"/>
                <w:highlight w:val="none"/>
                <w:lang w:val="en-US" w:eastAsia="zh-CN"/>
              </w:rPr>
              <w:t>9</w:t>
            </w:r>
            <w:r>
              <w:rPr>
                <w:rFonts w:hint="eastAsia" w:ascii="宋体" w:hAnsi="宋体" w:eastAsia="宋体" w:cs="宋体"/>
                <w:b/>
                <w:bCs/>
                <w:color w:val="auto"/>
                <w:sz w:val="21"/>
                <w:szCs w:val="21"/>
                <w:highlight w:val="none"/>
              </w:rPr>
              <w:t>日</w:t>
            </w:r>
            <w:r>
              <w:rPr>
                <w:rFonts w:hint="eastAsia" w:ascii="宋体" w:hAnsi="宋体" w:cs="宋体"/>
                <w:b/>
                <w:bCs/>
                <w:color w:val="auto"/>
                <w:sz w:val="21"/>
                <w:szCs w:val="21"/>
                <w:highlight w:val="none"/>
                <w:lang w:val="en-US" w:eastAsia="zh-CN"/>
              </w:rPr>
              <w:t>9</w:t>
            </w:r>
            <w:r>
              <w:rPr>
                <w:rFonts w:hint="eastAsia" w:ascii="宋体" w:hAnsi="宋体" w:eastAsia="宋体" w:cs="宋体"/>
                <w:b/>
                <w:bCs/>
                <w:color w:val="auto"/>
                <w:sz w:val="21"/>
                <w:szCs w:val="21"/>
                <w:highlight w:val="none"/>
              </w:rPr>
              <w:t>时</w:t>
            </w:r>
            <w:r>
              <w:rPr>
                <w:rFonts w:hint="eastAsia" w:ascii="宋体" w:hAnsi="宋体" w:cs="宋体"/>
                <w:b/>
                <w:bCs/>
                <w:color w:val="auto"/>
                <w:sz w:val="21"/>
                <w:szCs w:val="21"/>
                <w:highlight w:val="none"/>
                <w:lang w:val="en-US" w:eastAsia="zh-CN"/>
              </w:rPr>
              <w:t>00</w:t>
            </w:r>
            <w:r>
              <w:rPr>
                <w:rFonts w:hint="eastAsia" w:ascii="宋体" w:hAnsi="宋体" w:eastAsia="宋体" w:cs="宋体"/>
                <w:b/>
                <w:bCs/>
                <w:color w:val="auto"/>
                <w:sz w:val="21"/>
                <w:szCs w:val="21"/>
                <w:highlight w:val="none"/>
              </w:rPr>
              <w:t>分（北京时间）</w:t>
            </w:r>
          </w:p>
        </w:tc>
      </w:tr>
      <w:tr w14:paraId="38D19F8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3" w:hRule="atLeast"/>
          <w:jc w:val="center"/>
        </w:trPr>
        <w:tc>
          <w:tcPr>
            <w:tcW w:w="1020" w:type="dxa"/>
            <w:noWrap w:val="0"/>
            <w:vAlign w:val="center"/>
          </w:tcPr>
          <w:p w14:paraId="78FD8872">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26.1</w:t>
            </w:r>
          </w:p>
        </w:tc>
        <w:tc>
          <w:tcPr>
            <w:tcW w:w="2508" w:type="dxa"/>
            <w:noWrap w:val="0"/>
            <w:vAlign w:val="center"/>
          </w:tcPr>
          <w:p w14:paraId="04E841CF">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是否退还投标文件</w:t>
            </w:r>
          </w:p>
        </w:tc>
        <w:tc>
          <w:tcPr>
            <w:tcW w:w="6672" w:type="dxa"/>
            <w:noWrap w:val="0"/>
            <w:vAlign w:val="center"/>
          </w:tcPr>
          <w:p w14:paraId="76F073E4">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p>
        </w:tc>
      </w:tr>
      <w:tr w14:paraId="6C63DD5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67B8FE24">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27.1</w:t>
            </w:r>
          </w:p>
        </w:tc>
        <w:tc>
          <w:tcPr>
            <w:tcW w:w="2508" w:type="dxa"/>
            <w:noWrap w:val="0"/>
            <w:vAlign w:val="center"/>
          </w:tcPr>
          <w:p w14:paraId="7DA0A024">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开标时间及地点</w:t>
            </w:r>
          </w:p>
        </w:tc>
        <w:tc>
          <w:tcPr>
            <w:tcW w:w="6672" w:type="dxa"/>
            <w:noWrap w:val="0"/>
            <w:vAlign w:val="center"/>
          </w:tcPr>
          <w:p w14:paraId="7272B6DE">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见第一章“招标公告”</w:t>
            </w:r>
          </w:p>
          <w:p w14:paraId="0B91BD3A">
            <w:pPr>
              <w:keepNext w:val="0"/>
              <w:keepLines w:val="0"/>
              <w:pageBreakBefore w:val="0"/>
              <w:kinsoku/>
              <w:wordWrap/>
              <w:overflowPunct/>
              <w:autoSpaceDE/>
              <w:autoSpaceDN/>
              <w:bidi w:val="0"/>
              <w:adjustRightInd w:val="0"/>
              <w:snapToGrid w:val="0"/>
              <w:spacing w:line="500" w:lineRule="exact"/>
              <w:textAlignment w:val="auto"/>
              <w:rPr>
                <w:rFonts w:hint="eastAsia"/>
                <w:color w:val="auto"/>
                <w:highlight w:val="none"/>
              </w:rPr>
            </w:pPr>
            <w:r>
              <w:rPr>
                <w:rFonts w:hint="eastAsia" w:ascii="宋体" w:hAnsi="宋体" w:eastAsia="宋体" w:cs="宋体"/>
                <w:color w:val="auto"/>
                <w:sz w:val="21"/>
                <w:szCs w:val="21"/>
                <w:highlight w:val="none"/>
              </w:rPr>
              <w:t>解密时间：解密程序开始后</w:t>
            </w:r>
            <w:r>
              <w:rPr>
                <w:rFonts w:hint="eastAsia" w:ascii="宋体" w:hAnsi="宋体" w:eastAsia="宋体" w:cs="宋体"/>
                <w:color w:val="auto"/>
                <w:sz w:val="21"/>
                <w:szCs w:val="21"/>
                <w:highlight w:val="none"/>
                <w:u w:val="single"/>
                <w:lang w:val="en-US" w:eastAsia="zh-CN"/>
              </w:rPr>
              <w:t>30</w:t>
            </w:r>
            <w:r>
              <w:rPr>
                <w:rFonts w:hint="eastAsia" w:ascii="宋体" w:hAnsi="宋体" w:eastAsia="宋体" w:cs="宋体"/>
                <w:color w:val="auto"/>
                <w:sz w:val="21"/>
                <w:szCs w:val="21"/>
                <w:highlight w:val="none"/>
              </w:rPr>
              <w:t>分钟内</w:t>
            </w:r>
            <w:r>
              <w:rPr>
                <w:rFonts w:hint="eastAsia" w:ascii="宋体" w:hAnsi="宋体" w:eastAsia="宋体" w:cs="宋体"/>
                <w:bCs/>
                <w:snapToGrid w:val="0"/>
                <w:color w:val="auto"/>
                <w:kern w:val="0"/>
                <w:sz w:val="21"/>
                <w:szCs w:val="21"/>
                <w:highlight w:val="none"/>
              </w:rPr>
              <w:t>，</w:t>
            </w:r>
            <w:r>
              <w:rPr>
                <w:rFonts w:hint="eastAsia" w:ascii="宋体" w:hAnsi="宋体" w:eastAsia="宋体" w:cs="宋体"/>
                <w:b/>
                <w:bCs/>
                <w:color w:val="auto"/>
                <w:sz w:val="21"/>
                <w:szCs w:val="21"/>
                <w:highlight w:val="none"/>
              </w:rPr>
              <w:t>解密时间为</w:t>
            </w:r>
            <w:r>
              <w:rPr>
                <w:rFonts w:hint="eastAsia" w:ascii="宋体" w:hAnsi="宋体" w:eastAsia="宋体" w:cs="宋体"/>
                <w:b/>
                <w:bCs/>
                <w:color w:val="auto"/>
                <w:sz w:val="21"/>
                <w:szCs w:val="21"/>
                <w:highlight w:val="none"/>
                <w:u w:val="single"/>
                <w:lang w:val="en-US" w:eastAsia="zh-CN"/>
              </w:rPr>
              <w:t>2025</w:t>
            </w:r>
            <w:r>
              <w:rPr>
                <w:rFonts w:hint="eastAsia" w:ascii="宋体" w:hAnsi="宋体" w:eastAsia="宋体" w:cs="宋体"/>
                <w:b/>
                <w:bCs/>
                <w:color w:val="auto"/>
                <w:sz w:val="21"/>
                <w:szCs w:val="21"/>
                <w:highlight w:val="none"/>
              </w:rPr>
              <w:t>年</w:t>
            </w:r>
            <w:r>
              <w:rPr>
                <w:rFonts w:hint="eastAsia" w:ascii="宋体" w:hAnsi="宋体" w:cs="宋体"/>
                <w:b/>
                <w:bCs/>
                <w:color w:val="auto"/>
                <w:sz w:val="21"/>
                <w:szCs w:val="21"/>
                <w:highlight w:val="none"/>
                <w:u w:val="single"/>
                <w:lang w:val="en-US" w:eastAsia="zh-CN"/>
              </w:rPr>
              <w:t xml:space="preserve"> 6 </w:t>
            </w:r>
            <w:r>
              <w:rPr>
                <w:rFonts w:hint="eastAsia" w:ascii="宋体" w:hAnsi="宋体" w:eastAsia="宋体" w:cs="宋体"/>
                <w:b/>
                <w:bCs/>
                <w:color w:val="auto"/>
                <w:sz w:val="21"/>
                <w:szCs w:val="21"/>
                <w:highlight w:val="none"/>
              </w:rPr>
              <w:t>月</w:t>
            </w:r>
            <w:r>
              <w:rPr>
                <w:rFonts w:hint="eastAsia" w:ascii="宋体" w:hAnsi="宋体" w:cs="宋体"/>
                <w:b/>
                <w:bCs/>
                <w:color w:val="auto"/>
                <w:sz w:val="21"/>
                <w:szCs w:val="21"/>
                <w:highlight w:val="none"/>
                <w:u w:val="single"/>
                <w:lang w:val="en-US" w:eastAsia="zh-CN"/>
              </w:rPr>
              <w:t xml:space="preserve"> 9 </w:t>
            </w:r>
            <w:r>
              <w:rPr>
                <w:rFonts w:hint="eastAsia" w:ascii="宋体" w:hAnsi="宋体" w:eastAsia="宋体" w:cs="宋体"/>
                <w:b/>
                <w:bCs/>
                <w:color w:val="auto"/>
                <w:sz w:val="21"/>
                <w:szCs w:val="21"/>
                <w:highlight w:val="none"/>
              </w:rPr>
              <w:t>日</w:t>
            </w:r>
            <w:r>
              <w:rPr>
                <w:rFonts w:hint="eastAsia" w:ascii="宋体" w:hAnsi="宋体" w:eastAsia="宋体" w:cs="宋体"/>
                <w:b/>
                <w:bCs/>
                <w:color w:val="auto"/>
                <w:sz w:val="21"/>
                <w:szCs w:val="21"/>
                <w:highlight w:val="none"/>
                <w:u w:val="single"/>
                <w:lang w:val="en-US" w:eastAsia="zh-CN"/>
              </w:rPr>
              <w:t>9</w:t>
            </w:r>
            <w:r>
              <w:rPr>
                <w:rFonts w:hint="eastAsia" w:ascii="宋体" w:hAnsi="宋体" w:eastAsia="宋体" w:cs="宋体"/>
                <w:b/>
                <w:bCs/>
                <w:color w:val="auto"/>
                <w:sz w:val="21"/>
                <w:szCs w:val="21"/>
                <w:highlight w:val="none"/>
              </w:rPr>
              <w:t>时</w:t>
            </w:r>
            <w:r>
              <w:rPr>
                <w:rFonts w:hint="eastAsia" w:ascii="宋体" w:hAnsi="宋体" w:eastAsia="宋体" w:cs="宋体"/>
                <w:b/>
                <w:bCs/>
                <w:color w:val="auto"/>
                <w:sz w:val="21"/>
                <w:szCs w:val="21"/>
                <w:highlight w:val="none"/>
                <w:u w:val="single"/>
                <w:lang w:val="en-US" w:eastAsia="zh-CN"/>
              </w:rPr>
              <w:t>00</w:t>
            </w:r>
            <w:r>
              <w:rPr>
                <w:rFonts w:hint="eastAsia" w:ascii="宋体" w:hAnsi="宋体" w:eastAsia="宋体" w:cs="宋体"/>
                <w:b/>
                <w:bCs/>
                <w:color w:val="auto"/>
                <w:sz w:val="21"/>
                <w:szCs w:val="21"/>
                <w:highlight w:val="none"/>
              </w:rPr>
              <w:t>分至</w:t>
            </w:r>
            <w:r>
              <w:rPr>
                <w:rFonts w:hint="eastAsia" w:ascii="宋体" w:hAnsi="宋体" w:eastAsia="宋体" w:cs="宋体"/>
                <w:b/>
                <w:bCs/>
                <w:color w:val="auto"/>
                <w:sz w:val="21"/>
                <w:szCs w:val="21"/>
                <w:highlight w:val="none"/>
                <w:u w:val="single"/>
                <w:lang w:val="en-US" w:eastAsia="zh-CN"/>
              </w:rPr>
              <w:t>2025</w:t>
            </w:r>
            <w:r>
              <w:rPr>
                <w:rFonts w:hint="eastAsia" w:ascii="宋体" w:hAnsi="宋体" w:eastAsia="宋体" w:cs="宋体"/>
                <w:b/>
                <w:bCs/>
                <w:color w:val="auto"/>
                <w:sz w:val="21"/>
                <w:szCs w:val="21"/>
                <w:highlight w:val="none"/>
              </w:rPr>
              <w:t>年</w:t>
            </w:r>
            <w:r>
              <w:rPr>
                <w:rFonts w:hint="eastAsia" w:ascii="宋体" w:hAnsi="宋体" w:cs="宋体"/>
                <w:b/>
                <w:bCs/>
                <w:color w:val="auto"/>
                <w:sz w:val="21"/>
                <w:szCs w:val="21"/>
                <w:highlight w:val="none"/>
                <w:u w:val="single"/>
                <w:lang w:val="en-US" w:eastAsia="zh-CN"/>
              </w:rPr>
              <w:t xml:space="preserve"> 6 </w:t>
            </w:r>
            <w:r>
              <w:rPr>
                <w:rFonts w:hint="eastAsia" w:ascii="宋体" w:hAnsi="宋体" w:eastAsia="宋体" w:cs="宋体"/>
                <w:b/>
                <w:bCs/>
                <w:color w:val="auto"/>
                <w:sz w:val="21"/>
                <w:szCs w:val="21"/>
                <w:highlight w:val="none"/>
              </w:rPr>
              <w:t>月</w:t>
            </w:r>
            <w:r>
              <w:rPr>
                <w:rFonts w:hint="eastAsia" w:ascii="宋体" w:hAnsi="宋体" w:cs="宋体"/>
                <w:b/>
                <w:bCs/>
                <w:color w:val="auto"/>
                <w:sz w:val="21"/>
                <w:szCs w:val="21"/>
                <w:highlight w:val="none"/>
                <w:u w:val="single"/>
                <w:lang w:val="en-US" w:eastAsia="zh-CN"/>
              </w:rPr>
              <w:t xml:space="preserve"> 9 </w:t>
            </w:r>
            <w:r>
              <w:rPr>
                <w:rFonts w:hint="eastAsia" w:ascii="宋体" w:hAnsi="宋体" w:eastAsia="宋体" w:cs="宋体"/>
                <w:b/>
                <w:bCs/>
                <w:color w:val="auto"/>
                <w:sz w:val="21"/>
                <w:szCs w:val="21"/>
                <w:highlight w:val="none"/>
              </w:rPr>
              <w:t>日</w:t>
            </w:r>
            <w:r>
              <w:rPr>
                <w:rFonts w:hint="eastAsia" w:ascii="宋体" w:hAnsi="宋体" w:eastAsia="宋体" w:cs="宋体"/>
                <w:b/>
                <w:bCs/>
                <w:color w:val="auto"/>
                <w:sz w:val="21"/>
                <w:szCs w:val="21"/>
                <w:highlight w:val="none"/>
                <w:u w:val="single"/>
                <w:lang w:val="en-US" w:eastAsia="zh-CN"/>
              </w:rPr>
              <w:t>9</w:t>
            </w:r>
            <w:r>
              <w:rPr>
                <w:rFonts w:hint="eastAsia" w:ascii="宋体" w:hAnsi="宋体" w:eastAsia="宋体" w:cs="宋体"/>
                <w:b/>
                <w:bCs/>
                <w:color w:val="auto"/>
                <w:sz w:val="21"/>
                <w:szCs w:val="21"/>
                <w:highlight w:val="none"/>
              </w:rPr>
              <w:t>时</w:t>
            </w:r>
            <w:r>
              <w:rPr>
                <w:rFonts w:hint="eastAsia" w:ascii="宋体" w:hAnsi="宋体" w:eastAsia="宋体" w:cs="宋体"/>
                <w:b/>
                <w:bCs/>
                <w:color w:val="auto"/>
                <w:sz w:val="21"/>
                <w:szCs w:val="21"/>
                <w:highlight w:val="none"/>
                <w:u w:val="single"/>
                <w:lang w:val="en-US" w:eastAsia="zh-CN"/>
              </w:rPr>
              <w:t>30</w:t>
            </w:r>
            <w:r>
              <w:rPr>
                <w:rFonts w:hint="eastAsia" w:ascii="宋体" w:hAnsi="宋体" w:eastAsia="宋体" w:cs="宋体"/>
                <w:b/>
                <w:bCs/>
                <w:color w:val="auto"/>
                <w:sz w:val="21"/>
                <w:szCs w:val="21"/>
                <w:highlight w:val="none"/>
              </w:rPr>
              <w:t>分</w:t>
            </w:r>
            <w:r>
              <w:rPr>
                <w:rFonts w:hint="eastAsia" w:ascii="宋体" w:hAnsi="宋体" w:eastAsia="宋体" w:cs="宋体"/>
                <w:bCs/>
                <w:snapToGrid w:val="0"/>
                <w:color w:val="auto"/>
                <w:kern w:val="0"/>
                <w:sz w:val="21"/>
                <w:szCs w:val="21"/>
                <w:highlight w:val="none"/>
              </w:rPr>
              <w:t>（以电子交易系统解密倒计时为准）</w:t>
            </w:r>
            <w:r>
              <w:rPr>
                <w:rFonts w:hint="eastAsia" w:ascii="宋体" w:hAnsi="宋体" w:eastAsia="宋体" w:cs="宋体"/>
                <w:color w:val="auto"/>
                <w:sz w:val="21"/>
                <w:szCs w:val="21"/>
                <w:highlight w:val="none"/>
              </w:rPr>
              <w:t>。</w:t>
            </w:r>
          </w:p>
        </w:tc>
      </w:tr>
      <w:tr w14:paraId="45A806B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0FA27AD1">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27.3</w:t>
            </w:r>
          </w:p>
        </w:tc>
        <w:tc>
          <w:tcPr>
            <w:tcW w:w="2508" w:type="dxa"/>
            <w:noWrap w:val="0"/>
            <w:vAlign w:val="center"/>
          </w:tcPr>
          <w:p w14:paraId="53226F85">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开标程序</w:t>
            </w:r>
          </w:p>
        </w:tc>
        <w:tc>
          <w:tcPr>
            <w:tcW w:w="6672" w:type="dxa"/>
            <w:noWrap w:val="0"/>
            <w:vAlign w:val="center"/>
          </w:tcPr>
          <w:p w14:paraId="5F0C5340">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开标顺序：</w:t>
            </w:r>
            <w:r>
              <w:rPr>
                <w:rFonts w:hint="eastAsia" w:ascii="宋体" w:hAnsi="宋体" w:eastAsia="宋体" w:cs="宋体"/>
                <w:color w:val="auto"/>
                <w:sz w:val="21"/>
                <w:szCs w:val="21"/>
                <w:highlight w:val="none"/>
                <w:lang w:val="en-US" w:eastAsia="zh-CN"/>
              </w:rPr>
              <w:t>先资格审查</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eastAsia="zh-CN"/>
              </w:rPr>
              <w:t>再</w:t>
            </w:r>
            <w:r>
              <w:rPr>
                <w:rFonts w:hint="eastAsia" w:ascii="宋体" w:hAnsi="宋体" w:eastAsia="宋体" w:cs="宋体"/>
                <w:color w:val="auto"/>
                <w:sz w:val="21"/>
                <w:szCs w:val="21"/>
                <w:highlight w:val="none"/>
                <w:lang w:val="en-US" w:eastAsia="zh-CN"/>
              </w:rPr>
              <w:t>进行评审。</w:t>
            </w:r>
          </w:p>
        </w:tc>
      </w:tr>
      <w:tr w14:paraId="30951C0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4" w:hRule="atLeast"/>
          <w:jc w:val="center"/>
        </w:trPr>
        <w:tc>
          <w:tcPr>
            <w:tcW w:w="1020" w:type="dxa"/>
            <w:noWrap w:val="0"/>
            <w:vAlign w:val="center"/>
          </w:tcPr>
          <w:p w14:paraId="07BB26A2">
            <w:pPr>
              <w:pStyle w:val="20"/>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28.1</w:t>
            </w:r>
          </w:p>
        </w:tc>
        <w:tc>
          <w:tcPr>
            <w:tcW w:w="2508" w:type="dxa"/>
            <w:noWrap w:val="0"/>
            <w:vAlign w:val="center"/>
          </w:tcPr>
          <w:p w14:paraId="606D69F3">
            <w:pPr>
              <w:pStyle w:val="20"/>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评标委员会的组建</w:t>
            </w:r>
          </w:p>
        </w:tc>
        <w:tc>
          <w:tcPr>
            <w:tcW w:w="6672" w:type="dxa"/>
            <w:noWrap w:val="0"/>
            <w:vAlign w:val="top"/>
          </w:tcPr>
          <w:p w14:paraId="04199F92">
            <w:pPr>
              <w:pStyle w:val="20"/>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评标委员会</w:t>
            </w:r>
            <w:r>
              <w:rPr>
                <w:rFonts w:hint="eastAsia" w:ascii="宋体" w:hAnsi="宋体" w:eastAsia="宋体" w:cs="宋体"/>
                <w:color w:val="auto"/>
                <w:sz w:val="21"/>
                <w:szCs w:val="21"/>
                <w:highlight w:val="none"/>
                <w:lang w:val="en-US" w:eastAsia="zh-CN"/>
              </w:rPr>
              <w:t>由招标人组建</w:t>
            </w:r>
            <w:r>
              <w:rPr>
                <w:rFonts w:hint="eastAsia" w:ascii="宋体" w:hAnsi="宋体" w:eastAsia="宋体" w:cs="宋体"/>
                <w:color w:val="auto"/>
                <w:sz w:val="21"/>
                <w:szCs w:val="21"/>
                <w:highlight w:val="none"/>
              </w:rPr>
              <w:t>。</w:t>
            </w:r>
          </w:p>
        </w:tc>
      </w:tr>
      <w:tr w14:paraId="3597CD8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jc w:val="center"/>
        </w:trPr>
        <w:tc>
          <w:tcPr>
            <w:tcW w:w="1020" w:type="dxa"/>
            <w:noWrap w:val="0"/>
            <w:vAlign w:val="center"/>
          </w:tcPr>
          <w:p w14:paraId="62FE4915">
            <w:pPr>
              <w:pStyle w:val="20"/>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30.1.1</w:t>
            </w:r>
          </w:p>
        </w:tc>
        <w:tc>
          <w:tcPr>
            <w:tcW w:w="2508" w:type="dxa"/>
            <w:noWrap w:val="0"/>
            <w:vAlign w:val="center"/>
          </w:tcPr>
          <w:p w14:paraId="1A16FA7C">
            <w:pPr>
              <w:pStyle w:val="20"/>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是否授权评标委员会确定中标候选人</w:t>
            </w:r>
          </w:p>
        </w:tc>
        <w:tc>
          <w:tcPr>
            <w:tcW w:w="6672" w:type="dxa"/>
            <w:noWrap w:val="0"/>
            <w:vAlign w:val="center"/>
          </w:tcPr>
          <w:p w14:paraId="6DEF9F36">
            <w:pPr>
              <w:pStyle w:val="20"/>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是，评标委员会推荐</w:t>
            </w:r>
            <w:r>
              <w:rPr>
                <w:rFonts w:hint="eastAsia" w:ascii="宋体" w:hAnsi="宋体" w:eastAsia="宋体" w:cs="宋体"/>
                <w:color w:val="auto"/>
                <w:sz w:val="21"/>
                <w:szCs w:val="21"/>
                <w:highlight w:val="none"/>
                <w:u w:val="single" w:color="auto"/>
              </w:rPr>
              <w:t xml:space="preserve"> 3</w:t>
            </w:r>
            <w:r>
              <w:rPr>
                <w:rFonts w:hint="eastAsia" w:ascii="宋体" w:hAnsi="宋体" w:eastAsia="宋体" w:cs="宋体"/>
                <w:color w:val="auto"/>
                <w:sz w:val="21"/>
                <w:szCs w:val="21"/>
                <w:highlight w:val="none"/>
              </w:rPr>
              <w:t>名中标候选人。</w:t>
            </w:r>
          </w:p>
        </w:tc>
      </w:tr>
      <w:tr w14:paraId="296024A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6" w:hRule="atLeast"/>
          <w:jc w:val="center"/>
        </w:trPr>
        <w:tc>
          <w:tcPr>
            <w:tcW w:w="1020" w:type="dxa"/>
            <w:noWrap w:val="0"/>
            <w:vAlign w:val="center"/>
          </w:tcPr>
          <w:p w14:paraId="2CFC2FC6">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30.2</w:t>
            </w:r>
          </w:p>
        </w:tc>
        <w:tc>
          <w:tcPr>
            <w:tcW w:w="2508" w:type="dxa"/>
            <w:noWrap w:val="0"/>
            <w:vAlign w:val="center"/>
          </w:tcPr>
          <w:p w14:paraId="3CBCCE1A">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中标通知书</w:t>
            </w:r>
          </w:p>
        </w:tc>
        <w:tc>
          <w:tcPr>
            <w:tcW w:w="6672" w:type="dxa"/>
            <w:noWrap w:val="0"/>
            <w:vAlign w:val="center"/>
          </w:tcPr>
          <w:p w14:paraId="6F8DCB7E">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中标通知书须加盖</w:t>
            </w:r>
            <w:r>
              <w:rPr>
                <w:rFonts w:hint="eastAsia" w:ascii="宋体" w:hAnsi="宋体" w:eastAsia="宋体" w:cs="宋体"/>
                <w:color w:val="auto"/>
                <w:sz w:val="21"/>
                <w:szCs w:val="21"/>
                <w:highlight w:val="none"/>
                <w:lang w:val="en-US" w:eastAsia="zh-CN"/>
              </w:rPr>
              <w:t>招标人及代理机构公章</w:t>
            </w:r>
            <w:r>
              <w:rPr>
                <w:rFonts w:hint="eastAsia" w:ascii="宋体" w:hAnsi="宋体" w:eastAsia="宋体" w:cs="宋体"/>
                <w:color w:val="auto"/>
                <w:sz w:val="21"/>
                <w:szCs w:val="21"/>
                <w:highlight w:val="none"/>
              </w:rPr>
              <w:t>后方可发出。</w:t>
            </w:r>
          </w:p>
        </w:tc>
      </w:tr>
      <w:tr w14:paraId="74BCD28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14:paraId="5BA2400B">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34.1</w:t>
            </w:r>
          </w:p>
        </w:tc>
        <w:tc>
          <w:tcPr>
            <w:tcW w:w="2508" w:type="dxa"/>
            <w:noWrap w:val="0"/>
            <w:vAlign w:val="center"/>
          </w:tcPr>
          <w:p w14:paraId="24E2A900">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履约担保</w:t>
            </w:r>
          </w:p>
        </w:tc>
        <w:tc>
          <w:tcPr>
            <w:tcW w:w="6672" w:type="dxa"/>
            <w:noWrap w:val="0"/>
            <w:vAlign w:val="center"/>
          </w:tcPr>
          <w:p w14:paraId="64D89344">
            <w:pPr>
              <w:keepNext w:val="0"/>
              <w:keepLines w:val="0"/>
              <w:pageBreakBefore w:val="0"/>
              <w:kinsoku/>
              <w:wordWrap w:val="0"/>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本项目不收取履约担保。</w:t>
            </w:r>
          </w:p>
        </w:tc>
      </w:tr>
      <w:tr w14:paraId="7D4548D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14:paraId="57EE02C3">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39.2</w:t>
            </w:r>
          </w:p>
        </w:tc>
        <w:tc>
          <w:tcPr>
            <w:tcW w:w="2508" w:type="dxa"/>
            <w:noWrap w:val="0"/>
            <w:vAlign w:val="center"/>
          </w:tcPr>
          <w:p w14:paraId="6D6EF9F0">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投标人对招标文件提出</w:t>
            </w:r>
            <w:r>
              <w:rPr>
                <w:rFonts w:hint="eastAsia" w:ascii="宋体" w:hAnsi="宋体" w:eastAsia="宋体" w:cs="宋体"/>
                <w:color w:val="auto"/>
                <w:sz w:val="21"/>
                <w:szCs w:val="21"/>
                <w:highlight w:val="none"/>
                <w:u w:val="none"/>
              </w:rPr>
              <w:t>质疑的</w:t>
            </w:r>
            <w:r>
              <w:rPr>
                <w:rFonts w:hint="eastAsia" w:ascii="宋体" w:hAnsi="宋体" w:eastAsia="宋体" w:cs="宋体"/>
                <w:color w:val="auto"/>
                <w:sz w:val="21"/>
                <w:szCs w:val="21"/>
                <w:highlight w:val="none"/>
              </w:rPr>
              <w:t>截止时间及方式</w:t>
            </w:r>
          </w:p>
        </w:tc>
        <w:tc>
          <w:tcPr>
            <w:tcW w:w="6672" w:type="dxa"/>
            <w:noWrap w:val="0"/>
            <w:vAlign w:val="center"/>
          </w:tcPr>
          <w:p w14:paraId="7C90668D">
            <w:pPr>
              <w:keepNext w:val="0"/>
              <w:keepLines w:val="0"/>
              <w:pageBreakBefore w:val="0"/>
              <w:widowControl/>
              <w:kinsoku/>
              <w:overflowPunct/>
              <w:topLinePunct w:val="0"/>
              <w:autoSpaceDE/>
              <w:autoSpaceDN/>
              <w:bidi w:val="0"/>
              <w:adjustRightInd/>
              <w:spacing w:line="500" w:lineRule="exact"/>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请于202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年</w:t>
            </w:r>
            <w:r>
              <w:rPr>
                <w:rFonts w:hint="eastAsia" w:hAnsi="宋体" w:cs="宋体"/>
                <w:color w:val="auto"/>
                <w:sz w:val="21"/>
                <w:szCs w:val="21"/>
                <w:highlight w:val="none"/>
                <w:lang w:val="en-US" w:eastAsia="zh-CN"/>
              </w:rPr>
              <w:t>6</w:t>
            </w:r>
            <w:r>
              <w:rPr>
                <w:rFonts w:hint="eastAsia" w:ascii="宋体" w:hAnsi="宋体" w:eastAsia="宋体" w:cs="宋体"/>
                <w:color w:val="auto"/>
                <w:sz w:val="21"/>
                <w:szCs w:val="21"/>
                <w:highlight w:val="none"/>
              </w:rPr>
              <w:t>月</w:t>
            </w:r>
            <w:r>
              <w:rPr>
                <w:rFonts w:hint="eastAsia" w:hAnsi="宋体" w:cs="宋体"/>
                <w:color w:val="auto"/>
                <w:sz w:val="21"/>
                <w:szCs w:val="21"/>
                <w:highlight w:val="none"/>
                <w:lang w:val="en-US" w:eastAsia="zh-CN"/>
              </w:rPr>
              <w:t>4</w:t>
            </w:r>
            <w:r>
              <w:rPr>
                <w:rFonts w:hint="eastAsia" w:ascii="宋体" w:hAnsi="宋体" w:eastAsia="宋体" w:cs="宋体"/>
                <w:color w:val="auto"/>
                <w:sz w:val="21"/>
                <w:szCs w:val="21"/>
                <w:highlight w:val="none"/>
              </w:rPr>
              <w:t>日</w:t>
            </w:r>
            <w:r>
              <w:rPr>
                <w:rFonts w:hint="eastAsia" w:hAnsi="宋体" w:cs="宋体"/>
                <w:color w:val="auto"/>
                <w:sz w:val="21"/>
                <w:szCs w:val="21"/>
                <w:highlight w:val="none"/>
                <w:lang w:val="en-US" w:eastAsia="zh-CN"/>
              </w:rPr>
              <w:t>17</w:t>
            </w:r>
            <w:r>
              <w:rPr>
                <w:rFonts w:hint="eastAsia" w:ascii="宋体" w:hAnsi="宋体" w:eastAsia="宋体" w:cs="宋体"/>
                <w:color w:val="auto"/>
                <w:sz w:val="21"/>
                <w:szCs w:val="21"/>
                <w:highlight w:val="none"/>
              </w:rPr>
              <w:t>时前</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将疑问内容</w:t>
            </w:r>
            <w:r>
              <w:rPr>
                <w:rFonts w:hint="eastAsia" w:ascii="宋体" w:hAnsi="宋体" w:eastAsia="宋体" w:cs="宋体"/>
                <w:color w:val="auto"/>
                <w:sz w:val="21"/>
                <w:szCs w:val="21"/>
                <w:highlight w:val="none"/>
                <w:lang w:val="en-US" w:eastAsia="zh-CN"/>
              </w:rPr>
              <w:t>通过登录新点电子交易平台【滁州专区】线上提出异议</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 xml:space="preserve"> </w:t>
            </w:r>
          </w:p>
        </w:tc>
      </w:tr>
      <w:tr w14:paraId="0983F09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14:paraId="5000D0B5">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39.6</w:t>
            </w:r>
          </w:p>
        </w:tc>
        <w:tc>
          <w:tcPr>
            <w:tcW w:w="2508" w:type="dxa"/>
            <w:noWrap w:val="0"/>
            <w:vAlign w:val="center"/>
          </w:tcPr>
          <w:p w14:paraId="535A5B89">
            <w:pPr>
              <w:pStyle w:val="20"/>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eastAsia="zh-CN"/>
              </w:rPr>
              <w:t>招标人</w:t>
            </w:r>
            <w:r>
              <w:rPr>
                <w:rFonts w:hint="eastAsia" w:ascii="宋体" w:hAnsi="宋体" w:eastAsia="宋体" w:cs="宋体"/>
                <w:color w:val="auto"/>
                <w:sz w:val="21"/>
                <w:szCs w:val="21"/>
                <w:highlight w:val="none"/>
              </w:rPr>
              <w:t>答复在线质疑的时间及方式</w:t>
            </w:r>
          </w:p>
        </w:tc>
        <w:tc>
          <w:tcPr>
            <w:tcW w:w="6672" w:type="dxa"/>
            <w:noWrap w:val="0"/>
            <w:vAlign w:val="center"/>
          </w:tcPr>
          <w:p w14:paraId="4C1F8448">
            <w:pPr>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lang w:val="en-US" w:eastAsia="zh-CN"/>
              </w:rPr>
              <w:t>同15.4“</w:t>
            </w:r>
            <w:r>
              <w:rPr>
                <w:rFonts w:hint="eastAsia" w:ascii="宋体" w:hAnsi="宋体" w:cs="宋体"/>
                <w:color w:val="auto"/>
                <w:sz w:val="21"/>
                <w:szCs w:val="21"/>
                <w:highlight w:val="none"/>
                <w:lang w:val="en-US" w:eastAsia="zh-CN"/>
              </w:rPr>
              <w:t>招标人</w:t>
            </w:r>
            <w:r>
              <w:rPr>
                <w:rFonts w:hint="eastAsia" w:ascii="宋体" w:hAnsi="宋体" w:eastAsia="宋体" w:cs="宋体"/>
                <w:color w:val="auto"/>
                <w:sz w:val="21"/>
                <w:szCs w:val="21"/>
                <w:highlight w:val="none"/>
                <w:lang w:val="en-US" w:eastAsia="zh-CN"/>
              </w:rPr>
              <w:t>澄清的方式</w:t>
            </w:r>
            <w:r>
              <w:rPr>
                <w:rFonts w:hint="default"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w:t>
            </w:r>
          </w:p>
        </w:tc>
      </w:tr>
      <w:tr w14:paraId="3152748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75" w:hRule="atLeast"/>
          <w:jc w:val="center"/>
        </w:trPr>
        <w:tc>
          <w:tcPr>
            <w:tcW w:w="3528" w:type="dxa"/>
            <w:gridSpan w:val="2"/>
            <w:noWrap w:val="0"/>
            <w:vAlign w:val="center"/>
          </w:tcPr>
          <w:p w14:paraId="6FB4089D">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付款方式、时间、条件</w:t>
            </w:r>
          </w:p>
        </w:tc>
        <w:tc>
          <w:tcPr>
            <w:tcW w:w="6672" w:type="dxa"/>
            <w:noWrap w:val="0"/>
            <w:vAlign w:val="center"/>
          </w:tcPr>
          <w:p w14:paraId="4381BC25">
            <w:pPr>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eastAsia="zh-CN"/>
              </w:rPr>
            </w:pPr>
            <w:r>
              <w:rPr>
                <w:rFonts w:hint="eastAsia" w:ascii="宋体" w:hAnsi="宋体" w:cs="宋体"/>
                <w:b/>
                <w:bCs/>
                <w:color w:val="auto"/>
                <w:sz w:val="21"/>
                <w:szCs w:val="21"/>
                <w:highlight w:val="none"/>
                <w:lang w:val="en-US" w:eastAsia="zh-CN"/>
              </w:rPr>
              <w:t>合同价款分三年平均支付，每年待中标人提供审计报告与增值税发票后30日内一次性付清价款。</w:t>
            </w:r>
          </w:p>
        </w:tc>
      </w:tr>
    </w:tbl>
    <w:p w14:paraId="3303EFDE">
      <w:pPr>
        <w:pageBreakBefore/>
        <w:spacing w:before="312" w:beforeLines="100" w:after="312" w:afterLines="100" w:line="440" w:lineRule="exact"/>
        <w:jc w:val="center"/>
        <w:outlineLvl w:val="1"/>
        <w:rPr>
          <w:rFonts w:hint="eastAsia" w:ascii="宋体" w:hAnsi="宋体" w:cs="宋体"/>
          <w:b/>
          <w:color w:val="auto"/>
          <w:sz w:val="28"/>
          <w:szCs w:val="32"/>
          <w:highlight w:val="none"/>
        </w:rPr>
      </w:pPr>
      <w:bookmarkStart w:id="19" w:name="_Toc449028866"/>
      <w:bookmarkStart w:id="20" w:name="_Toc58430315"/>
      <w:r>
        <w:rPr>
          <w:rFonts w:hint="eastAsia" w:ascii="宋体" w:hAnsi="宋体" w:cs="宋体"/>
          <w:b/>
          <w:color w:val="auto"/>
          <w:sz w:val="28"/>
          <w:szCs w:val="28"/>
          <w:highlight w:val="none"/>
        </w:rPr>
        <w:t>二、投标人须知</w:t>
      </w:r>
      <w:bookmarkEnd w:id="19"/>
      <w:bookmarkEnd w:id="20"/>
    </w:p>
    <w:p w14:paraId="22BE6FD1">
      <w:pPr>
        <w:spacing w:line="440" w:lineRule="exact"/>
        <w:jc w:val="center"/>
        <w:rPr>
          <w:rFonts w:hint="eastAsia" w:ascii="宋体" w:hAnsi="宋体" w:cs="宋体"/>
          <w:color w:val="auto"/>
          <w:sz w:val="28"/>
          <w:szCs w:val="28"/>
          <w:highlight w:val="none"/>
        </w:rPr>
      </w:pPr>
      <w:bookmarkStart w:id="21" w:name="_Toc449028867"/>
      <w:r>
        <w:rPr>
          <w:rFonts w:hint="eastAsia" w:ascii="宋体" w:hAnsi="宋体" w:cs="宋体"/>
          <w:b/>
          <w:color w:val="auto"/>
          <w:sz w:val="28"/>
          <w:szCs w:val="28"/>
          <w:highlight w:val="none"/>
        </w:rPr>
        <w:t>（一）</w:t>
      </w:r>
      <w:r>
        <w:rPr>
          <w:rFonts w:hint="eastAsia" w:ascii="宋体" w:hAnsi="宋体" w:cs="宋体"/>
          <w:b/>
          <w:color w:val="auto"/>
          <w:sz w:val="28"/>
          <w:szCs w:val="32"/>
          <w:highlight w:val="none"/>
        </w:rPr>
        <w:t>总  则</w:t>
      </w:r>
      <w:bookmarkEnd w:id="21"/>
    </w:p>
    <w:p w14:paraId="501DA0AE">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1.项目概况</w:t>
      </w:r>
    </w:p>
    <w:p w14:paraId="04976457">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1.1本次招标采购项目名称：见投标人须知前附表。</w:t>
      </w:r>
    </w:p>
    <w:p w14:paraId="6810837A">
      <w:pPr>
        <w:snapToGrid w:val="0"/>
        <w:spacing w:line="440" w:lineRule="exact"/>
        <w:ind w:firstLine="840" w:firstLineChars="400"/>
        <w:rPr>
          <w:rFonts w:hint="eastAsia" w:ascii="宋体" w:hAnsi="宋体" w:cs="宋体"/>
          <w:color w:val="auto"/>
          <w:szCs w:val="21"/>
          <w:highlight w:val="none"/>
          <w:u w:val="single"/>
        </w:rPr>
      </w:pPr>
      <w:r>
        <w:rPr>
          <w:rFonts w:hint="eastAsia" w:ascii="宋体" w:hAnsi="宋体" w:cs="宋体"/>
          <w:color w:val="auto"/>
          <w:szCs w:val="21"/>
          <w:highlight w:val="none"/>
        </w:rPr>
        <w:t>项目编号：见投标人须知前附表。</w:t>
      </w:r>
    </w:p>
    <w:p w14:paraId="66FB5E8E">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招 标 人：见投标人须知前附表。</w:t>
      </w:r>
    </w:p>
    <w:p w14:paraId="677D596D">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期：见投标人须知前附表。</w:t>
      </w:r>
    </w:p>
    <w:p w14:paraId="637735A9">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地点：见投标人须知前附表。</w:t>
      </w:r>
    </w:p>
    <w:p w14:paraId="2AF6B1C2">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1.2</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及联系人: 见投标人须知前附表。</w:t>
      </w:r>
    </w:p>
    <w:p w14:paraId="03253F09">
      <w:pPr>
        <w:snapToGrid w:val="0"/>
        <w:spacing w:line="440" w:lineRule="exact"/>
        <w:ind w:firstLine="525" w:firstLineChars="250"/>
        <w:rPr>
          <w:rFonts w:hint="eastAsia" w:ascii="宋体" w:hAnsi="宋体" w:cs="宋体"/>
          <w:color w:val="auto"/>
          <w:szCs w:val="21"/>
          <w:highlight w:val="none"/>
          <w:u w:val="single"/>
        </w:rPr>
      </w:pPr>
      <w:r>
        <w:rPr>
          <w:rFonts w:hint="eastAsia" w:ascii="宋体" w:hAnsi="宋体" w:cs="宋体"/>
          <w:color w:val="auto"/>
          <w:szCs w:val="21"/>
          <w:highlight w:val="none"/>
        </w:rPr>
        <w:t xml:space="preserve">  采购代理机构及联系人: 见投标人须知前附表。</w:t>
      </w:r>
    </w:p>
    <w:p w14:paraId="3028E021">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1.3资金来源：见投标人须知前附表。</w:t>
      </w:r>
    </w:p>
    <w:p w14:paraId="5490DA6B">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1.4本项目预算：见投标人须知前附表。</w:t>
      </w:r>
    </w:p>
    <w:p w14:paraId="1E333332">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1.5本项目最高限价：见投标人须知前附表。</w:t>
      </w:r>
    </w:p>
    <w:p w14:paraId="0D47EDA2">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2.招标范围：</w:t>
      </w:r>
    </w:p>
    <w:p w14:paraId="67CAA76E">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2.1 采购内容：见投标人须知前附表。</w:t>
      </w:r>
    </w:p>
    <w:p w14:paraId="2807C655">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 技术要求：详见招标文件第四章采购需求。</w:t>
      </w:r>
    </w:p>
    <w:p w14:paraId="549756D4">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3.标包划分：</w:t>
      </w:r>
    </w:p>
    <w:p w14:paraId="355B1DCF">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3.1本项目划分：见投标人须知前附表。</w:t>
      </w:r>
    </w:p>
    <w:p w14:paraId="4BBADE5B">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4.招标方式：</w:t>
      </w:r>
    </w:p>
    <w:p w14:paraId="2FD0D802">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4.1本项目招标方式：见投标人须知前附表。</w:t>
      </w:r>
    </w:p>
    <w:p w14:paraId="1E0700C4">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5.计价方式：</w:t>
      </w:r>
    </w:p>
    <w:p w14:paraId="5D6444EA">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5.1本次招标项目合同采用</w:t>
      </w:r>
      <w:r>
        <w:rPr>
          <w:rFonts w:hint="eastAsia" w:ascii="宋体" w:hAnsi="宋体" w:cs="宋体"/>
          <w:color w:val="auto"/>
          <w:szCs w:val="21"/>
          <w:highlight w:val="none"/>
          <w:u w:val="single"/>
        </w:rPr>
        <w:t xml:space="preserve">  固定</w:t>
      </w:r>
      <w:r>
        <w:rPr>
          <w:rFonts w:hint="eastAsia" w:ascii="宋体" w:hAnsi="宋体" w:cs="宋体"/>
          <w:color w:val="auto"/>
          <w:szCs w:val="21"/>
          <w:highlight w:val="none"/>
          <w:u w:val="single"/>
          <w:lang w:val="en-US" w:eastAsia="zh-CN"/>
        </w:rPr>
        <w:t>总价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none"/>
        </w:rPr>
        <w:t>。</w:t>
      </w:r>
    </w:p>
    <w:p w14:paraId="2F231CE2">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6.评标办法：</w:t>
      </w:r>
    </w:p>
    <w:p w14:paraId="01ED9611">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6.1本次招标评标采用</w:t>
      </w:r>
      <w:r>
        <w:rPr>
          <w:rFonts w:hint="eastAsia" w:ascii="宋体" w:hAnsi="宋体" w:cs="宋体"/>
          <w:color w:val="auto"/>
          <w:szCs w:val="21"/>
          <w:highlight w:val="none"/>
          <w:u w:val="single"/>
        </w:rPr>
        <w:t xml:space="preserve"> 综合评分法 </w:t>
      </w:r>
      <w:r>
        <w:rPr>
          <w:rFonts w:hint="eastAsia" w:ascii="宋体" w:hAnsi="宋体" w:cs="宋体"/>
          <w:color w:val="auto"/>
          <w:szCs w:val="21"/>
          <w:highlight w:val="none"/>
        </w:rPr>
        <w:t>（详见第三章评标办法）</w:t>
      </w:r>
    </w:p>
    <w:p w14:paraId="41356C17">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7.投标人资格：</w:t>
      </w:r>
    </w:p>
    <w:p w14:paraId="0E185AB9">
      <w:pPr>
        <w:widowControl/>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7.1本项目投标人资格：见投标人须知前附表。</w:t>
      </w:r>
    </w:p>
    <w:p w14:paraId="02337705">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8. 投标费用</w:t>
      </w:r>
    </w:p>
    <w:p w14:paraId="5491ECDF">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8.1投标人准备和参加投标活动发生的费用自理。</w:t>
      </w:r>
    </w:p>
    <w:p w14:paraId="252D0ED2">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9.</w:t>
      </w:r>
      <w:bookmarkStart w:id="22" w:name="_Toc144974507"/>
      <w:bookmarkStart w:id="23" w:name="_Toc152042315"/>
      <w:bookmarkStart w:id="24" w:name="_Toc247513962"/>
      <w:bookmarkStart w:id="25" w:name="_Toc152045539"/>
      <w:bookmarkStart w:id="26" w:name="_Toc247592876"/>
      <w:bookmarkStart w:id="27" w:name="_Toc247527563"/>
      <w:bookmarkStart w:id="28" w:name="_Toc296602429"/>
      <w:r>
        <w:rPr>
          <w:rFonts w:hint="eastAsia" w:ascii="宋体" w:hAnsi="宋体" w:cs="宋体"/>
          <w:b/>
          <w:color w:val="auto"/>
          <w:szCs w:val="21"/>
          <w:highlight w:val="none"/>
        </w:rPr>
        <w:t xml:space="preserve"> 踏勘现场</w:t>
      </w:r>
      <w:bookmarkEnd w:id="22"/>
      <w:bookmarkEnd w:id="23"/>
      <w:bookmarkEnd w:id="24"/>
      <w:bookmarkEnd w:id="25"/>
      <w:bookmarkEnd w:id="26"/>
      <w:bookmarkEnd w:id="27"/>
      <w:bookmarkEnd w:id="28"/>
    </w:p>
    <w:p w14:paraId="191AB87F">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 xml:space="preserve"> 9.1 投标人须知前附表规定组织踏勘现场的，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 xml:space="preserve">按投标人须知前附表规定的时间、地点组织投标人踏勘项目现场。 </w:t>
      </w:r>
    </w:p>
    <w:p w14:paraId="6BBB0DA8">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9.2 投标人踏勘现场发生的费用自理。</w:t>
      </w:r>
    </w:p>
    <w:p w14:paraId="0C2C36E6">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9.3 除</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的原因外，投标人自行负责在踏勘现场中所发生的人员伤亡和财产损失。</w:t>
      </w:r>
    </w:p>
    <w:p w14:paraId="5B430D29">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 xml:space="preserve">9.4 </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在踏勘现场中介绍的场地和相关的周边环境情况，供投标人在编制投标文件时参考，</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不对投标人据此作出的判断和决策负责。</w:t>
      </w:r>
      <w:bookmarkStart w:id="29" w:name="_Toc152042316"/>
      <w:bookmarkStart w:id="30" w:name="_Toc247592877"/>
      <w:bookmarkStart w:id="31" w:name="_Toc296602430"/>
      <w:bookmarkStart w:id="32" w:name="_Toc247513963"/>
      <w:bookmarkStart w:id="33" w:name="_Toc144974508"/>
      <w:bookmarkStart w:id="34" w:name="_Toc247527564"/>
      <w:bookmarkStart w:id="35" w:name="_Toc152045540"/>
    </w:p>
    <w:p w14:paraId="71EF853A">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10. 投标预备会</w:t>
      </w:r>
      <w:bookmarkEnd w:id="29"/>
      <w:bookmarkEnd w:id="30"/>
      <w:bookmarkEnd w:id="31"/>
      <w:bookmarkEnd w:id="32"/>
      <w:bookmarkEnd w:id="33"/>
      <w:bookmarkEnd w:id="34"/>
      <w:bookmarkEnd w:id="35"/>
      <w:r>
        <w:rPr>
          <w:rFonts w:hint="eastAsia" w:ascii="宋体" w:hAnsi="宋体" w:cs="宋体"/>
          <w:b/>
          <w:color w:val="auto"/>
          <w:szCs w:val="21"/>
          <w:highlight w:val="none"/>
        </w:rPr>
        <w:t>（本项目不采用）</w:t>
      </w:r>
    </w:p>
    <w:p w14:paraId="5FB0662B">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10.1投标人须知前附表规定召开投标预备会的，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按投标人须知前附表规定的时间和地点召开投标预备会，澄清投标人提出的问题。</w:t>
      </w:r>
    </w:p>
    <w:p w14:paraId="196DBE49">
      <w:pPr>
        <w:numPr>
          <w:ilvl w:val="0"/>
          <w:numId w:val="8"/>
        </w:num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联合投标、合同分包（本项目不采用）</w:t>
      </w:r>
    </w:p>
    <w:p w14:paraId="6390FF5E">
      <w:pPr>
        <w:numPr>
          <w:ilvl w:val="0"/>
          <w:numId w:val="0"/>
        </w:num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11.1 两个以上投标人可以组成一个投标联合体，以一个投标人的身份投标。以联合体形式参加投标的，联合体各方均应当符合《</w:t>
      </w:r>
      <w:r>
        <w:rPr>
          <w:rFonts w:hint="eastAsia" w:ascii="宋体" w:hAnsi="宋体" w:cs="宋体"/>
          <w:color w:val="auto"/>
          <w:highlight w:val="none"/>
        </w:rPr>
        <w:t>中华人民共和国政府采购法</w:t>
      </w:r>
      <w:r>
        <w:rPr>
          <w:rFonts w:hint="eastAsia" w:ascii="宋体" w:hAnsi="宋体" w:cs="宋体"/>
          <w:color w:val="auto"/>
          <w:szCs w:val="21"/>
          <w:highlight w:val="none"/>
        </w:rPr>
        <w:t>》第二十二条规定的条件。</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根据采购项目的特殊要求规定投标人特定条件的，联合体各方中至少应当有一方符合</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规定的特定条件。</w:t>
      </w:r>
    </w:p>
    <w:p w14:paraId="1E76C539">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11.2联合体各方之间应当签订共同投标协议，明确约定联合体各方承担的工作和相应的责任，并将共同投标协议连同投标文件一并提交</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。联合体各方签订共同投标协议后，不得再以自己名义单独在同一项目中投标，也不得组成新的联合体参加同一项目投标。</w:t>
      </w:r>
    </w:p>
    <w:p w14:paraId="668E7D14">
      <w:pPr>
        <w:spacing w:line="440" w:lineRule="exact"/>
        <w:ind w:firstLine="411" w:firstLineChars="196"/>
        <w:rPr>
          <w:rFonts w:hint="eastAsia" w:ascii="宋体" w:hAnsi="宋体" w:cs="宋体"/>
          <w:color w:val="auto"/>
          <w:szCs w:val="21"/>
          <w:highlight w:val="none"/>
        </w:rPr>
      </w:pPr>
      <w:r>
        <w:rPr>
          <w:rFonts w:hint="eastAsia" w:ascii="宋体" w:hAnsi="宋体" w:cs="宋体"/>
          <w:color w:val="auto"/>
          <w:szCs w:val="21"/>
          <w:highlight w:val="none"/>
        </w:rPr>
        <w:t>11.3 联合体应当确定其中一个单位为投标的全权代表，负责参加投标的一切事务，并承担投标及履约中应承担的全部责任与义务。</w:t>
      </w:r>
    </w:p>
    <w:p w14:paraId="36192B74">
      <w:pPr>
        <w:spacing w:line="440" w:lineRule="exact"/>
        <w:ind w:firstLine="435"/>
        <w:rPr>
          <w:rFonts w:hint="eastAsia" w:ascii="宋体" w:hAnsi="宋体" w:cs="宋体"/>
          <w:color w:val="auto"/>
          <w:szCs w:val="21"/>
          <w:highlight w:val="none"/>
        </w:rPr>
      </w:pPr>
      <w:r>
        <w:rPr>
          <w:rFonts w:hint="eastAsia" w:ascii="宋体" w:hAnsi="宋体" w:cs="宋体"/>
          <w:color w:val="auto"/>
          <w:szCs w:val="21"/>
          <w:highlight w:val="none"/>
        </w:rPr>
        <w:t>11.4 联合体各方应当共同与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签订采购合同，就采购合同约定的事项对</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承担连带责任。</w:t>
      </w:r>
    </w:p>
    <w:p w14:paraId="27C5FF14">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11.5 联合体中有同类资质的供应商按照联合体分工承担相同工作的，应当按照资质等级较低的供应商确定资质等级。</w:t>
      </w:r>
    </w:p>
    <w:p w14:paraId="73FE4194">
      <w:pPr>
        <w:pStyle w:val="36"/>
        <w:spacing w:after="0" w:line="440" w:lineRule="exact"/>
        <w:ind w:left="0" w:leftChars="0"/>
        <w:rPr>
          <w:rFonts w:hint="eastAsia" w:ascii="宋体" w:hAnsi="宋体" w:cs="宋体"/>
          <w:b/>
          <w:color w:val="auto"/>
          <w:szCs w:val="21"/>
          <w:highlight w:val="none"/>
        </w:rPr>
      </w:pPr>
      <w:r>
        <w:rPr>
          <w:rFonts w:hint="eastAsia" w:ascii="宋体" w:hAnsi="宋体" w:cs="宋体"/>
          <w:color w:val="auto"/>
          <w:szCs w:val="21"/>
          <w:highlight w:val="none"/>
        </w:rPr>
        <w:t>11.6 非专门面向中小企业采购项目是否允许大中型企业向一家或者多家小微企业分包见投标人须知前附表。</w:t>
      </w:r>
    </w:p>
    <w:p w14:paraId="6DBD6CED">
      <w:pPr>
        <w:spacing w:line="440" w:lineRule="exact"/>
        <w:ind w:firstLine="413" w:firstLineChars="196"/>
        <w:jc w:val="left"/>
        <w:rPr>
          <w:rFonts w:hint="default" w:ascii="宋体" w:hAnsi="宋体" w:eastAsia="宋体" w:cs="宋体"/>
          <w:b/>
          <w:color w:val="auto"/>
          <w:szCs w:val="21"/>
          <w:highlight w:val="none"/>
          <w:lang w:val="en-US" w:eastAsia="zh-CN"/>
        </w:rPr>
      </w:pPr>
      <w:r>
        <w:rPr>
          <w:rFonts w:hint="eastAsia" w:ascii="宋体" w:hAnsi="宋体" w:cs="宋体"/>
          <w:b/>
          <w:color w:val="auto"/>
          <w:szCs w:val="21"/>
          <w:highlight w:val="none"/>
        </w:rPr>
        <w:t>12.招标代理费和</w:t>
      </w:r>
      <w:r>
        <w:rPr>
          <w:rFonts w:hint="eastAsia" w:ascii="宋体" w:hAnsi="宋体" w:cs="宋体"/>
          <w:b/>
          <w:color w:val="auto"/>
          <w:szCs w:val="21"/>
          <w:highlight w:val="none"/>
          <w:lang w:val="en-US" w:eastAsia="zh-CN"/>
        </w:rPr>
        <w:t>其他费用</w:t>
      </w:r>
    </w:p>
    <w:p w14:paraId="4C2057A3">
      <w:pPr>
        <w:spacing w:line="440" w:lineRule="exact"/>
        <w:ind w:firstLine="420" w:firstLineChars="200"/>
        <w:jc w:val="left"/>
        <w:rPr>
          <w:rFonts w:hint="eastAsia" w:ascii="宋体" w:hAnsi="宋体" w:cs="宋体"/>
          <w:color w:val="auto"/>
          <w:szCs w:val="21"/>
          <w:highlight w:val="none"/>
        </w:rPr>
      </w:pPr>
      <w:r>
        <w:rPr>
          <w:rFonts w:hint="eastAsia" w:ascii="宋体" w:hAnsi="宋体" w:cs="宋体"/>
          <w:bCs/>
          <w:color w:val="auto"/>
          <w:szCs w:val="21"/>
          <w:highlight w:val="none"/>
        </w:rPr>
        <w:t>12.1</w:t>
      </w:r>
      <w:r>
        <w:rPr>
          <w:rFonts w:hint="eastAsia" w:ascii="宋体" w:hAnsi="宋体" w:cs="宋体"/>
          <w:color w:val="auto"/>
          <w:szCs w:val="21"/>
          <w:highlight w:val="none"/>
        </w:rPr>
        <w:t>见投标人须知前附表。</w:t>
      </w:r>
    </w:p>
    <w:p w14:paraId="62FFBAF5">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13.投标人应注意的事项</w:t>
      </w:r>
    </w:p>
    <w:p w14:paraId="46B5BD1B">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13.1投标人一旦参加投标，即被认为接受了本招标文件中的所有条件和规定。投标人必须严格按招标文件的要求编制投标文件，以便评委审核。否则，由此产生的一切后果由投标人承担。</w:t>
      </w:r>
    </w:p>
    <w:p w14:paraId="458EBB0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13.2投标人对采购内容中规定的技术参数、规格、数量和要求等必须最大限度的满足招标文件的相关要求。</w:t>
      </w:r>
    </w:p>
    <w:p w14:paraId="55A6B85D">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3</w:t>
      </w:r>
      <w:r>
        <w:rPr>
          <w:rFonts w:hint="eastAsia" w:ascii="宋体" w:hAnsi="宋体" w:cs="宋体"/>
          <w:bCs/>
          <w:color w:val="auto"/>
          <w:szCs w:val="21"/>
          <w:highlight w:val="none"/>
        </w:rPr>
        <w:t>单位负责人为同一人或者存在直接控股、管理关系的不同投标人，不得参加同一合同项下的政府采购活动。</w:t>
      </w:r>
      <w:r>
        <w:rPr>
          <w:rFonts w:hint="eastAsia" w:ascii="宋体" w:hAnsi="宋体" w:cs="宋体"/>
          <w:color w:val="auto"/>
          <w:szCs w:val="21"/>
          <w:highlight w:val="none"/>
        </w:rPr>
        <w:t>为采购项目提供整体设计、规范编制或者项目管理、监理、检测等服务的投标人，不得再参加该采购项目的其他采购活动。</w:t>
      </w:r>
    </w:p>
    <w:p w14:paraId="426B0532">
      <w:pPr>
        <w:spacing w:line="440" w:lineRule="exact"/>
        <w:ind w:firstLine="417" w:firstLineChars="199"/>
        <w:jc w:val="left"/>
        <w:rPr>
          <w:rFonts w:hint="eastAsia" w:ascii="宋体" w:hAnsi="宋体" w:cs="宋体"/>
          <w:color w:val="auto"/>
          <w:szCs w:val="21"/>
          <w:highlight w:val="none"/>
        </w:rPr>
      </w:pPr>
      <w:r>
        <w:rPr>
          <w:rFonts w:hint="eastAsia" w:ascii="宋体" w:hAnsi="宋体" w:cs="宋体"/>
          <w:color w:val="auto"/>
          <w:szCs w:val="21"/>
          <w:highlight w:val="none"/>
        </w:rPr>
        <w:t>13.5 投标人被视为充分熟悉本招标项目所在地的与履行合同有关的各种情况，包括但不限于：</w:t>
      </w:r>
    </w:p>
    <w:p w14:paraId="24DFD3D3">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（1）国家对本次投标货物和服务的生产、安装调试、验收、维修等有关法律、法规及行业管理标准；</w:t>
      </w:r>
    </w:p>
    <w:p w14:paraId="63C4A56B">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（2）安徽省及滁州市等有关管理部门的相关规定；</w:t>
      </w:r>
    </w:p>
    <w:p w14:paraId="34CFA31F">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的相关场地情况、基础建设、电力供应情况及相关设计标准。</w:t>
      </w:r>
    </w:p>
    <w:p w14:paraId="4A06F9C7">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本招标文件不再对上述情况进行描述。</w:t>
      </w:r>
    </w:p>
    <w:p w14:paraId="7A2D30B9">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中标候选人无正当理由放弃中标候选人资格的，其将被记不良信息记录。</w:t>
      </w:r>
    </w:p>
    <w:p w14:paraId="53EC0B87">
      <w:pPr>
        <w:spacing w:before="312" w:beforeLines="100" w:after="312" w:afterLines="100" w:line="440" w:lineRule="exact"/>
        <w:jc w:val="center"/>
        <w:rPr>
          <w:rFonts w:hint="eastAsia" w:ascii="宋体" w:hAnsi="宋体" w:cs="宋体"/>
          <w:b/>
          <w:color w:val="auto"/>
          <w:sz w:val="28"/>
          <w:szCs w:val="28"/>
          <w:highlight w:val="none"/>
        </w:rPr>
      </w:pPr>
      <w:bookmarkStart w:id="36" w:name="_Toc449028868"/>
      <w:r>
        <w:rPr>
          <w:rFonts w:hint="eastAsia" w:ascii="宋体" w:hAnsi="宋体" w:cs="宋体"/>
          <w:b/>
          <w:color w:val="auto"/>
          <w:sz w:val="28"/>
          <w:szCs w:val="28"/>
          <w:highlight w:val="none"/>
        </w:rPr>
        <w:t>（二）</w:t>
      </w:r>
      <w:bookmarkEnd w:id="36"/>
      <w:r>
        <w:rPr>
          <w:rFonts w:hint="eastAsia" w:ascii="宋体" w:hAnsi="宋体" w:cs="宋体"/>
          <w:b/>
          <w:color w:val="auto"/>
          <w:sz w:val="28"/>
          <w:szCs w:val="28"/>
          <w:highlight w:val="none"/>
        </w:rPr>
        <w:t>招标文件</w:t>
      </w:r>
    </w:p>
    <w:p w14:paraId="30874745">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14. 招标文件的编制依据</w:t>
      </w:r>
    </w:p>
    <w:p w14:paraId="1C9EAC6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根据</w:t>
      </w:r>
      <w:r>
        <w:rPr>
          <w:rFonts w:hint="eastAsia" w:ascii="宋体" w:hAnsi="宋体" w:cs="宋体"/>
          <w:color w:val="auto"/>
          <w:spacing w:val="-2"/>
          <w:szCs w:val="21"/>
          <w:highlight w:val="none"/>
        </w:rPr>
        <w:t>相关法律法规和规章及部、省、市级规范性文件的规定，编制本招标文件。</w:t>
      </w:r>
    </w:p>
    <w:p w14:paraId="15F12B8E">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15. 招标文件的组成</w:t>
      </w:r>
    </w:p>
    <w:p w14:paraId="797DABB6">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15.1 招标文件包括内容：</w:t>
      </w:r>
    </w:p>
    <w:p w14:paraId="7CBCB965">
      <w:pPr>
        <w:spacing w:line="440" w:lineRule="exact"/>
        <w:ind w:firstLine="1470" w:firstLineChars="700"/>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 xml:space="preserve">第一章  </w:t>
      </w:r>
      <w:r>
        <w:rPr>
          <w:rFonts w:hint="eastAsia" w:ascii="宋体" w:hAnsi="宋体" w:cs="宋体"/>
          <w:color w:val="auto"/>
          <w:szCs w:val="21"/>
          <w:highlight w:val="none"/>
          <w:lang w:val="en-US" w:eastAsia="zh-CN"/>
        </w:rPr>
        <w:t>招标公告</w:t>
      </w:r>
    </w:p>
    <w:p w14:paraId="441AECE7">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第二章  投标人须知</w:t>
      </w:r>
    </w:p>
    <w:p w14:paraId="20D922FF">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第三章  评标办法</w:t>
      </w:r>
    </w:p>
    <w:p w14:paraId="33371EE8">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第四章  采购需求</w:t>
      </w:r>
    </w:p>
    <w:p w14:paraId="09F0BFB5">
      <w:pPr>
        <w:spacing w:line="440" w:lineRule="exact"/>
        <w:ind w:firstLine="1470" w:firstLineChars="700"/>
        <w:rPr>
          <w:rFonts w:hint="eastAsia" w:ascii="宋体" w:hAnsi="宋体" w:cs="宋体"/>
          <w:color w:val="auto"/>
          <w:szCs w:val="21"/>
          <w:highlight w:val="none"/>
          <w:lang w:val="en-US" w:eastAsia="zh-CN"/>
        </w:rPr>
      </w:pPr>
      <w:r>
        <w:rPr>
          <w:rFonts w:hint="eastAsia" w:ascii="宋体" w:hAnsi="宋体" w:cs="宋体"/>
          <w:color w:val="auto"/>
          <w:szCs w:val="21"/>
          <w:highlight w:val="none"/>
        </w:rPr>
        <w:t>第五章  合同条款</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参考）</w:t>
      </w:r>
    </w:p>
    <w:p w14:paraId="3369069F">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第六章  投标文件格式</w:t>
      </w:r>
    </w:p>
    <w:p w14:paraId="27478DEE">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15.2 除15.1款内容外，招标答疑亦为招标文件的组成部分，对</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和投标人起约束作用。</w:t>
      </w:r>
    </w:p>
    <w:p w14:paraId="053E451D">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15.3投标人应仔细阅读和检查招标文件的全部内容。如发现缺页或附件不全，应及时向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提出，以便补齐。</w:t>
      </w:r>
      <w:r>
        <w:rPr>
          <w:rFonts w:hint="eastAsia" w:ascii="宋体" w:hAnsi="宋体" w:eastAsia="宋体" w:cs="宋体"/>
          <w:color w:val="auto"/>
          <w:szCs w:val="21"/>
          <w:highlight w:val="none"/>
        </w:rPr>
        <w:t>如有疑问，</w:t>
      </w:r>
      <w:r>
        <w:rPr>
          <w:rFonts w:hint="eastAsia" w:ascii="宋体" w:hAnsi="宋体" w:eastAsia="宋体" w:cs="宋体"/>
          <w:color w:val="auto"/>
          <w:sz w:val="21"/>
          <w:szCs w:val="21"/>
          <w:highlight w:val="none"/>
          <w:lang w:val="en-US" w:eastAsia="zh-CN"/>
        </w:rPr>
        <w:t>通过登录新点电子交易平台【滁州专区】线上提出</w:t>
      </w:r>
      <w:r>
        <w:rPr>
          <w:rFonts w:hint="eastAsia" w:ascii="宋体" w:hAnsi="宋体" w:eastAsia="宋体" w:cs="宋体"/>
          <w:color w:val="auto"/>
          <w:szCs w:val="21"/>
          <w:highlight w:val="none"/>
        </w:rPr>
        <w:t>，要求</w:t>
      </w:r>
      <w:r>
        <w:rPr>
          <w:rFonts w:hint="eastAsia" w:ascii="宋体" w:hAnsi="宋体" w:eastAsia="宋体" w:cs="宋体"/>
          <w:color w:val="auto"/>
          <w:szCs w:val="21"/>
          <w:highlight w:val="none"/>
          <w:lang w:eastAsia="zh-CN"/>
        </w:rPr>
        <w:t>招标人</w:t>
      </w:r>
      <w:r>
        <w:rPr>
          <w:rFonts w:hint="eastAsia" w:ascii="宋体" w:hAnsi="宋体" w:eastAsia="宋体" w:cs="宋体"/>
          <w:color w:val="auto"/>
          <w:szCs w:val="21"/>
          <w:highlight w:val="none"/>
        </w:rPr>
        <w:t>对招标文件予以澄清。</w:t>
      </w:r>
    </w:p>
    <w:p w14:paraId="3135726D">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15.4招标文件的澄清</w:t>
      </w:r>
      <w:r>
        <w:rPr>
          <w:rFonts w:hint="eastAsia" w:ascii="宋体" w:hAnsi="宋体" w:cs="宋体"/>
          <w:color w:val="auto"/>
          <w:szCs w:val="21"/>
          <w:highlight w:val="none"/>
          <w:lang w:val="en-US" w:eastAsia="zh-CN"/>
        </w:rPr>
        <w:t>将以更正公告形式在滁州扬子工业投资集团有限公司官网（https://czyzgtjt.com/）、滁州市城投工程咨询管理有限公司官网（https://www.czctgczx.com/）予以公布</w:t>
      </w:r>
      <w:r>
        <w:rPr>
          <w:rFonts w:hint="eastAsia" w:ascii="宋体" w:hAnsi="宋体" w:cs="宋体"/>
          <w:color w:val="auto"/>
          <w:szCs w:val="21"/>
          <w:highlight w:val="none"/>
        </w:rPr>
        <w:t>，但不指明澄清问题的来源。如果澄清内容影响投标文件编制的，将相应延长投标截止时间。</w:t>
      </w:r>
    </w:p>
    <w:p w14:paraId="031B0D9E">
      <w:pPr>
        <w:spacing w:line="440" w:lineRule="exact"/>
        <w:ind w:firstLine="422" w:firstLineChars="200"/>
        <w:rPr>
          <w:rFonts w:hint="eastAsia" w:ascii="宋体" w:hAnsi="宋体" w:cs="宋体"/>
          <w:b/>
          <w:bCs/>
          <w:color w:val="auto"/>
          <w:szCs w:val="21"/>
          <w:highlight w:val="none"/>
        </w:rPr>
      </w:pPr>
      <w:r>
        <w:rPr>
          <w:rFonts w:hint="eastAsia" w:ascii="宋体" w:hAnsi="宋体" w:cs="宋体"/>
          <w:b/>
          <w:bCs/>
          <w:color w:val="auto"/>
          <w:szCs w:val="21"/>
          <w:highlight w:val="none"/>
        </w:rPr>
        <w:t>16. 招标文件的修改、补充、解释</w:t>
      </w:r>
    </w:p>
    <w:p w14:paraId="55704772">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16.1 招标文件发出后，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在规定的投标截止时间前可对招标文件进行必要的修改和补充，并以更正公告形式</w:t>
      </w:r>
      <w:r>
        <w:rPr>
          <w:rFonts w:hint="eastAsia" w:ascii="宋体" w:hAnsi="宋体" w:cs="宋体"/>
          <w:color w:val="auto"/>
          <w:szCs w:val="21"/>
          <w:highlight w:val="none"/>
          <w:lang w:val="en-US" w:eastAsia="zh-CN"/>
        </w:rPr>
        <w:t>在滁州市扬子工业投资集团有限公司官网（https://czyzgtjt.com/）、滁州市城投工程咨询管理有限公司官网（https://www.czctgczx.com/）予以公布。</w:t>
      </w:r>
      <w:r>
        <w:rPr>
          <w:rFonts w:hint="eastAsia" w:ascii="宋体" w:hAnsi="宋体" w:cs="宋体"/>
          <w:color w:val="auto"/>
          <w:szCs w:val="21"/>
          <w:highlight w:val="none"/>
        </w:rPr>
        <w:t>请各位投标人注意查看有关澄清内容，如不及时查看造成后果由投标人自负。招标文件的修改、补充等内容作为招标文件的组成部分，具有约束作用。</w:t>
      </w:r>
    </w:p>
    <w:p w14:paraId="67ADC3D2">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16.</w:t>
      </w:r>
      <w:r>
        <w:rPr>
          <w:rFonts w:hint="eastAsia" w:ascii="宋体" w:hAnsi="宋体" w:cs="宋体"/>
          <w:bCs/>
          <w:color w:val="auto"/>
          <w:szCs w:val="21"/>
          <w:highlight w:val="none"/>
          <w:lang w:val="en-US" w:eastAsia="zh-CN"/>
        </w:rPr>
        <w:t>2</w:t>
      </w:r>
      <w:r>
        <w:rPr>
          <w:rFonts w:hint="eastAsia" w:ascii="宋体" w:hAnsi="宋体" w:cs="宋体"/>
          <w:bCs/>
          <w:color w:val="auto"/>
          <w:szCs w:val="21"/>
          <w:highlight w:val="none"/>
        </w:rPr>
        <w:t>招标文件的解释</w:t>
      </w:r>
    </w:p>
    <w:p w14:paraId="72E41B6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（1）构成本招标文件的各个组成文件应互为解释，互为说明；</w:t>
      </w:r>
    </w:p>
    <w:p w14:paraId="2370AA97">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（2）同一组成文件中就同一事项的规定或约定不一致的，以编排顺序在后者为准；</w:t>
      </w:r>
    </w:p>
    <w:p w14:paraId="64765D6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（3）如有不明确或不一致，构成合同文件组成内容的，以合同文件约定内容为准，且以专用合同条款约定的合同文件优先顺序解释；</w:t>
      </w:r>
    </w:p>
    <w:p w14:paraId="265B5F93">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（4）系统中提供的表格（或格式文件）与招标文件中不一致时，以招标文件中提供的为准；</w:t>
      </w:r>
    </w:p>
    <w:p w14:paraId="078E0E9B">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（5）按本款前述规定仍不能形成结论的，由</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（或其委托的采购代理机构）负责解释。</w:t>
      </w:r>
    </w:p>
    <w:p w14:paraId="5F92F7FD">
      <w:pPr>
        <w:spacing w:line="440" w:lineRule="exact"/>
        <w:rPr>
          <w:rFonts w:hint="eastAsia" w:ascii="宋体" w:hAnsi="宋体" w:cs="宋体"/>
          <w:b/>
          <w:color w:val="auto"/>
          <w:szCs w:val="21"/>
          <w:highlight w:val="none"/>
        </w:rPr>
      </w:pPr>
      <w:r>
        <w:rPr>
          <w:rFonts w:hint="eastAsia" w:ascii="宋体" w:hAnsi="宋体" w:cs="宋体"/>
          <w:b/>
          <w:color w:val="auto"/>
          <w:szCs w:val="21"/>
          <w:highlight w:val="none"/>
        </w:rPr>
        <w:t xml:space="preserve">    17. 招标文件的发出</w:t>
      </w:r>
    </w:p>
    <w:p w14:paraId="5C7981D2">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17.1招标文件、招标文件的澄清、修改、补充及招标答疑等均应报公共资源交易监督管理机构备案后，方可发出。</w:t>
      </w:r>
    </w:p>
    <w:p w14:paraId="1C2B4EA1">
      <w:pPr>
        <w:spacing w:before="312" w:beforeLines="100" w:after="312" w:afterLines="100" w:line="440" w:lineRule="exact"/>
        <w:jc w:val="center"/>
        <w:rPr>
          <w:rFonts w:hint="eastAsia" w:ascii="宋体" w:hAnsi="宋体" w:cs="宋体"/>
          <w:b/>
          <w:color w:val="auto"/>
          <w:sz w:val="28"/>
          <w:szCs w:val="28"/>
          <w:highlight w:val="none"/>
        </w:rPr>
      </w:pPr>
      <w:bookmarkStart w:id="37" w:name="_Toc449028869"/>
      <w:r>
        <w:rPr>
          <w:rFonts w:hint="eastAsia" w:ascii="宋体" w:hAnsi="宋体" w:cs="宋体"/>
          <w:b/>
          <w:color w:val="auto"/>
          <w:sz w:val="28"/>
          <w:szCs w:val="28"/>
          <w:highlight w:val="none"/>
        </w:rPr>
        <w:t>（三）投标文件的编制</w:t>
      </w:r>
      <w:bookmarkEnd w:id="37"/>
    </w:p>
    <w:p w14:paraId="11DBF3B7">
      <w:pPr>
        <w:spacing w:line="440" w:lineRule="exact"/>
        <w:ind w:firstLine="306" w:firstLineChars="145"/>
        <w:rPr>
          <w:rFonts w:hint="eastAsia" w:ascii="宋体" w:hAnsi="宋体" w:cs="宋体"/>
          <w:b/>
          <w:color w:val="auto"/>
          <w:szCs w:val="21"/>
          <w:highlight w:val="none"/>
        </w:rPr>
      </w:pPr>
      <w:r>
        <w:rPr>
          <w:rFonts w:hint="eastAsia" w:ascii="宋体" w:hAnsi="宋体" w:cs="宋体"/>
          <w:b/>
          <w:color w:val="auto"/>
          <w:szCs w:val="21"/>
          <w:highlight w:val="none"/>
        </w:rPr>
        <w:t>1</w:t>
      </w:r>
      <w:r>
        <w:rPr>
          <w:rFonts w:hint="eastAsia" w:ascii="宋体" w:hAnsi="宋体" w:cs="宋体"/>
          <w:b/>
          <w:color w:val="auto"/>
          <w:szCs w:val="21"/>
          <w:highlight w:val="none"/>
          <w:lang w:val="en-US" w:eastAsia="zh-CN"/>
        </w:rPr>
        <w:t>8</w:t>
      </w:r>
      <w:r>
        <w:rPr>
          <w:rFonts w:hint="eastAsia" w:ascii="宋体" w:hAnsi="宋体" w:cs="宋体"/>
          <w:b/>
          <w:color w:val="auto"/>
          <w:szCs w:val="21"/>
          <w:highlight w:val="none"/>
        </w:rPr>
        <w:t>. 投标的语言及度量衡单位</w:t>
      </w:r>
    </w:p>
    <w:p w14:paraId="5E55F77C">
      <w:pPr>
        <w:spacing w:line="440" w:lineRule="exact"/>
        <w:ind w:left="267" w:leftChars="127" w:firstLine="105" w:firstLineChars="50"/>
        <w:rPr>
          <w:rFonts w:hint="eastAsia"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1投标人的投标文件、以及投标人与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就投标的所有往来函电，均须使用简体中文。</w:t>
      </w:r>
    </w:p>
    <w:p w14:paraId="33BBE365">
      <w:pPr>
        <w:spacing w:line="440" w:lineRule="exact"/>
        <w:ind w:left="267" w:leftChars="127" w:firstLine="105" w:firstLineChars="50"/>
        <w:rPr>
          <w:rFonts w:hint="eastAsia"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2除招标文件中另有规定外，投标文件所使用的度量衡均须采用法定计量单位。</w:t>
      </w:r>
    </w:p>
    <w:p w14:paraId="3449A44E">
      <w:pPr>
        <w:spacing w:line="440" w:lineRule="exact"/>
        <w:ind w:firstLine="207" w:firstLineChars="98"/>
        <w:rPr>
          <w:rFonts w:hint="eastAsia" w:ascii="宋体" w:hAnsi="宋体" w:cs="宋体"/>
          <w:b/>
          <w:color w:val="auto"/>
          <w:szCs w:val="21"/>
          <w:highlight w:val="none"/>
        </w:rPr>
      </w:pPr>
      <w:r>
        <w:rPr>
          <w:rFonts w:hint="eastAsia" w:ascii="宋体" w:hAnsi="宋体" w:cs="宋体"/>
          <w:b/>
          <w:color w:val="auto"/>
          <w:szCs w:val="21"/>
          <w:highlight w:val="none"/>
          <w:lang w:val="en-US" w:eastAsia="zh-CN"/>
        </w:rPr>
        <w:t>19</w:t>
      </w:r>
      <w:r>
        <w:rPr>
          <w:rFonts w:hint="eastAsia" w:ascii="宋体" w:hAnsi="宋体" w:cs="宋体"/>
          <w:b/>
          <w:color w:val="auto"/>
          <w:szCs w:val="21"/>
          <w:highlight w:val="none"/>
        </w:rPr>
        <w:t>. 投标文件的组成</w:t>
      </w:r>
    </w:p>
    <w:p w14:paraId="15AB1999">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lang w:val="en-US" w:eastAsia="zh-CN"/>
        </w:rPr>
        <w:t>19</w:t>
      </w:r>
      <w:r>
        <w:rPr>
          <w:rFonts w:hint="eastAsia" w:ascii="宋体" w:hAnsi="宋体" w:cs="宋体"/>
          <w:b/>
          <w:color w:val="auto"/>
          <w:szCs w:val="21"/>
          <w:highlight w:val="none"/>
        </w:rPr>
        <w:t>.1投标文件的组成</w:t>
      </w:r>
    </w:p>
    <w:p w14:paraId="7C4A636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具体内容详见第六章投标文件格式内容。</w:t>
      </w:r>
    </w:p>
    <w:p w14:paraId="2FF51342">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lang w:val="en-US" w:eastAsia="zh-CN"/>
        </w:rPr>
        <w:t>19</w:t>
      </w:r>
      <w:r>
        <w:rPr>
          <w:rFonts w:hint="eastAsia" w:ascii="宋体" w:hAnsi="宋体" w:cs="宋体"/>
          <w:b/>
          <w:color w:val="auto"/>
          <w:szCs w:val="21"/>
          <w:highlight w:val="none"/>
        </w:rPr>
        <w:t>.</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投标文件的编制</w:t>
      </w:r>
    </w:p>
    <w:p w14:paraId="795598BB">
      <w:pPr>
        <w:keepNext w:val="0"/>
        <w:keepLines w:val="0"/>
        <w:pageBreakBefore w:val="0"/>
        <w:widowControl w:val="0"/>
        <w:kinsoku/>
        <w:wordWrap/>
        <w:overflowPunct/>
        <w:topLinePunct w:val="0"/>
        <w:autoSpaceDE/>
        <w:autoSpaceDN/>
        <w:bidi w:val="0"/>
        <w:adjustRightInd w:val="0"/>
        <w:snapToGrid w:val="0"/>
        <w:spacing w:line="50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投标文件应按第</w:t>
      </w:r>
      <w:r>
        <w:rPr>
          <w:rFonts w:hint="eastAsia" w:ascii="宋体" w:hAnsi="宋体" w:cs="宋体"/>
          <w:color w:val="auto"/>
          <w:szCs w:val="21"/>
          <w:highlight w:val="none"/>
          <w:lang w:val="en-US" w:eastAsia="zh-CN"/>
        </w:rPr>
        <w:t>六</w:t>
      </w:r>
      <w:r>
        <w:rPr>
          <w:rFonts w:hint="eastAsia" w:ascii="宋体" w:hAnsi="宋体" w:cs="宋体"/>
          <w:color w:val="auto"/>
          <w:szCs w:val="21"/>
          <w:highlight w:val="none"/>
        </w:rPr>
        <w:t>章“投标文件格式”进行编写，如有必要，可以增加附页，作为投标文件的组成部分。其中，投标函在满足招标文件实质性要求的基础上，可以提出比招标文件要求更有利于招标人的承诺。</w:t>
      </w:r>
    </w:p>
    <w:p w14:paraId="7A92C215">
      <w:pPr>
        <w:keepNext w:val="0"/>
        <w:keepLines w:val="0"/>
        <w:pageBreakBefore w:val="0"/>
        <w:widowControl w:val="0"/>
        <w:kinsoku/>
        <w:wordWrap/>
        <w:overflowPunct/>
        <w:topLinePunct w:val="0"/>
        <w:autoSpaceDE/>
        <w:autoSpaceDN/>
        <w:bidi w:val="0"/>
        <w:adjustRightInd w:val="0"/>
        <w:snapToGrid w:val="0"/>
        <w:spacing w:line="50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本次投标不需要提供纸质投标文件，投标人应按照电子招标投标的要求，在投标人的电子系统中制作、签章、上传加密的电子投标文件。</w:t>
      </w:r>
    </w:p>
    <w:p w14:paraId="085D9925">
      <w:pPr>
        <w:keepNext w:val="0"/>
        <w:keepLines w:val="0"/>
        <w:pageBreakBefore w:val="0"/>
        <w:widowControl w:val="0"/>
        <w:kinsoku/>
        <w:wordWrap/>
        <w:overflowPunct/>
        <w:topLinePunct w:val="0"/>
        <w:autoSpaceDE/>
        <w:autoSpaceDN/>
        <w:bidi w:val="0"/>
        <w:adjustRightInd w:val="0"/>
        <w:snapToGrid w:val="0"/>
        <w:spacing w:line="50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投标文件应当对招标文件有关工期、投标有效期、质量要求、技术标准和要求、招标范围等实质性内容作出响应。</w:t>
      </w:r>
    </w:p>
    <w:p w14:paraId="5B1B77BC">
      <w:pPr>
        <w:keepNext w:val="0"/>
        <w:keepLines w:val="0"/>
        <w:pageBreakBefore w:val="0"/>
        <w:widowControl w:val="0"/>
        <w:kinsoku/>
        <w:wordWrap/>
        <w:overflowPunct/>
        <w:topLinePunct w:val="0"/>
        <w:autoSpaceDE/>
        <w:autoSpaceDN/>
        <w:bidi w:val="0"/>
        <w:adjustRightInd w:val="0"/>
        <w:snapToGrid w:val="0"/>
        <w:spacing w:line="500" w:lineRule="exact"/>
        <w:ind w:firstLine="420" w:firstLineChars="200"/>
        <w:textAlignment w:val="auto"/>
        <w:rPr>
          <w:rFonts w:hint="default" w:ascii="宋体" w:hAnsi="宋体" w:eastAsia="宋体" w:cs="宋体"/>
          <w:bCs/>
          <w:snapToGrid w:val="0"/>
          <w:color w:val="auto"/>
          <w:kern w:val="0"/>
          <w:szCs w:val="21"/>
          <w:highlight w:val="none"/>
          <w:lang w:val="en-US" w:eastAsia="zh-CN"/>
        </w:rPr>
      </w:pPr>
      <w:r>
        <w:rPr>
          <w:rFonts w:hint="eastAsia" w:ascii="宋体" w:hAnsi="宋体" w:cs="宋体"/>
          <w:bCs/>
          <w:snapToGrid w:val="0"/>
          <w:color w:val="auto"/>
          <w:kern w:val="0"/>
          <w:szCs w:val="21"/>
          <w:highlight w:val="none"/>
          <w:lang w:val="en-US" w:eastAsia="zh-CN"/>
        </w:rPr>
        <w:t>（4）</w:t>
      </w:r>
      <w:r>
        <w:rPr>
          <w:rFonts w:hint="eastAsia" w:ascii="宋体" w:hAnsi="宋体" w:cs="宋体"/>
          <w:bCs/>
          <w:snapToGrid w:val="0"/>
          <w:color w:val="auto"/>
          <w:kern w:val="0"/>
          <w:szCs w:val="21"/>
          <w:highlight w:val="none"/>
        </w:rPr>
        <w:t>投标人须知前附表规定接受联合体投标的，资格审查资料应包括联合体各方相关情况。</w:t>
      </w:r>
      <w:r>
        <w:rPr>
          <w:rFonts w:hint="eastAsia" w:ascii="宋体" w:hAnsi="宋体" w:cs="宋体"/>
          <w:bCs/>
          <w:snapToGrid w:val="0"/>
          <w:color w:val="auto"/>
          <w:kern w:val="0"/>
          <w:szCs w:val="21"/>
          <w:highlight w:val="none"/>
          <w:lang w:eastAsia="zh-CN"/>
        </w:rPr>
        <w:t>（</w:t>
      </w:r>
      <w:r>
        <w:rPr>
          <w:rFonts w:hint="eastAsia" w:ascii="宋体" w:hAnsi="宋体" w:cs="宋体"/>
          <w:bCs/>
          <w:snapToGrid w:val="0"/>
          <w:color w:val="auto"/>
          <w:kern w:val="0"/>
          <w:szCs w:val="21"/>
          <w:highlight w:val="none"/>
          <w:lang w:val="en-US" w:eastAsia="zh-CN"/>
        </w:rPr>
        <w:t>本项目不采用）</w:t>
      </w:r>
    </w:p>
    <w:p w14:paraId="73640784">
      <w:pPr>
        <w:keepNext w:val="0"/>
        <w:keepLines w:val="0"/>
        <w:pageBreakBefore w:val="0"/>
        <w:widowControl w:val="0"/>
        <w:kinsoku/>
        <w:wordWrap/>
        <w:overflowPunct/>
        <w:topLinePunct w:val="0"/>
        <w:autoSpaceDE/>
        <w:autoSpaceDN/>
        <w:bidi w:val="0"/>
        <w:adjustRightInd w:val="0"/>
        <w:snapToGrid w:val="0"/>
        <w:spacing w:line="500" w:lineRule="exact"/>
        <w:ind w:firstLine="420" w:firstLineChars="200"/>
        <w:textAlignment w:val="auto"/>
        <w:rPr>
          <w:rFonts w:hint="eastAsia" w:ascii="宋体" w:hAnsi="宋体" w:cs="宋体"/>
          <w:bCs/>
          <w:snapToGrid w:val="0"/>
          <w:color w:val="auto"/>
          <w:kern w:val="0"/>
          <w:szCs w:val="21"/>
          <w:highlight w:val="none"/>
        </w:rPr>
      </w:pPr>
      <w:r>
        <w:rPr>
          <w:rFonts w:hint="eastAsia" w:ascii="宋体" w:hAnsi="宋体" w:cs="宋体"/>
          <w:bCs/>
          <w:snapToGrid w:val="0"/>
          <w:color w:val="auto"/>
          <w:kern w:val="0"/>
          <w:szCs w:val="21"/>
          <w:highlight w:val="none"/>
          <w:lang w:val="en-US" w:eastAsia="zh-CN"/>
        </w:rPr>
        <w:t>（5）</w:t>
      </w:r>
      <w:r>
        <w:rPr>
          <w:rFonts w:hint="eastAsia" w:ascii="宋体" w:hAnsi="宋体" w:cs="宋体"/>
          <w:bCs/>
          <w:snapToGrid w:val="0"/>
          <w:color w:val="auto"/>
          <w:kern w:val="0"/>
          <w:szCs w:val="21"/>
          <w:highlight w:val="none"/>
        </w:rPr>
        <w:t>招标人有权核查投标人在投标文件中提供的资料，若发现投标人以他人名义投标或者以其他方式弄虚作假骗取中标的，中标无效；</w:t>
      </w:r>
      <w:r>
        <w:rPr>
          <w:rFonts w:hint="eastAsia" w:ascii="宋体" w:hAnsi="宋体" w:cs="宋体"/>
          <w:b/>
          <w:snapToGrid w:val="0"/>
          <w:color w:val="auto"/>
          <w:kern w:val="0"/>
          <w:szCs w:val="21"/>
          <w:highlight w:val="none"/>
        </w:rPr>
        <w:t>如果签订合同后发现中标人提供了虚假材料，招标人有权解除合同</w:t>
      </w:r>
      <w:r>
        <w:rPr>
          <w:rFonts w:hint="eastAsia" w:ascii="宋体" w:hAnsi="宋体" w:cs="宋体"/>
          <w:bCs/>
          <w:snapToGrid w:val="0"/>
          <w:color w:val="auto"/>
          <w:kern w:val="0"/>
          <w:szCs w:val="21"/>
          <w:highlight w:val="none"/>
        </w:rPr>
        <w:t>。</w:t>
      </w:r>
    </w:p>
    <w:p w14:paraId="235F6E73">
      <w:pPr>
        <w:keepNext w:val="0"/>
        <w:keepLines w:val="0"/>
        <w:pageBreakBefore w:val="0"/>
        <w:widowControl w:val="0"/>
        <w:kinsoku/>
        <w:wordWrap/>
        <w:overflowPunct/>
        <w:topLinePunct w:val="0"/>
        <w:autoSpaceDE/>
        <w:autoSpaceDN/>
        <w:bidi w:val="0"/>
        <w:adjustRightInd w:val="0"/>
        <w:snapToGrid w:val="0"/>
        <w:spacing w:line="50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投标文件的制作应满足以下规定：</w:t>
      </w:r>
    </w:p>
    <w:p w14:paraId="323DD771">
      <w:pPr>
        <w:keepNext w:val="0"/>
        <w:keepLines w:val="0"/>
        <w:pageBreakBefore w:val="0"/>
        <w:widowControl w:val="0"/>
        <w:kinsoku/>
        <w:wordWrap/>
        <w:overflowPunct/>
        <w:topLinePunct w:val="0"/>
        <w:autoSpaceDE/>
        <w:autoSpaceDN/>
        <w:bidi w:val="0"/>
        <w:adjustRightInd w:val="0"/>
        <w:snapToGrid w:val="0"/>
        <w:spacing w:line="500" w:lineRule="exact"/>
        <w:ind w:firstLine="630" w:firstLineChars="300"/>
        <w:textAlignment w:val="auto"/>
        <w:rPr>
          <w:rFonts w:hint="eastAsia" w:ascii="宋体" w:hAnsi="宋体" w:cs="宋体"/>
          <w:color w:val="auto"/>
          <w:szCs w:val="21"/>
          <w:highlight w:val="none"/>
        </w:rPr>
      </w:pPr>
      <w:r>
        <w:rPr>
          <w:rFonts w:hint="default" w:ascii="Calibri" w:hAnsi="Calibri" w:cs="Calibri"/>
          <w:color w:val="auto"/>
          <w:szCs w:val="21"/>
          <w:highlight w:val="none"/>
        </w:rPr>
        <w:t>①</w:t>
      </w:r>
      <w:r>
        <w:rPr>
          <w:rFonts w:hint="eastAsia" w:ascii="宋体" w:hAnsi="宋体" w:cs="宋体"/>
          <w:color w:val="auto"/>
          <w:szCs w:val="21"/>
          <w:highlight w:val="none"/>
        </w:rPr>
        <w:t>投标文件由投标人使用电子交易系统提供的“</w:t>
      </w:r>
      <w:r>
        <w:rPr>
          <w:rFonts w:hint="eastAsia" w:ascii="宋体" w:hAnsi="宋体" w:cs="宋体"/>
          <w:color w:val="auto"/>
          <w:szCs w:val="21"/>
          <w:highlight w:val="none"/>
          <w:lang w:eastAsia="zh-CN"/>
        </w:rPr>
        <w:t>投标文件制作软件</w:t>
      </w:r>
      <w:r>
        <w:rPr>
          <w:rFonts w:hint="eastAsia" w:ascii="宋体" w:hAnsi="宋体" w:cs="宋体"/>
          <w:color w:val="auto"/>
          <w:szCs w:val="21"/>
          <w:highlight w:val="none"/>
        </w:rPr>
        <w:t>”制作生成。“</w:t>
      </w:r>
      <w:r>
        <w:rPr>
          <w:rFonts w:hint="eastAsia" w:ascii="宋体" w:hAnsi="宋体" w:cs="宋体"/>
          <w:color w:val="auto"/>
          <w:szCs w:val="21"/>
          <w:highlight w:val="none"/>
          <w:lang w:eastAsia="zh-CN"/>
        </w:rPr>
        <w:t>投标文件制作软件</w:t>
      </w:r>
      <w:r>
        <w:rPr>
          <w:rFonts w:hint="eastAsia" w:ascii="宋体" w:hAnsi="宋体" w:cs="宋体"/>
          <w:color w:val="auto"/>
          <w:szCs w:val="21"/>
          <w:highlight w:val="none"/>
        </w:rPr>
        <w:t>”可以通过电子交易系统下载。</w:t>
      </w:r>
    </w:p>
    <w:p w14:paraId="65D73140">
      <w:pPr>
        <w:keepNext w:val="0"/>
        <w:keepLines w:val="0"/>
        <w:pageBreakBefore w:val="0"/>
        <w:widowControl w:val="0"/>
        <w:kinsoku/>
        <w:wordWrap/>
        <w:overflowPunct/>
        <w:topLinePunct w:val="0"/>
        <w:autoSpaceDE/>
        <w:autoSpaceDN/>
        <w:bidi w:val="0"/>
        <w:adjustRightInd w:val="0"/>
        <w:snapToGrid w:val="0"/>
        <w:spacing w:line="500" w:lineRule="exact"/>
        <w:ind w:firstLine="420" w:firstLineChars="200"/>
        <w:textAlignment w:val="auto"/>
        <w:rPr>
          <w:rFonts w:hint="eastAsia" w:ascii="宋体" w:hAnsi="宋体" w:cs="宋体"/>
          <w:color w:val="auto"/>
          <w:szCs w:val="21"/>
          <w:highlight w:val="none"/>
        </w:rPr>
      </w:pPr>
      <w:r>
        <w:rPr>
          <w:rFonts w:hint="default" w:ascii="Calibri" w:hAnsi="Calibri" w:cs="Calibri"/>
          <w:color w:val="auto"/>
          <w:szCs w:val="21"/>
          <w:highlight w:val="none"/>
        </w:rPr>
        <w:t>②</w:t>
      </w:r>
      <w:r>
        <w:rPr>
          <w:rFonts w:hint="eastAsia" w:ascii="宋体" w:hAnsi="宋体" w:cs="宋体"/>
          <w:b/>
          <w:color w:val="auto"/>
          <w:szCs w:val="21"/>
          <w:highlight w:val="none"/>
        </w:rPr>
        <w:t>招标文件中“签章”是指签字或盖章。</w:t>
      </w:r>
      <w:r>
        <w:rPr>
          <w:rFonts w:hint="eastAsia" w:ascii="宋体" w:hAnsi="宋体" w:cs="宋体"/>
          <w:color w:val="auto"/>
          <w:szCs w:val="21"/>
          <w:highlight w:val="none"/>
        </w:rPr>
        <w:t>在第九章“投标文件格式”中要求签章处，投标人应加盖投标人单位电子印章和法定代表人的个人电子印章/电子签名章或直接上传加盖投标人单位印章和法定代表人的印章（或签字）的原件彩色扫描件。联合体投标的，除联合体协议书外， 投标文件由联合体牵头人按上述规定加盖联合体牵头人单位电子印章和法定代表人的个人电子印章/电子签名章或直接上传加盖联合体牵头人单位印章和法定代表人的印章（或签字）的原件彩色扫描件。</w:t>
      </w:r>
    </w:p>
    <w:p w14:paraId="587A8B72">
      <w:pPr>
        <w:keepNext w:val="0"/>
        <w:keepLines w:val="0"/>
        <w:pageBreakBefore w:val="0"/>
        <w:widowControl w:val="0"/>
        <w:kinsoku/>
        <w:wordWrap/>
        <w:overflowPunct/>
        <w:topLinePunct w:val="0"/>
        <w:autoSpaceDE/>
        <w:autoSpaceDN/>
        <w:bidi w:val="0"/>
        <w:adjustRightInd w:val="0"/>
        <w:snapToGrid w:val="0"/>
        <w:spacing w:line="500" w:lineRule="exact"/>
        <w:ind w:firstLine="420" w:firstLineChars="200"/>
        <w:textAlignment w:val="auto"/>
        <w:rPr>
          <w:rFonts w:hint="eastAsia" w:ascii="宋体" w:hAnsi="宋体" w:cs="宋体"/>
          <w:color w:val="auto"/>
          <w:szCs w:val="21"/>
          <w:highlight w:val="none"/>
        </w:rPr>
      </w:pPr>
      <w:r>
        <w:rPr>
          <w:rFonts w:hint="default" w:ascii="Calibri" w:hAnsi="Calibri" w:cs="Calibri"/>
          <w:color w:val="auto"/>
          <w:szCs w:val="21"/>
          <w:highlight w:val="none"/>
        </w:rPr>
        <w:t>③</w:t>
      </w:r>
      <w:r>
        <w:rPr>
          <w:rFonts w:hint="eastAsia" w:ascii="宋体" w:hAnsi="宋体" w:cs="宋体"/>
          <w:color w:val="auto"/>
          <w:szCs w:val="21"/>
          <w:highlight w:val="none"/>
        </w:rPr>
        <w:t>投标文件制作完成后，投标人应对投标文件进行文件加密，形成加密的投标文件。采用CA数字证书加密的，加密时投标文件的所有内容均只能使用同一把CA数字证书进行加密，否则引起的解密失败责任由投标人自行承担。</w:t>
      </w:r>
    </w:p>
    <w:p w14:paraId="5D24B5A5">
      <w:pPr>
        <w:keepNext w:val="0"/>
        <w:keepLines w:val="0"/>
        <w:pageBreakBefore w:val="0"/>
        <w:widowControl w:val="0"/>
        <w:kinsoku/>
        <w:wordWrap/>
        <w:overflowPunct/>
        <w:topLinePunct w:val="0"/>
        <w:autoSpaceDE/>
        <w:autoSpaceDN/>
        <w:bidi w:val="0"/>
        <w:adjustRightInd w:val="0"/>
        <w:snapToGrid w:val="0"/>
        <w:spacing w:line="500" w:lineRule="exact"/>
        <w:ind w:firstLine="420" w:firstLineChars="200"/>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因投标人自身原因而导致投标文件无法导入电子交易系统电子开标、评标系统，该投标视为无效投标，投标人自行承担由此导致的全部责任。</w:t>
      </w:r>
    </w:p>
    <w:p w14:paraId="1F0A52CF">
      <w:pPr>
        <w:keepNext w:val="0"/>
        <w:keepLines w:val="0"/>
        <w:pageBreakBefore w:val="0"/>
        <w:widowControl w:val="0"/>
        <w:kinsoku/>
        <w:wordWrap/>
        <w:overflowPunct/>
        <w:topLinePunct w:val="0"/>
        <w:autoSpaceDE/>
        <w:autoSpaceDN/>
        <w:bidi w:val="0"/>
        <w:adjustRightInd w:val="0"/>
        <w:snapToGrid w:val="0"/>
        <w:spacing w:line="500" w:lineRule="exact"/>
        <w:ind w:firstLine="420" w:firstLineChars="200"/>
        <w:textAlignment w:val="auto"/>
        <w:rPr>
          <w:rFonts w:hint="default"/>
          <w:color w:val="auto"/>
          <w:highlight w:val="none"/>
          <w:lang w:val="en-US"/>
        </w:rPr>
      </w:pPr>
      <w:r>
        <w:rPr>
          <w:rFonts w:hint="eastAsia" w:ascii="宋体" w:hAnsi="宋体" w:cs="宋体"/>
          <w:color w:val="auto"/>
          <w:kern w:val="0"/>
          <w:szCs w:val="21"/>
          <w:highlight w:val="none"/>
          <w:lang w:val="en-US" w:eastAsia="zh-CN"/>
        </w:rPr>
        <w:t>（9）</w:t>
      </w:r>
      <w:r>
        <w:rPr>
          <w:rFonts w:hint="eastAsia" w:ascii="宋体" w:hAnsi="宋体" w:cs="宋体"/>
          <w:color w:val="auto"/>
          <w:kern w:val="0"/>
          <w:szCs w:val="21"/>
          <w:highlight w:val="none"/>
        </w:rPr>
        <w:t>投标人中标后须递交与网上电子投标文件完全一致的纸质版投标文件，在领取中标通知书时，一并递交给招标代理机构。</w:t>
      </w:r>
    </w:p>
    <w:p w14:paraId="59AB93AD">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rPr>
        <w:t>2</w:t>
      </w:r>
      <w:r>
        <w:rPr>
          <w:rFonts w:hint="eastAsia" w:ascii="宋体" w:hAnsi="宋体" w:cs="宋体"/>
          <w:b/>
          <w:color w:val="auto"/>
          <w:szCs w:val="21"/>
          <w:highlight w:val="none"/>
          <w:lang w:val="en-US" w:eastAsia="zh-CN"/>
        </w:rPr>
        <w:t>0</w:t>
      </w:r>
      <w:r>
        <w:rPr>
          <w:rFonts w:hint="eastAsia" w:ascii="宋体" w:hAnsi="宋体" w:cs="宋体"/>
          <w:color w:val="auto"/>
          <w:szCs w:val="21"/>
          <w:highlight w:val="none"/>
        </w:rPr>
        <w:t>.</w:t>
      </w:r>
      <w:r>
        <w:rPr>
          <w:rFonts w:hint="eastAsia" w:ascii="宋体" w:hAnsi="宋体" w:cs="宋体"/>
          <w:b/>
          <w:color w:val="auto"/>
          <w:szCs w:val="21"/>
          <w:highlight w:val="none"/>
        </w:rPr>
        <w:t>投标报价</w:t>
      </w:r>
    </w:p>
    <w:p w14:paraId="3EEF9FC3">
      <w:pPr>
        <w:spacing w:line="440" w:lineRule="exact"/>
        <w:ind w:firstLine="403" w:firstLineChars="192"/>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0</w:t>
      </w:r>
      <w:r>
        <w:rPr>
          <w:rFonts w:hint="eastAsia" w:ascii="宋体" w:hAnsi="宋体" w:cs="宋体"/>
          <w:color w:val="auto"/>
          <w:szCs w:val="21"/>
          <w:highlight w:val="none"/>
        </w:rPr>
        <w:t>.1投标报价文件中的单价和总价全部采用人民币表示。投标人的报价应含有服务（货物）、利润、税金、政策性文件规定及合同包含的所有风险、责任、义务等，即为完成招标文件要求的服务（货物）内容所包含的一切应有费用，中标价格今后将不作任何调整，</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后期不再追加费用，投标供应商自行考虑投标风险。</w:t>
      </w:r>
    </w:p>
    <w:p w14:paraId="7DCEAC42">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0</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投标人只允许有一个方案、一个报价。</w:t>
      </w:r>
    </w:p>
    <w:p w14:paraId="772FFD7F">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0</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投标人应按“采购</w:t>
      </w:r>
      <w:r>
        <w:rPr>
          <w:rFonts w:hint="eastAsia" w:ascii="宋体" w:hAnsi="宋体" w:cs="宋体"/>
          <w:color w:val="auto"/>
          <w:szCs w:val="21"/>
          <w:highlight w:val="none"/>
          <w:lang w:val="en-US" w:eastAsia="zh-CN"/>
        </w:rPr>
        <w:t>需求“</w:t>
      </w:r>
      <w:r>
        <w:rPr>
          <w:rFonts w:hint="eastAsia" w:ascii="宋体" w:hAnsi="宋体" w:cs="宋体"/>
          <w:color w:val="auto"/>
          <w:szCs w:val="21"/>
          <w:highlight w:val="none"/>
        </w:rPr>
        <w:t>所列</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进行单报价，不得采用总价下浮的方式进行报价。</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包括国家对中标单位征收的各种税费等所有一切费用，</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今后将不作任何调整。</w:t>
      </w:r>
    </w:p>
    <w:p w14:paraId="42EA4FD0">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0</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投标报价应由法定代表人或被授权人签署。</w:t>
      </w:r>
    </w:p>
    <w:p w14:paraId="57E30F6E">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2</w:t>
      </w:r>
      <w:r>
        <w:rPr>
          <w:rFonts w:hint="eastAsia" w:ascii="宋体" w:hAnsi="宋体" w:cs="宋体"/>
          <w:bCs/>
          <w:color w:val="auto"/>
          <w:szCs w:val="21"/>
          <w:highlight w:val="none"/>
          <w:lang w:val="en-US" w:eastAsia="zh-CN"/>
        </w:rPr>
        <w:t>0</w:t>
      </w:r>
      <w:r>
        <w:rPr>
          <w:rFonts w:hint="eastAsia" w:ascii="宋体" w:hAnsi="宋体" w:cs="宋体"/>
          <w:bCs/>
          <w:color w:val="auto"/>
          <w:szCs w:val="21"/>
          <w:highlight w:val="none"/>
        </w:rPr>
        <w:t>.</w:t>
      </w:r>
      <w:r>
        <w:rPr>
          <w:rFonts w:hint="eastAsia" w:ascii="宋体" w:hAnsi="宋体" w:cs="宋体"/>
          <w:bCs/>
          <w:color w:val="auto"/>
          <w:szCs w:val="21"/>
          <w:highlight w:val="none"/>
          <w:lang w:val="en-US" w:eastAsia="zh-CN"/>
        </w:rPr>
        <w:t>5</w:t>
      </w:r>
      <w:r>
        <w:rPr>
          <w:rFonts w:hint="eastAsia" w:ascii="宋体"/>
          <w:bCs/>
          <w:color w:val="auto"/>
          <w:szCs w:val="21"/>
          <w:highlight w:val="none"/>
        </w:rPr>
        <w:t>投标人的报价不得高于本次招标最高限价</w:t>
      </w:r>
      <w:r>
        <w:rPr>
          <w:rFonts w:hint="eastAsia" w:ascii="宋体" w:hAnsi="宋体"/>
          <w:b/>
          <w:color w:val="auto"/>
          <w:szCs w:val="21"/>
          <w:highlight w:val="none"/>
        </w:rPr>
        <w:t>，</w:t>
      </w:r>
      <w:r>
        <w:rPr>
          <w:rFonts w:hint="eastAsia" w:ascii="宋体" w:hAnsi="宋体"/>
          <w:b/>
          <w:bCs/>
          <w:color w:val="auto"/>
          <w:szCs w:val="21"/>
          <w:highlight w:val="none"/>
        </w:rPr>
        <w:t>否则将作为无效投标处理。</w:t>
      </w:r>
    </w:p>
    <w:p w14:paraId="00CC986E">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0</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如投标文件中未列明全面实现投标货物功能而必须配置的配套或辅助设施及相应技术措施的费用，这些费用将被视为已包含在总投标价中。</w:t>
      </w:r>
    </w:p>
    <w:p w14:paraId="387755A2">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0</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总投标价中不得包含招标文件要求以外的内容，否则，在评标时不予核减，但在授予合同时，</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有权将这部分价格从其中标价格中扣除。</w:t>
      </w:r>
    </w:p>
    <w:p w14:paraId="60656FEC">
      <w:pPr>
        <w:spacing w:line="440" w:lineRule="exact"/>
        <w:ind w:firstLine="403" w:firstLineChars="192"/>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0</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总投标价中不得缺漏招标文件所要求的内容，否则，评标时将有效投标中该项内容的最高价计入其评标总价，但在授予合同时，缺漏项目的报价视作已含在其他项目的报价中，这些项目将作为免费赠送而包含在合同内。</w:t>
      </w:r>
    </w:p>
    <w:p w14:paraId="6B50143D">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w:t>
      </w:r>
      <w:r>
        <w:rPr>
          <w:rFonts w:hint="eastAsia" w:ascii="宋体" w:hAnsi="宋体" w:cs="宋体"/>
          <w:b/>
          <w:color w:val="auto"/>
          <w:szCs w:val="21"/>
          <w:highlight w:val="none"/>
          <w:lang w:val="en-US" w:eastAsia="zh-CN"/>
        </w:rPr>
        <w:t>1</w:t>
      </w:r>
      <w:r>
        <w:rPr>
          <w:rFonts w:hint="eastAsia" w:ascii="宋体" w:hAnsi="宋体" w:cs="宋体"/>
          <w:b/>
          <w:color w:val="auto"/>
          <w:szCs w:val="21"/>
          <w:highlight w:val="none"/>
        </w:rPr>
        <w:t>. 投标有效期</w:t>
      </w:r>
    </w:p>
    <w:p w14:paraId="500F4BC6">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.1 投标有效期见投标人须知前附表。</w:t>
      </w:r>
    </w:p>
    <w:p w14:paraId="634821A2">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.2在投标有效期内，投标人撤销或修改其投标文件的，应承担招标文件和法律规定的责任。</w:t>
      </w:r>
    </w:p>
    <w:p w14:paraId="258D4D7E">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.3出现特殊情况需要延长投标有效期的，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以书面形式通知所有投标人延长投标有效期。投标人同意延长的，不得要求或被允许修改或撤销其投标文件；投标人拒绝延长的，其投标失效。</w:t>
      </w:r>
    </w:p>
    <w:p w14:paraId="7D2743EB">
      <w:pPr>
        <w:spacing w:line="440" w:lineRule="exact"/>
        <w:ind w:firstLine="405" w:firstLineChars="192"/>
        <w:rPr>
          <w:rFonts w:hint="eastAsia" w:ascii="宋体" w:hAnsi="宋体" w:cs="宋体"/>
          <w:b/>
          <w:color w:val="auto"/>
          <w:szCs w:val="21"/>
          <w:highlight w:val="none"/>
        </w:rPr>
      </w:pPr>
      <w:r>
        <w:rPr>
          <w:rFonts w:hint="eastAsia" w:ascii="宋体" w:hAnsi="宋体" w:cs="宋体"/>
          <w:b/>
          <w:color w:val="auto"/>
          <w:szCs w:val="21"/>
          <w:highlight w:val="none"/>
        </w:rPr>
        <w:t>2</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 投标保证金</w:t>
      </w:r>
    </w:p>
    <w:p w14:paraId="445F779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.1本项目不缴纳投标保证金。</w:t>
      </w:r>
    </w:p>
    <w:p w14:paraId="35951FBA">
      <w:pPr>
        <w:spacing w:before="312" w:beforeLines="100" w:after="312" w:afterLines="100" w:line="440" w:lineRule="exact"/>
        <w:jc w:val="center"/>
        <w:rPr>
          <w:rFonts w:hint="eastAsia" w:ascii="宋体" w:hAnsi="宋体" w:eastAsia="宋体" w:cs="宋体"/>
          <w:b/>
          <w:color w:val="auto"/>
          <w:sz w:val="28"/>
          <w:szCs w:val="28"/>
          <w:highlight w:val="none"/>
        </w:rPr>
      </w:pPr>
      <w:bookmarkStart w:id="38" w:name="_Toc449028870"/>
      <w:r>
        <w:rPr>
          <w:rFonts w:hint="eastAsia" w:ascii="宋体" w:hAnsi="宋体" w:eastAsia="宋体" w:cs="宋体"/>
          <w:b/>
          <w:color w:val="auto"/>
          <w:sz w:val="28"/>
          <w:szCs w:val="28"/>
          <w:highlight w:val="none"/>
        </w:rPr>
        <w:t>（四）投标文件的递交</w:t>
      </w:r>
      <w:bookmarkEnd w:id="38"/>
    </w:p>
    <w:p w14:paraId="4E8134E5">
      <w:pPr>
        <w:spacing w:line="440" w:lineRule="exact"/>
        <w:rPr>
          <w:rFonts w:hint="eastAsia" w:ascii="宋体" w:hAnsi="宋体" w:cs="宋体"/>
          <w:b/>
          <w:color w:val="auto"/>
          <w:szCs w:val="21"/>
          <w:highlight w:val="none"/>
        </w:rPr>
      </w:pPr>
      <w:r>
        <w:rPr>
          <w:rFonts w:hint="eastAsia" w:ascii="宋体" w:hAnsi="宋体" w:cs="宋体"/>
          <w:b/>
          <w:color w:val="auto"/>
          <w:sz w:val="24"/>
          <w:highlight w:val="none"/>
        </w:rPr>
        <w:t xml:space="preserve">  </w:t>
      </w:r>
      <w:r>
        <w:rPr>
          <w:rFonts w:hint="eastAsia" w:ascii="宋体" w:hAnsi="宋体" w:cs="宋体"/>
          <w:b/>
          <w:color w:val="auto"/>
          <w:szCs w:val="21"/>
          <w:highlight w:val="none"/>
        </w:rPr>
        <w:t xml:space="preserve"> 2</w:t>
      </w:r>
      <w:r>
        <w:rPr>
          <w:rFonts w:hint="eastAsia" w:ascii="宋体" w:hAnsi="宋体" w:cs="宋体"/>
          <w:b/>
          <w:color w:val="auto"/>
          <w:szCs w:val="21"/>
          <w:highlight w:val="none"/>
          <w:lang w:val="en-US" w:eastAsia="zh-CN"/>
        </w:rPr>
        <w:t>3</w:t>
      </w:r>
      <w:r>
        <w:rPr>
          <w:rFonts w:hint="eastAsia" w:ascii="宋体" w:hAnsi="宋体" w:cs="宋体"/>
          <w:b/>
          <w:color w:val="auto"/>
          <w:szCs w:val="21"/>
          <w:highlight w:val="none"/>
        </w:rPr>
        <w:t>. 投标文件的份数和签署</w:t>
      </w:r>
    </w:p>
    <w:p w14:paraId="180A4520">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left"/>
        <w:textAlignment w:val="auto"/>
        <w:rPr>
          <w:rFonts w:hint="eastAsia" w:ascii="宋体" w:hAnsi="宋体" w:eastAsia="宋体" w:cs="宋体"/>
          <w:color w:val="auto"/>
          <w:szCs w:val="21"/>
          <w:highlight w:val="none"/>
        </w:rPr>
      </w:pPr>
      <w:bookmarkStart w:id="39" w:name="_Toc449028871"/>
      <w:r>
        <w:rPr>
          <w:rFonts w:hint="eastAsia" w:ascii="宋体" w:hAnsi="宋体" w:cs="宋体"/>
          <w:b w:val="0"/>
          <w:bCs w:val="0"/>
          <w:color w:val="auto"/>
          <w:szCs w:val="21"/>
          <w:highlight w:val="none"/>
        </w:rPr>
        <w:t>2</w:t>
      </w:r>
      <w:r>
        <w:rPr>
          <w:rFonts w:hint="eastAsia" w:ascii="宋体" w:hAnsi="宋体" w:cs="宋体"/>
          <w:b w:val="0"/>
          <w:bCs w:val="0"/>
          <w:color w:val="auto"/>
          <w:szCs w:val="21"/>
          <w:highlight w:val="none"/>
          <w:lang w:val="en-US" w:eastAsia="zh-CN"/>
        </w:rPr>
        <w:t>3</w:t>
      </w:r>
      <w:r>
        <w:rPr>
          <w:rFonts w:hint="eastAsia" w:ascii="宋体" w:hAnsi="宋体" w:cs="宋体"/>
          <w:b w:val="0"/>
          <w:bCs w:val="0"/>
          <w:color w:val="auto"/>
          <w:szCs w:val="21"/>
          <w:highlight w:val="none"/>
        </w:rPr>
        <w:t>.</w:t>
      </w:r>
      <w:r>
        <w:rPr>
          <w:rFonts w:hint="eastAsia" w:ascii="宋体" w:hAnsi="宋体" w:cs="宋体"/>
          <w:b w:val="0"/>
          <w:bCs w:val="0"/>
          <w:color w:val="auto"/>
          <w:szCs w:val="21"/>
          <w:highlight w:val="none"/>
          <w:lang w:val="en-US" w:eastAsia="zh-CN"/>
        </w:rPr>
        <w:t>1</w:t>
      </w:r>
      <w:r>
        <w:rPr>
          <w:rFonts w:hint="eastAsia" w:ascii="宋体" w:hAnsi="宋体" w:eastAsia="宋体" w:cs="宋体"/>
          <w:color w:val="auto"/>
          <w:szCs w:val="21"/>
          <w:highlight w:val="none"/>
        </w:rPr>
        <w:t>加密电子</w:t>
      </w:r>
      <w:r>
        <w:rPr>
          <w:rFonts w:hint="eastAsia" w:ascii="宋体" w:hAnsi="宋体" w:eastAsia="宋体" w:cs="宋体"/>
          <w:color w:val="auto"/>
          <w:szCs w:val="21"/>
          <w:highlight w:val="none"/>
          <w:lang w:val="en-US" w:eastAsia="zh-CN"/>
        </w:rPr>
        <w:t>投标</w:t>
      </w:r>
      <w:r>
        <w:rPr>
          <w:rFonts w:hint="eastAsia" w:ascii="宋体" w:hAnsi="宋体" w:eastAsia="宋体" w:cs="宋体"/>
          <w:color w:val="auto"/>
          <w:szCs w:val="21"/>
          <w:highlight w:val="none"/>
        </w:rPr>
        <w:t>文件应在</w:t>
      </w:r>
      <w:r>
        <w:rPr>
          <w:rFonts w:hint="eastAsia" w:ascii="宋体" w:hAnsi="宋体" w:eastAsia="宋体" w:cs="宋体"/>
          <w:color w:val="auto"/>
          <w:szCs w:val="21"/>
          <w:highlight w:val="none"/>
          <w:lang w:val="en-US" w:eastAsia="zh-CN"/>
        </w:rPr>
        <w:t>投标</w:t>
      </w:r>
      <w:r>
        <w:rPr>
          <w:rFonts w:hint="eastAsia" w:ascii="宋体" w:hAnsi="宋体" w:eastAsia="宋体" w:cs="宋体"/>
          <w:color w:val="auto"/>
          <w:szCs w:val="21"/>
          <w:highlight w:val="none"/>
        </w:rPr>
        <w:t>截止时间前通过</w:t>
      </w:r>
      <w:r>
        <w:rPr>
          <w:rFonts w:hint="eastAsia" w:ascii="宋体" w:hAnsi="宋体" w:eastAsia="宋体" w:cs="宋体"/>
          <w:color w:val="auto"/>
          <w:szCs w:val="21"/>
          <w:highlight w:val="none"/>
          <w:lang w:val="en-US" w:eastAsia="zh-CN"/>
        </w:rPr>
        <w:t>登录新点电子交易平台【滁州专区】上传投标文件</w:t>
      </w:r>
      <w:r>
        <w:rPr>
          <w:rFonts w:hint="eastAsia" w:ascii="宋体" w:hAnsi="宋体" w:eastAsia="宋体" w:cs="宋体"/>
          <w:color w:val="auto"/>
          <w:szCs w:val="21"/>
          <w:highlight w:val="none"/>
        </w:rPr>
        <w:t>。</w:t>
      </w:r>
    </w:p>
    <w:p w14:paraId="78C93E22">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left"/>
        <w:textAlignment w:val="auto"/>
        <w:rPr>
          <w:rFonts w:hint="eastAsia" w:ascii="宋体" w:hAnsi="宋体" w:cs="宋体"/>
          <w:b w:val="0"/>
          <w:bCs w:val="0"/>
          <w:color w:val="auto"/>
          <w:szCs w:val="21"/>
          <w:highlight w:val="none"/>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投标人中标</w:t>
      </w:r>
      <w:r>
        <w:rPr>
          <w:rFonts w:hint="eastAsia" w:ascii="宋体" w:hAnsi="宋体" w:eastAsia="宋体" w:cs="宋体"/>
          <w:color w:val="auto"/>
          <w:szCs w:val="21"/>
          <w:highlight w:val="none"/>
        </w:rPr>
        <w:t>后须递交与网上电子</w:t>
      </w:r>
      <w:r>
        <w:rPr>
          <w:rFonts w:hint="eastAsia" w:ascii="宋体" w:hAnsi="宋体" w:eastAsia="宋体" w:cs="宋体"/>
          <w:color w:val="auto"/>
          <w:szCs w:val="21"/>
          <w:highlight w:val="none"/>
          <w:lang w:val="en-US" w:eastAsia="zh-CN"/>
        </w:rPr>
        <w:t>投标</w:t>
      </w:r>
      <w:r>
        <w:rPr>
          <w:rFonts w:hint="eastAsia" w:ascii="宋体" w:hAnsi="宋体" w:eastAsia="宋体" w:cs="宋体"/>
          <w:color w:val="auto"/>
          <w:szCs w:val="21"/>
          <w:highlight w:val="none"/>
        </w:rPr>
        <w:t>文件完全一致的纸质版</w:t>
      </w:r>
      <w:r>
        <w:rPr>
          <w:rFonts w:hint="eastAsia" w:ascii="宋体" w:hAnsi="宋体" w:eastAsia="宋体" w:cs="宋体"/>
          <w:color w:val="auto"/>
          <w:szCs w:val="21"/>
          <w:highlight w:val="none"/>
          <w:lang w:val="en-US" w:eastAsia="zh-CN"/>
        </w:rPr>
        <w:t>投标</w:t>
      </w:r>
      <w:r>
        <w:rPr>
          <w:rFonts w:hint="eastAsia" w:ascii="宋体" w:hAnsi="宋体" w:eastAsia="宋体" w:cs="宋体"/>
          <w:color w:val="auto"/>
          <w:szCs w:val="21"/>
          <w:highlight w:val="none"/>
        </w:rPr>
        <w:t xml:space="preserve">文件，并按要求加盖单位章；份数：正本 </w:t>
      </w: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rPr>
        <w:t xml:space="preserve"> 份，副本</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rPr>
        <w:t>份；</w:t>
      </w:r>
      <w:r>
        <w:rPr>
          <w:rFonts w:hint="eastAsia" w:ascii="宋体" w:hAnsi="宋体" w:eastAsia="宋体" w:cs="宋体"/>
          <w:color w:val="auto"/>
          <w:szCs w:val="21"/>
          <w:highlight w:val="none"/>
          <w:lang w:val="en-US" w:eastAsia="zh-CN"/>
        </w:rPr>
        <w:t>中标人领</w:t>
      </w:r>
      <w:r>
        <w:rPr>
          <w:rFonts w:hint="eastAsia" w:ascii="宋体" w:hAnsi="宋体" w:eastAsia="宋体" w:cs="宋体"/>
          <w:color w:val="auto"/>
          <w:szCs w:val="21"/>
          <w:highlight w:val="none"/>
        </w:rPr>
        <w:t>取</w:t>
      </w:r>
      <w:r>
        <w:rPr>
          <w:rFonts w:hint="eastAsia" w:ascii="宋体" w:hAnsi="宋体" w:eastAsia="宋体" w:cs="宋体"/>
          <w:color w:val="auto"/>
          <w:szCs w:val="21"/>
          <w:highlight w:val="none"/>
          <w:lang w:val="en-US" w:eastAsia="zh-CN"/>
        </w:rPr>
        <w:t>中标</w:t>
      </w:r>
      <w:r>
        <w:rPr>
          <w:rFonts w:hint="eastAsia" w:ascii="宋体" w:hAnsi="宋体" w:eastAsia="宋体" w:cs="宋体"/>
          <w:color w:val="auto"/>
          <w:szCs w:val="21"/>
          <w:highlight w:val="none"/>
        </w:rPr>
        <w:t>通知书时，一并递交给代理机构）。</w:t>
      </w:r>
    </w:p>
    <w:p w14:paraId="0DB3632B">
      <w:pPr>
        <w:spacing w:line="440" w:lineRule="exact"/>
        <w:ind w:firstLine="312" w:firstLineChars="148"/>
        <w:jc w:val="left"/>
        <w:rPr>
          <w:rFonts w:hint="eastAsia" w:ascii="宋体" w:hAnsi="宋体" w:cs="宋体"/>
          <w:b/>
          <w:color w:val="auto"/>
          <w:szCs w:val="21"/>
          <w:highlight w:val="none"/>
        </w:rPr>
      </w:pPr>
      <w:r>
        <w:rPr>
          <w:rFonts w:hint="eastAsia" w:ascii="宋体" w:hAnsi="宋体" w:cs="宋体"/>
          <w:b/>
          <w:color w:val="auto"/>
          <w:szCs w:val="21"/>
          <w:highlight w:val="none"/>
        </w:rPr>
        <w:t>2</w:t>
      </w:r>
      <w:r>
        <w:rPr>
          <w:rFonts w:hint="eastAsia" w:ascii="宋体" w:hAnsi="宋体" w:cs="宋体"/>
          <w:b/>
          <w:color w:val="auto"/>
          <w:szCs w:val="21"/>
          <w:highlight w:val="none"/>
          <w:lang w:val="en-US" w:eastAsia="zh-CN"/>
        </w:rPr>
        <w:t>4</w:t>
      </w:r>
      <w:r>
        <w:rPr>
          <w:rFonts w:hint="eastAsia" w:ascii="宋体" w:hAnsi="宋体" w:cs="宋体"/>
          <w:b/>
          <w:color w:val="auto"/>
          <w:szCs w:val="21"/>
          <w:highlight w:val="none"/>
        </w:rPr>
        <w:t>. 投标文件的提交</w:t>
      </w:r>
    </w:p>
    <w:p w14:paraId="495D42AA">
      <w:pPr>
        <w:keepNext w:val="0"/>
        <w:keepLines w:val="0"/>
        <w:pageBreakBefore w:val="0"/>
        <w:widowControl w:val="0"/>
        <w:kinsoku/>
        <w:wordWrap/>
        <w:overflowPunct/>
        <w:topLinePunct w:val="0"/>
        <w:autoSpaceDE/>
        <w:autoSpaceDN/>
        <w:bidi w:val="0"/>
        <w:adjustRightInd w:val="0"/>
        <w:snapToGrid w:val="0"/>
        <w:spacing w:line="50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lang w:val="en-US" w:eastAsia="zh-CN"/>
        </w:rPr>
        <w:t>24.1</w:t>
      </w:r>
      <w:r>
        <w:rPr>
          <w:rFonts w:hint="eastAsia" w:ascii="宋体" w:hAnsi="宋体" w:cs="宋体"/>
          <w:color w:val="auto"/>
          <w:szCs w:val="21"/>
          <w:highlight w:val="none"/>
        </w:rPr>
        <w:t>投标人应当在第一章“招标公告”规定的投标截止时间前，将加密投标文件上传至电子交易系统。</w:t>
      </w:r>
    </w:p>
    <w:p w14:paraId="153D6973">
      <w:pPr>
        <w:keepNext w:val="0"/>
        <w:keepLines w:val="0"/>
        <w:pageBreakBefore w:val="0"/>
        <w:widowControl w:val="0"/>
        <w:kinsoku/>
        <w:wordWrap/>
        <w:overflowPunct/>
        <w:topLinePunct w:val="0"/>
        <w:autoSpaceDE/>
        <w:autoSpaceDN/>
        <w:bidi w:val="0"/>
        <w:adjustRightInd w:val="0"/>
        <w:snapToGrid w:val="0"/>
        <w:spacing w:line="50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lang w:val="en-US" w:eastAsia="zh-CN"/>
        </w:rPr>
        <w:t>24.2</w:t>
      </w:r>
      <w:r>
        <w:rPr>
          <w:rFonts w:hint="eastAsia" w:ascii="宋体" w:hAnsi="宋体" w:cs="宋体"/>
          <w:color w:val="auto"/>
          <w:szCs w:val="21"/>
          <w:highlight w:val="none"/>
        </w:rPr>
        <w:t>除投标人须知前附表另有规定外，投标人所递交的投标文件不予退还。</w:t>
      </w:r>
    </w:p>
    <w:p w14:paraId="2689C879">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lang w:val="en-US" w:eastAsia="zh-CN"/>
        </w:rPr>
        <w:t>24.3</w:t>
      </w:r>
      <w:r>
        <w:rPr>
          <w:rFonts w:ascii="宋体" w:hAnsi="宋体" w:cs="宋体"/>
          <w:color w:val="auto"/>
          <w:szCs w:val="21"/>
          <w:highlight w:val="none"/>
        </w:rPr>
        <w:t>投标人应当在投标截止时间前完成投标文件的</w:t>
      </w:r>
      <w:r>
        <w:rPr>
          <w:rFonts w:hint="eastAsia" w:ascii="宋体" w:hAnsi="宋体" w:cs="宋体"/>
          <w:color w:val="auto"/>
          <w:szCs w:val="21"/>
          <w:highlight w:val="none"/>
        </w:rPr>
        <w:t>网上递交，</w:t>
      </w:r>
      <w:r>
        <w:rPr>
          <w:rFonts w:ascii="宋体" w:hAnsi="宋体" w:cs="宋体"/>
          <w:color w:val="auto"/>
          <w:szCs w:val="21"/>
          <w:highlight w:val="none"/>
        </w:rPr>
        <w:t>并可以补充、修改或者撤回投标文件。投标截止时间前未完成投标文件</w:t>
      </w:r>
      <w:r>
        <w:rPr>
          <w:rFonts w:hint="eastAsia" w:ascii="宋体" w:hAnsi="宋体" w:cs="宋体"/>
          <w:color w:val="auto"/>
          <w:szCs w:val="21"/>
          <w:highlight w:val="none"/>
        </w:rPr>
        <w:t>网上递交</w:t>
      </w:r>
      <w:r>
        <w:rPr>
          <w:rFonts w:ascii="宋体" w:hAnsi="宋体" w:cs="宋体"/>
          <w:color w:val="auto"/>
          <w:szCs w:val="21"/>
          <w:highlight w:val="none"/>
        </w:rPr>
        <w:t>的，视为撤回投标文件。未按规定加密或投标截止时间后</w:t>
      </w:r>
      <w:r>
        <w:rPr>
          <w:rFonts w:hint="eastAsia" w:ascii="宋体" w:hAnsi="宋体" w:cs="宋体"/>
          <w:color w:val="auto"/>
          <w:szCs w:val="21"/>
          <w:highlight w:val="none"/>
        </w:rPr>
        <w:t>通过网上招标投标系统递交电子投标文件的</w:t>
      </w:r>
      <w:r>
        <w:rPr>
          <w:rFonts w:ascii="宋体" w:hAnsi="宋体" w:cs="宋体"/>
          <w:color w:val="auto"/>
          <w:szCs w:val="21"/>
          <w:highlight w:val="none"/>
        </w:rPr>
        <w:t>，电子交易系统应当拒收</w:t>
      </w:r>
      <w:r>
        <w:rPr>
          <w:rFonts w:hint="eastAsia" w:ascii="宋体" w:hAnsi="宋体" w:cs="宋体"/>
          <w:color w:val="auto"/>
          <w:szCs w:val="21"/>
          <w:highlight w:val="none"/>
        </w:rPr>
        <w:t>，投标无效。</w:t>
      </w:r>
    </w:p>
    <w:p w14:paraId="38EA15AF">
      <w:pPr>
        <w:spacing w:line="440" w:lineRule="exact"/>
        <w:ind w:firstLine="314" w:firstLineChars="149"/>
        <w:rPr>
          <w:rFonts w:hint="eastAsia" w:ascii="宋体" w:hAnsi="宋体" w:cs="宋体"/>
          <w:b/>
          <w:color w:val="auto"/>
          <w:szCs w:val="21"/>
          <w:highlight w:val="none"/>
        </w:rPr>
      </w:pPr>
      <w:r>
        <w:rPr>
          <w:rFonts w:hint="eastAsia" w:ascii="宋体" w:hAnsi="宋体" w:cs="宋体"/>
          <w:b/>
          <w:color w:val="auto"/>
          <w:szCs w:val="21"/>
          <w:highlight w:val="none"/>
        </w:rPr>
        <w:t>2</w:t>
      </w:r>
      <w:r>
        <w:rPr>
          <w:rFonts w:hint="eastAsia" w:ascii="宋体" w:hAnsi="宋体" w:cs="宋体"/>
          <w:b/>
          <w:color w:val="auto"/>
          <w:szCs w:val="21"/>
          <w:highlight w:val="none"/>
          <w:lang w:val="en-US" w:eastAsia="zh-CN"/>
        </w:rPr>
        <w:t>5</w:t>
      </w:r>
      <w:r>
        <w:rPr>
          <w:rFonts w:hint="eastAsia" w:ascii="宋体" w:hAnsi="宋体" w:cs="宋体"/>
          <w:b/>
          <w:color w:val="auto"/>
          <w:szCs w:val="21"/>
          <w:highlight w:val="none"/>
        </w:rPr>
        <w:t>．投标文件的修改与撤回</w:t>
      </w:r>
    </w:p>
    <w:p w14:paraId="2066F094">
      <w:pPr>
        <w:spacing w:line="440" w:lineRule="exact"/>
        <w:ind w:firstLine="310" w:firstLineChars="148"/>
        <w:jc w:val="left"/>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2</w:t>
      </w:r>
      <w:r>
        <w:rPr>
          <w:rFonts w:hint="eastAsia" w:ascii="宋体" w:hAnsi="宋体" w:cs="宋体"/>
          <w:b w:val="0"/>
          <w:bCs/>
          <w:color w:val="auto"/>
          <w:szCs w:val="21"/>
          <w:highlight w:val="none"/>
          <w:lang w:val="en-US" w:eastAsia="zh-CN"/>
        </w:rPr>
        <w:t>5</w:t>
      </w:r>
      <w:r>
        <w:rPr>
          <w:rFonts w:hint="eastAsia" w:ascii="宋体" w:hAnsi="宋体" w:eastAsia="宋体" w:cs="宋体"/>
          <w:b w:val="0"/>
          <w:bCs/>
          <w:color w:val="auto"/>
          <w:szCs w:val="21"/>
          <w:highlight w:val="none"/>
        </w:rPr>
        <w:t>.1在第一章“招标公告”规定的投标截止时间前，投标人可以自行从网上开评标系统撤回已递交的投标文件，并可修改后重新加密上传，开标时以投标截止时间前投标人最终上传的投标文件为准。</w:t>
      </w:r>
    </w:p>
    <w:p w14:paraId="49A5D768">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（五）开标、评标和定标</w:t>
      </w:r>
      <w:bookmarkEnd w:id="39"/>
    </w:p>
    <w:p w14:paraId="1C17E632">
      <w:pPr>
        <w:spacing w:line="440" w:lineRule="exact"/>
        <w:rPr>
          <w:rFonts w:hint="eastAsia" w:ascii="宋体" w:hAnsi="宋体" w:cs="宋体"/>
          <w:b/>
          <w:color w:val="auto"/>
          <w:szCs w:val="21"/>
          <w:highlight w:val="none"/>
        </w:rPr>
      </w:pPr>
      <w:r>
        <w:rPr>
          <w:rFonts w:hint="eastAsia" w:ascii="宋体" w:hAnsi="宋体" w:cs="宋体"/>
          <w:b/>
          <w:color w:val="auto"/>
          <w:sz w:val="24"/>
          <w:highlight w:val="none"/>
        </w:rPr>
        <w:t xml:space="preserve">  </w:t>
      </w:r>
      <w:r>
        <w:rPr>
          <w:rFonts w:hint="eastAsia" w:ascii="宋体" w:hAnsi="宋体" w:cs="宋体"/>
          <w:b/>
          <w:color w:val="auto"/>
          <w:szCs w:val="21"/>
          <w:highlight w:val="none"/>
        </w:rPr>
        <w:t xml:space="preserve"> 2</w:t>
      </w:r>
      <w:r>
        <w:rPr>
          <w:rFonts w:hint="eastAsia" w:ascii="宋体" w:hAnsi="宋体" w:cs="宋体"/>
          <w:b/>
          <w:color w:val="auto"/>
          <w:szCs w:val="21"/>
          <w:highlight w:val="none"/>
          <w:lang w:val="en-US" w:eastAsia="zh-CN"/>
        </w:rPr>
        <w:t>6</w:t>
      </w:r>
      <w:r>
        <w:rPr>
          <w:rFonts w:hint="eastAsia" w:ascii="宋体" w:hAnsi="宋体" w:cs="宋体"/>
          <w:b/>
          <w:color w:val="auto"/>
          <w:szCs w:val="21"/>
          <w:highlight w:val="none"/>
        </w:rPr>
        <w:t>. 开标</w:t>
      </w:r>
    </w:p>
    <w:p w14:paraId="305E570E">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.1  开标的时间和地点</w:t>
      </w:r>
    </w:p>
    <w:p w14:paraId="389E8B2D">
      <w:pPr>
        <w:pageBreakBefore w:val="0"/>
        <w:widowControl w:val="0"/>
        <w:kinsoku/>
        <w:wordWrap/>
        <w:overflowPunct/>
        <w:topLinePunct w:val="0"/>
        <w:autoSpaceDE/>
        <w:autoSpaceDN/>
        <w:bidi w:val="0"/>
        <w:adjustRightInd w:val="0"/>
        <w:snapToGrid w:val="0"/>
        <w:spacing w:line="50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.1.1</w:t>
      </w:r>
      <w:r>
        <w:rPr>
          <w:rFonts w:hint="eastAsia" w:ascii="宋体" w:hAnsi="宋体" w:eastAsia="宋体" w:cs="宋体"/>
          <w:color w:val="auto"/>
          <w:kern w:val="2"/>
          <w:sz w:val="21"/>
          <w:szCs w:val="21"/>
          <w:highlight w:val="none"/>
          <w:lang w:val="en-US" w:eastAsia="zh-CN" w:bidi="ar-SA"/>
        </w:rPr>
        <w:t>招标人在第一章“招标公告”规定的投标截止时间前（开标时间）和地点通过电子交易系统公开开标。</w:t>
      </w:r>
    </w:p>
    <w:p w14:paraId="543B5AE4">
      <w:pPr>
        <w:spacing w:line="440" w:lineRule="exact"/>
        <w:ind w:right="-155" w:rightChars="-74" w:firstLine="210" w:firstLineChars="100"/>
        <w:jc w:val="left"/>
        <w:rPr>
          <w:rFonts w:hint="eastAsia" w:ascii="宋体" w:hAnsi="宋体" w:cs="宋体"/>
          <w:color w:val="auto"/>
          <w:szCs w:val="21"/>
          <w:highlight w:val="none"/>
          <w:lang w:val="en-US" w:eastAsia="zh-CN"/>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 xml:space="preserve">.2  </w:t>
      </w:r>
      <w:r>
        <w:rPr>
          <w:rFonts w:hint="eastAsia" w:ascii="宋体" w:hAnsi="宋体" w:cs="宋体"/>
          <w:color w:val="auto"/>
          <w:szCs w:val="21"/>
          <w:highlight w:val="none"/>
          <w:lang w:val="en-US" w:eastAsia="zh-CN"/>
        </w:rPr>
        <w:t>开标程序</w:t>
      </w:r>
    </w:p>
    <w:p w14:paraId="4F31F572">
      <w:pPr>
        <w:spacing w:line="440" w:lineRule="exact"/>
        <w:ind w:right="-155" w:rightChars="-74" w:firstLine="210" w:firstLineChars="100"/>
        <w:jc w:val="left"/>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主持人按下列程序进行开标：</w:t>
      </w:r>
    </w:p>
    <w:p w14:paraId="046E0887">
      <w:pPr>
        <w:spacing w:line="440" w:lineRule="exact"/>
        <w:ind w:right="-155" w:rightChars="-74" w:firstLine="210" w:firstLineChars="100"/>
        <w:jc w:val="left"/>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（1）公布在投标截止时间前通过电子交易系统完成投标文件递交的投标人名称；</w:t>
      </w:r>
    </w:p>
    <w:p w14:paraId="6D3FFED7">
      <w:pPr>
        <w:spacing w:line="440" w:lineRule="exact"/>
        <w:ind w:right="-155" w:rightChars="-74" w:firstLine="210" w:firstLineChars="100"/>
        <w:jc w:val="left"/>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 xml:space="preserve"> （2）投标人在投标截止时间后在投标人须知前附表规定的解密时间内完成投标文件的解密工作；</w:t>
      </w:r>
    </w:p>
    <w:p w14:paraId="5919E1C1">
      <w:pPr>
        <w:spacing w:line="440" w:lineRule="exact"/>
        <w:ind w:right="-155" w:rightChars="-74" w:firstLine="210" w:firstLineChars="100"/>
        <w:jc w:val="left"/>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（3）招标人或招标代理机构完成解密工作，导入并读取所有成功解密的投标文件；</w:t>
      </w:r>
    </w:p>
    <w:p w14:paraId="3292AFC0">
      <w:pPr>
        <w:spacing w:line="440" w:lineRule="exact"/>
        <w:ind w:right="-155" w:rightChars="-74" w:firstLine="210" w:firstLineChars="100"/>
        <w:jc w:val="left"/>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（4）按投标人须知前附表规定公布投标人名称、标段名称、投标报价、工期及其他内容；</w:t>
      </w:r>
    </w:p>
    <w:p w14:paraId="678DD48F">
      <w:pPr>
        <w:spacing w:line="440" w:lineRule="exact"/>
        <w:ind w:right="-155" w:rightChars="-74" w:firstLine="210" w:firstLineChars="100"/>
        <w:jc w:val="left"/>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（5）开标结束。</w:t>
      </w:r>
    </w:p>
    <w:p w14:paraId="7E535077">
      <w:pPr>
        <w:spacing w:line="440" w:lineRule="exact"/>
        <w:ind w:right="-155" w:rightChars="-74"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 xml:space="preserve"> 2</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.4开标疑义</w:t>
      </w:r>
    </w:p>
    <w:p w14:paraId="61A3FD8C">
      <w:pPr>
        <w:spacing w:line="440" w:lineRule="exact"/>
        <w:ind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投标人对开标有异议的，应当在开标过程中提出，招标人在开标过程中作出答复，并制作记录。异议与答复应通过电子交易系统进行。</w:t>
      </w:r>
    </w:p>
    <w:p w14:paraId="51D057A6">
      <w:pPr>
        <w:spacing w:line="440" w:lineRule="exact"/>
        <w:ind w:firstLine="421"/>
        <w:jc w:val="left"/>
        <w:rPr>
          <w:rFonts w:hint="eastAsia" w:ascii="宋体" w:hAnsi="宋体" w:cs="宋体"/>
          <w:b/>
          <w:color w:val="auto"/>
          <w:szCs w:val="21"/>
          <w:highlight w:val="none"/>
        </w:rPr>
      </w:pPr>
      <w:r>
        <w:rPr>
          <w:rFonts w:hint="eastAsia" w:ascii="宋体" w:hAnsi="宋体" w:cs="宋体"/>
          <w:b/>
          <w:color w:val="auto"/>
          <w:szCs w:val="21"/>
          <w:highlight w:val="none"/>
        </w:rPr>
        <w:t>2</w:t>
      </w:r>
      <w:r>
        <w:rPr>
          <w:rFonts w:hint="eastAsia" w:ascii="宋体" w:hAnsi="宋体" w:cs="宋体"/>
          <w:b/>
          <w:color w:val="auto"/>
          <w:szCs w:val="21"/>
          <w:highlight w:val="none"/>
          <w:lang w:val="en-US" w:eastAsia="zh-CN"/>
        </w:rPr>
        <w:t>7</w:t>
      </w:r>
      <w:r>
        <w:rPr>
          <w:rFonts w:hint="eastAsia" w:ascii="宋体" w:hAnsi="宋体" w:cs="宋体"/>
          <w:b/>
          <w:color w:val="auto"/>
          <w:szCs w:val="21"/>
          <w:highlight w:val="none"/>
        </w:rPr>
        <w:t>.评标委员会</w:t>
      </w:r>
    </w:p>
    <w:p w14:paraId="23F54807">
      <w:pPr>
        <w:spacing w:line="440" w:lineRule="exact"/>
        <w:ind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.1  评标委员会的组成</w:t>
      </w:r>
    </w:p>
    <w:p w14:paraId="34A543F0">
      <w:pPr>
        <w:spacing w:line="440" w:lineRule="exact"/>
        <w:ind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.1.1评标由</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依法组建的评标委员会负责。</w:t>
      </w:r>
    </w:p>
    <w:p w14:paraId="1E389BE0">
      <w:pPr>
        <w:spacing w:line="440" w:lineRule="exact"/>
        <w:ind w:firstLine="210" w:firstLineChars="1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.1.2评标委员会负责人依法推荐或确定。</w:t>
      </w:r>
    </w:p>
    <w:p w14:paraId="7E64B60B">
      <w:pPr>
        <w:keepNext w:val="0"/>
        <w:keepLines w:val="0"/>
        <w:pageBreakBefore w:val="0"/>
        <w:widowControl w:val="0"/>
        <w:kinsoku/>
        <w:wordWrap/>
        <w:overflowPunct/>
        <w:topLinePunct w:val="0"/>
        <w:autoSpaceDE/>
        <w:autoSpaceDN/>
        <w:bidi w:val="0"/>
        <w:spacing w:line="500" w:lineRule="exact"/>
        <w:ind w:firstLine="210" w:firstLineChars="100"/>
        <w:jc w:val="left"/>
        <w:textAlignment w:val="auto"/>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27.2</w:t>
      </w:r>
      <w:r>
        <w:rPr>
          <w:rFonts w:hint="eastAsia" w:ascii="宋体" w:hAnsi="宋体" w:eastAsia="宋体" w:cs="宋体"/>
          <w:color w:val="auto"/>
          <w:sz w:val="21"/>
          <w:szCs w:val="21"/>
          <w:highlight w:val="none"/>
        </w:rPr>
        <w:t>评标委员会成员名单在中标结果确定前应当保密。</w:t>
      </w:r>
    </w:p>
    <w:p w14:paraId="4B33CFD6">
      <w:pPr>
        <w:keepNext w:val="0"/>
        <w:keepLines w:val="0"/>
        <w:pageBreakBefore w:val="0"/>
        <w:widowControl w:val="0"/>
        <w:kinsoku/>
        <w:wordWrap/>
        <w:overflowPunct/>
        <w:topLinePunct w:val="0"/>
        <w:autoSpaceDE/>
        <w:autoSpaceDN/>
        <w:bidi w:val="0"/>
        <w:spacing w:line="500" w:lineRule="exact"/>
        <w:ind w:firstLine="210" w:firstLineChars="100"/>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27.3</w:t>
      </w:r>
      <w:r>
        <w:rPr>
          <w:rFonts w:hint="eastAsia" w:ascii="宋体" w:hAnsi="宋体" w:eastAsia="宋体" w:cs="宋体"/>
          <w:color w:val="auto"/>
          <w:sz w:val="21"/>
          <w:szCs w:val="21"/>
          <w:highlight w:val="none"/>
        </w:rPr>
        <w:t>评标委员会成员有下述情形的，应当主动提出回避：</w:t>
      </w:r>
    </w:p>
    <w:p w14:paraId="35F7FDBC">
      <w:pPr>
        <w:keepNext w:val="0"/>
        <w:keepLines w:val="0"/>
        <w:pageBreakBefore w:val="0"/>
        <w:widowControl w:val="0"/>
        <w:kinsoku/>
        <w:wordWrap/>
        <w:overflowPunct/>
        <w:topLinePunct w:val="0"/>
        <w:autoSpaceDE/>
        <w:autoSpaceDN/>
        <w:bidi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（1）供应商或供应商主要负责人的近亲属；</w:t>
      </w:r>
    </w:p>
    <w:p w14:paraId="399C6763">
      <w:pPr>
        <w:keepNext w:val="0"/>
        <w:keepLines w:val="0"/>
        <w:pageBreakBefore w:val="0"/>
        <w:widowControl w:val="0"/>
        <w:kinsoku/>
        <w:wordWrap/>
        <w:overflowPunct/>
        <w:topLinePunct w:val="0"/>
        <w:autoSpaceDE/>
        <w:autoSpaceDN/>
        <w:bidi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（2）项目主管部门或者行政监督部门的人员；</w:t>
      </w:r>
    </w:p>
    <w:p w14:paraId="316EA378">
      <w:pPr>
        <w:keepNext w:val="0"/>
        <w:keepLines w:val="0"/>
        <w:pageBreakBefore w:val="0"/>
        <w:widowControl w:val="0"/>
        <w:kinsoku/>
        <w:wordWrap/>
        <w:overflowPunct/>
        <w:topLinePunct w:val="0"/>
        <w:autoSpaceDE/>
        <w:autoSpaceDN/>
        <w:bidi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（3）与供应商有经济利益关系；</w:t>
      </w:r>
    </w:p>
    <w:p w14:paraId="5D6A0B5C">
      <w:pPr>
        <w:keepNext w:val="0"/>
        <w:keepLines w:val="0"/>
        <w:pageBreakBefore w:val="0"/>
        <w:widowControl w:val="0"/>
        <w:kinsoku/>
        <w:wordWrap/>
        <w:overflowPunct/>
        <w:topLinePunct w:val="0"/>
        <w:autoSpaceDE/>
        <w:autoSpaceDN/>
        <w:bidi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（4）曾因在招标、评标以及其他与招标投标有关活动中从事违法行为而受过行政处罚或刑事处罚的；</w:t>
      </w:r>
    </w:p>
    <w:p w14:paraId="66E347F7">
      <w:pPr>
        <w:keepNext w:val="0"/>
        <w:keepLines w:val="0"/>
        <w:pageBreakBefore w:val="0"/>
        <w:widowControl w:val="0"/>
        <w:kinsoku/>
        <w:wordWrap/>
        <w:overflowPunct/>
        <w:topLinePunct w:val="0"/>
        <w:autoSpaceDE/>
        <w:autoSpaceDN/>
        <w:bidi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（5）与供应商有其他利害关系。</w:t>
      </w:r>
    </w:p>
    <w:p w14:paraId="02FFF5CE">
      <w:pPr>
        <w:keepNext w:val="0"/>
        <w:keepLines w:val="0"/>
        <w:pageBreakBefore w:val="0"/>
        <w:widowControl w:val="0"/>
        <w:kinsoku/>
        <w:wordWrap/>
        <w:overflowPunct/>
        <w:topLinePunct w:val="0"/>
        <w:autoSpaceDE/>
        <w:autoSpaceDN/>
        <w:bidi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27.4</w:t>
      </w:r>
      <w:r>
        <w:rPr>
          <w:rFonts w:hint="eastAsia" w:ascii="宋体" w:hAnsi="宋体" w:eastAsia="宋体" w:cs="宋体"/>
          <w:color w:val="auto"/>
          <w:sz w:val="21"/>
          <w:szCs w:val="21"/>
          <w:highlight w:val="none"/>
        </w:rPr>
        <w:t>评标委员会应当向</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提出书面评标报告，并抄送有关行政监督部门。评标报告应当如实记载以下内容：</w:t>
      </w:r>
    </w:p>
    <w:p w14:paraId="278132FB">
      <w:pPr>
        <w:keepNext w:val="0"/>
        <w:keepLines w:val="0"/>
        <w:pageBreakBefore w:val="0"/>
        <w:widowControl w:val="0"/>
        <w:kinsoku/>
        <w:wordWrap/>
        <w:overflowPunct/>
        <w:topLinePunct w:val="0"/>
        <w:autoSpaceDE/>
        <w:autoSpaceDN/>
        <w:bidi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（1）基本情况和数据表；</w:t>
      </w:r>
    </w:p>
    <w:p w14:paraId="45C6D2B0">
      <w:pPr>
        <w:keepNext w:val="0"/>
        <w:keepLines w:val="0"/>
        <w:pageBreakBefore w:val="0"/>
        <w:widowControl w:val="0"/>
        <w:kinsoku/>
        <w:wordWrap/>
        <w:overflowPunct/>
        <w:topLinePunct w:val="0"/>
        <w:autoSpaceDE/>
        <w:autoSpaceDN/>
        <w:bidi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（2）评标委员会成员名单；</w:t>
      </w:r>
    </w:p>
    <w:p w14:paraId="03C4C779">
      <w:pPr>
        <w:keepNext w:val="0"/>
        <w:keepLines w:val="0"/>
        <w:pageBreakBefore w:val="0"/>
        <w:widowControl w:val="0"/>
        <w:kinsoku/>
        <w:wordWrap/>
        <w:overflowPunct/>
        <w:topLinePunct w:val="0"/>
        <w:autoSpaceDE/>
        <w:autoSpaceDN/>
        <w:bidi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（3）开标记录；</w:t>
      </w:r>
    </w:p>
    <w:p w14:paraId="79BBDDCE">
      <w:pPr>
        <w:keepNext w:val="0"/>
        <w:keepLines w:val="0"/>
        <w:pageBreakBefore w:val="0"/>
        <w:widowControl w:val="0"/>
        <w:kinsoku/>
        <w:wordWrap/>
        <w:overflowPunct/>
        <w:topLinePunct w:val="0"/>
        <w:autoSpaceDE/>
        <w:autoSpaceDN/>
        <w:bidi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（4）符合要求的供应商一览表；</w:t>
      </w:r>
    </w:p>
    <w:p w14:paraId="6137CF09">
      <w:pPr>
        <w:keepNext w:val="0"/>
        <w:keepLines w:val="0"/>
        <w:pageBreakBefore w:val="0"/>
        <w:widowControl w:val="0"/>
        <w:kinsoku/>
        <w:wordWrap/>
        <w:overflowPunct/>
        <w:topLinePunct w:val="0"/>
        <w:autoSpaceDE/>
        <w:autoSpaceDN/>
        <w:bidi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（5）无效情况说明；</w:t>
      </w:r>
    </w:p>
    <w:p w14:paraId="6806827E">
      <w:pPr>
        <w:keepNext w:val="0"/>
        <w:keepLines w:val="0"/>
        <w:pageBreakBefore w:val="0"/>
        <w:widowControl w:val="0"/>
        <w:kinsoku/>
        <w:wordWrap/>
        <w:overflowPunct/>
        <w:topLinePunct w:val="0"/>
        <w:autoSpaceDE/>
        <w:autoSpaceDN/>
        <w:bidi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（6）评标标准、评标方法或者评标因素一览表；</w:t>
      </w:r>
    </w:p>
    <w:p w14:paraId="67CA8C16">
      <w:pPr>
        <w:keepNext w:val="0"/>
        <w:keepLines w:val="0"/>
        <w:pageBreakBefore w:val="0"/>
        <w:widowControl w:val="0"/>
        <w:kinsoku/>
        <w:wordWrap/>
        <w:overflowPunct/>
        <w:topLinePunct w:val="0"/>
        <w:autoSpaceDE/>
        <w:autoSpaceDN/>
        <w:bidi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（7）经评审的价格或者评分比较一览表；</w:t>
      </w:r>
    </w:p>
    <w:p w14:paraId="0B99038A">
      <w:pPr>
        <w:keepNext w:val="0"/>
        <w:keepLines w:val="0"/>
        <w:pageBreakBefore w:val="0"/>
        <w:widowControl w:val="0"/>
        <w:kinsoku/>
        <w:wordWrap/>
        <w:overflowPunct/>
        <w:topLinePunct w:val="0"/>
        <w:autoSpaceDE/>
        <w:autoSpaceDN/>
        <w:bidi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（8）供应商串标、围标等违规行为的确认报告；</w:t>
      </w:r>
    </w:p>
    <w:p w14:paraId="16195BE2">
      <w:pPr>
        <w:keepNext w:val="0"/>
        <w:keepLines w:val="0"/>
        <w:pageBreakBefore w:val="0"/>
        <w:widowControl w:val="0"/>
        <w:kinsoku/>
        <w:wordWrap/>
        <w:overflowPunct/>
        <w:topLinePunct w:val="0"/>
        <w:autoSpaceDE/>
        <w:autoSpaceDN/>
        <w:bidi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（9）经评审的供应商排序；</w:t>
      </w:r>
    </w:p>
    <w:p w14:paraId="7B708267">
      <w:pPr>
        <w:keepNext w:val="0"/>
        <w:keepLines w:val="0"/>
        <w:pageBreakBefore w:val="0"/>
        <w:widowControl w:val="0"/>
        <w:kinsoku/>
        <w:wordWrap/>
        <w:overflowPunct/>
        <w:topLinePunct w:val="0"/>
        <w:autoSpaceDE/>
        <w:autoSpaceDN/>
        <w:bidi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（10）推荐的中标候选人名单；</w:t>
      </w:r>
    </w:p>
    <w:p w14:paraId="00A44750">
      <w:pPr>
        <w:keepNext w:val="0"/>
        <w:keepLines w:val="0"/>
        <w:pageBreakBefore w:val="0"/>
        <w:widowControl w:val="0"/>
        <w:kinsoku/>
        <w:wordWrap/>
        <w:overflowPunct/>
        <w:topLinePunct w:val="0"/>
        <w:autoSpaceDE/>
        <w:autoSpaceDN/>
        <w:bidi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（11）澄清、说明、补正事项纪要。</w:t>
      </w:r>
    </w:p>
    <w:p w14:paraId="4F3F49C8">
      <w:pPr>
        <w:keepNext w:val="0"/>
        <w:keepLines w:val="0"/>
        <w:pageBreakBefore w:val="0"/>
        <w:widowControl w:val="0"/>
        <w:kinsoku/>
        <w:wordWrap/>
        <w:overflowPunct/>
        <w:topLinePunct w:val="0"/>
        <w:autoSpaceDE/>
        <w:autoSpaceDN/>
        <w:bidi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27</w:t>
      </w:r>
      <w:r>
        <w:rPr>
          <w:rFonts w:hint="eastAsia" w:ascii="宋体" w:hAnsi="宋体" w:eastAsia="宋体" w:cs="宋体"/>
          <w:color w:val="auto"/>
          <w:sz w:val="21"/>
          <w:szCs w:val="21"/>
          <w:highlight w:val="none"/>
        </w:rPr>
        <w:t>.5评标委员会接受</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授权对供应商资格进行审查。</w:t>
      </w:r>
    </w:p>
    <w:p w14:paraId="3ADDDFB7">
      <w:pPr>
        <w:keepNext w:val="0"/>
        <w:keepLines w:val="0"/>
        <w:pageBreakBefore w:val="0"/>
        <w:widowControl w:val="0"/>
        <w:tabs>
          <w:tab w:val="left" w:pos="720"/>
        </w:tabs>
        <w:kinsoku/>
        <w:wordWrap/>
        <w:overflowPunct/>
        <w:topLinePunct w:val="0"/>
        <w:autoSpaceDE/>
        <w:autoSpaceDN/>
        <w:bidi w:val="0"/>
        <w:spacing w:line="500" w:lineRule="exact"/>
        <w:ind w:firstLine="420" w:firstLineChars="200"/>
        <w:jc w:val="left"/>
        <w:textAlignment w:val="auto"/>
        <w:rPr>
          <w:rFonts w:hint="eastAsia" w:ascii="宋体" w:hAnsi="宋体" w:cs="宋体"/>
          <w:b/>
          <w:color w:val="auto"/>
          <w:szCs w:val="21"/>
          <w:highlight w:val="none"/>
        </w:rPr>
      </w:pPr>
      <w:r>
        <w:rPr>
          <w:rFonts w:hint="eastAsia" w:ascii="宋体" w:hAnsi="宋体" w:cs="宋体"/>
          <w:color w:val="auto"/>
          <w:sz w:val="21"/>
          <w:szCs w:val="21"/>
          <w:highlight w:val="none"/>
          <w:lang w:val="en-US" w:eastAsia="zh-CN"/>
        </w:rPr>
        <w:t>27</w:t>
      </w:r>
      <w:r>
        <w:rPr>
          <w:rFonts w:hint="eastAsia" w:ascii="宋体" w:hAnsi="宋体" w:eastAsia="宋体" w:cs="宋体"/>
          <w:color w:val="auto"/>
          <w:sz w:val="21"/>
          <w:szCs w:val="21"/>
          <w:highlight w:val="none"/>
        </w:rPr>
        <w:t>.6评标委员会应自觉接受有关监督管理部门的现场监督，评标委员会成</w:t>
      </w:r>
      <w:r>
        <w:rPr>
          <w:rFonts w:hint="eastAsia" w:ascii="宋体" w:hAnsi="宋体" w:eastAsia="宋体" w:cs="宋体"/>
          <w:color w:val="auto"/>
          <w:sz w:val="21"/>
          <w:szCs w:val="21"/>
          <w:highlight w:val="none"/>
          <w:lang w:eastAsia="zh-CN"/>
        </w:rPr>
        <w:t>员和</w:t>
      </w:r>
      <w:r>
        <w:rPr>
          <w:rFonts w:hint="eastAsia" w:ascii="宋体" w:hAnsi="宋体" w:eastAsia="宋体" w:cs="宋体"/>
          <w:color w:val="auto"/>
          <w:sz w:val="21"/>
          <w:szCs w:val="21"/>
          <w:highlight w:val="none"/>
        </w:rPr>
        <w:t>与评标活动有关的工作人员和监督人员不得向他人透露对投标文件的评审和比较、中标候选人的推荐以及与评标有关的其他情况。投标文件及与评标有关的资料应当保密。</w:t>
      </w:r>
    </w:p>
    <w:p w14:paraId="1FE93A23">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2</w:t>
      </w:r>
      <w:r>
        <w:rPr>
          <w:rFonts w:hint="eastAsia" w:ascii="宋体" w:hAnsi="宋体" w:cs="宋体"/>
          <w:b/>
          <w:color w:val="auto"/>
          <w:szCs w:val="21"/>
          <w:highlight w:val="none"/>
          <w:lang w:val="en-US" w:eastAsia="zh-CN"/>
        </w:rPr>
        <w:t>8</w:t>
      </w:r>
      <w:r>
        <w:rPr>
          <w:rFonts w:hint="eastAsia" w:ascii="宋体" w:hAnsi="宋体" w:cs="宋体"/>
          <w:b/>
          <w:color w:val="auto"/>
          <w:szCs w:val="21"/>
          <w:highlight w:val="none"/>
        </w:rPr>
        <w:t>. 评标</w:t>
      </w:r>
    </w:p>
    <w:p w14:paraId="7E999BA9">
      <w:pPr>
        <w:keepNext w:val="0"/>
        <w:keepLines w:val="0"/>
        <w:pageBreakBefore w:val="0"/>
        <w:widowControl w:val="0"/>
        <w:kinsoku/>
        <w:overflowPunct/>
        <w:topLinePunct w:val="0"/>
        <w:autoSpaceDE/>
        <w:autoSpaceDN/>
        <w:bidi w:val="0"/>
        <w:spacing w:line="520" w:lineRule="exact"/>
        <w:ind w:left="0" w:leftChars="0" w:right="-386" w:rightChars="-184" w:firstLine="422" w:firstLineChars="200"/>
        <w:jc w:val="left"/>
        <w:textAlignment w:val="auto"/>
        <w:rPr>
          <w:rFonts w:hint="eastAsia" w:ascii="宋体" w:hAnsi="宋体" w:eastAsia="宋体" w:cs="宋体"/>
          <w:color w:val="auto"/>
          <w:sz w:val="21"/>
          <w:szCs w:val="21"/>
          <w:highlight w:val="none"/>
        </w:rPr>
      </w:pPr>
      <w:r>
        <w:rPr>
          <w:rFonts w:hint="eastAsia" w:ascii="宋体" w:hAnsi="宋体" w:cs="宋体"/>
          <w:b/>
          <w:bCs/>
          <w:color w:val="auto"/>
          <w:szCs w:val="21"/>
          <w:highlight w:val="none"/>
        </w:rPr>
        <w:t xml:space="preserve"> </w:t>
      </w:r>
      <w:r>
        <w:rPr>
          <w:rFonts w:hint="eastAsia" w:ascii="宋体" w:hAnsi="宋体" w:eastAsia="宋体" w:cs="宋体"/>
          <w:color w:val="auto"/>
          <w:sz w:val="21"/>
          <w:szCs w:val="21"/>
          <w:highlight w:val="none"/>
        </w:rPr>
        <w:t xml:space="preserve"> 2</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.1评标准备工作</w:t>
      </w:r>
    </w:p>
    <w:p w14:paraId="6811C5EC">
      <w:pPr>
        <w:keepNext w:val="0"/>
        <w:keepLines w:val="0"/>
        <w:pageBreakBefore w:val="0"/>
        <w:widowControl w:val="0"/>
        <w:kinsoku/>
        <w:overflowPunct/>
        <w:topLinePunct w:val="0"/>
        <w:autoSpaceDE/>
        <w:autoSpaceDN/>
        <w:bidi w:val="0"/>
        <w:spacing w:line="520" w:lineRule="exact"/>
        <w:ind w:left="0" w:leftChars="0" w:right="-386" w:rightChars="-184"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2</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.1.1阅读由</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或招标代理单位编写的招标项目情况的说明材料；</w:t>
      </w:r>
    </w:p>
    <w:p w14:paraId="4B770C26">
      <w:pPr>
        <w:keepNext w:val="0"/>
        <w:keepLines w:val="0"/>
        <w:pageBreakBefore w:val="0"/>
        <w:widowControl w:val="0"/>
        <w:kinsoku/>
        <w:overflowPunct/>
        <w:topLinePunct w:val="0"/>
        <w:autoSpaceDE/>
        <w:autoSpaceDN/>
        <w:bidi w:val="0"/>
        <w:spacing w:line="520" w:lineRule="exact"/>
        <w:ind w:left="0" w:leftChars="0" w:right="-386" w:rightChars="-184"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2</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.1.2阅读、研究招标文件和相关评标资料，获取评标所需要的重要信息和数据；</w:t>
      </w:r>
    </w:p>
    <w:p w14:paraId="29DE4DAB">
      <w:pPr>
        <w:keepNext w:val="0"/>
        <w:keepLines w:val="0"/>
        <w:pageBreakBefore w:val="0"/>
        <w:widowControl w:val="0"/>
        <w:kinsoku/>
        <w:overflowPunct/>
        <w:topLinePunct w:val="0"/>
        <w:autoSpaceDE/>
        <w:autoSpaceDN/>
        <w:bidi w:val="0"/>
        <w:spacing w:line="520" w:lineRule="exact"/>
        <w:ind w:left="0" w:leftChars="0" w:right="-386" w:rightChars="-184"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2</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.1.3熟悉招标文件规定的评标方法及在评标过程中需要考虑的相关因素；</w:t>
      </w:r>
    </w:p>
    <w:p w14:paraId="51029DC2">
      <w:pPr>
        <w:keepNext w:val="0"/>
        <w:keepLines w:val="0"/>
        <w:pageBreakBefore w:val="0"/>
        <w:widowControl w:val="0"/>
        <w:kinsoku/>
        <w:overflowPunct/>
        <w:topLinePunct w:val="0"/>
        <w:autoSpaceDE/>
        <w:autoSpaceDN/>
        <w:bidi w:val="0"/>
        <w:spacing w:line="520" w:lineRule="exact"/>
        <w:ind w:left="0" w:leftChars="0" w:right="-386" w:rightChars="-184"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2</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.1.4核对评标工作用表。</w:t>
      </w:r>
    </w:p>
    <w:p w14:paraId="663AD5C5">
      <w:pPr>
        <w:keepNext w:val="0"/>
        <w:keepLines w:val="0"/>
        <w:pageBreakBefore w:val="0"/>
        <w:widowControl w:val="0"/>
        <w:kinsoku/>
        <w:overflowPunct/>
        <w:topLinePunct w:val="0"/>
        <w:autoSpaceDE/>
        <w:autoSpaceDN/>
        <w:bidi w:val="0"/>
        <w:spacing w:line="520" w:lineRule="exact"/>
        <w:ind w:left="0" w:leftChars="0" w:right="-386" w:rightChars="-184"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2</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.2评标办法</w:t>
      </w:r>
    </w:p>
    <w:p w14:paraId="6BC0DDBF">
      <w:pPr>
        <w:keepNext w:val="0"/>
        <w:keepLines w:val="0"/>
        <w:pageBreakBefore w:val="0"/>
        <w:widowControl w:val="0"/>
        <w:kinsoku/>
        <w:overflowPunct/>
        <w:topLinePunct w:val="0"/>
        <w:autoSpaceDE/>
        <w:autoSpaceDN/>
        <w:bidi w:val="0"/>
        <w:spacing w:line="520" w:lineRule="exact"/>
        <w:ind w:left="0" w:leftChars="0" w:right="-386" w:rightChars="-184"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2</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2.1</w:t>
      </w:r>
      <w:r>
        <w:rPr>
          <w:rFonts w:hint="eastAsia" w:ascii="宋体" w:hAnsi="宋体" w:eastAsia="宋体" w:cs="宋体"/>
          <w:color w:val="auto"/>
          <w:sz w:val="21"/>
          <w:szCs w:val="21"/>
          <w:highlight w:val="none"/>
          <w:lang w:val="en-US" w:eastAsia="zh-CN"/>
        </w:rPr>
        <w:t>评审</w:t>
      </w:r>
      <w:r>
        <w:rPr>
          <w:rFonts w:hint="eastAsia" w:ascii="宋体" w:hAnsi="宋体" w:eastAsia="宋体" w:cs="宋体"/>
          <w:color w:val="auto"/>
          <w:sz w:val="21"/>
          <w:szCs w:val="21"/>
          <w:highlight w:val="none"/>
        </w:rPr>
        <w:t>小组按照第三章“评标办法”规定的方法、评审因素、标准和程序对投标文件进行评审。第三章“评标办法”没有规定的方法、评审因素和标准，不作为评标依据。</w:t>
      </w:r>
    </w:p>
    <w:p w14:paraId="41B44F7D">
      <w:pPr>
        <w:keepNext w:val="0"/>
        <w:keepLines w:val="0"/>
        <w:pageBreakBefore w:val="0"/>
        <w:widowControl w:val="0"/>
        <w:kinsoku/>
        <w:overflowPunct/>
        <w:topLinePunct w:val="0"/>
        <w:autoSpaceDE/>
        <w:autoSpaceDN/>
        <w:bidi w:val="0"/>
        <w:spacing w:line="520" w:lineRule="exact"/>
        <w:ind w:left="0" w:leftChars="0" w:right="-386" w:rightChars="-184"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2</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.2.2评标原则：遵循公平、公正、科学和择优的原则。</w:t>
      </w:r>
    </w:p>
    <w:p w14:paraId="3FA097FF">
      <w:pPr>
        <w:keepNext w:val="0"/>
        <w:keepLines w:val="0"/>
        <w:pageBreakBefore w:val="0"/>
        <w:widowControl w:val="0"/>
        <w:kinsoku/>
        <w:overflowPunct/>
        <w:topLinePunct w:val="0"/>
        <w:autoSpaceDE/>
        <w:autoSpaceDN/>
        <w:bidi w:val="0"/>
        <w:spacing w:line="520" w:lineRule="exact"/>
        <w:ind w:left="0" w:leftChars="0" w:right="-386" w:rightChars="-184"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.3投标文件的澄清</w:t>
      </w:r>
    </w:p>
    <w:p w14:paraId="281CFE8A">
      <w:pPr>
        <w:keepNext w:val="0"/>
        <w:keepLines w:val="0"/>
        <w:pageBreakBefore w:val="0"/>
        <w:widowControl w:val="0"/>
        <w:kinsoku/>
        <w:overflowPunct/>
        <w:topLinePunct w:val="0"/>
        <w:autoSpaceDE/>
        <w:autoSpaceDN/>
        <w:bidi w:val="0"/>
        <w:spacing w:line="520" w:lineRule="exact"/>
        <w:ind w:left="0" w:leftChars="0" w:right="-386" w:rightChars="-184"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2</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.3.1在评审过程中，</w:t>
      </w:r>
      <w:r>
        <w:rPr>
          <w:rFonts w:hint="eastAsia" w:ascii="宋体" w:hAnsi="宋体" w:eastAsia="宋体" w:cs="宋体"/>
          <w:color w:val="auto"/>
          <w:sz w:val="21"/>
          <w:szCs w:val="21"/>
          <w:highlight w:val="none"/>
          <w:lang w:eastAsia="zh-CN"/>
        </w:rPr>
        <w:t>评审小组</w:t>
      </w:r>
      <w:r>
        <w:rPr>
          <w:rFonts w:hint="eastAsia" w:ascii="宋体" w:hAnsi="宋体" w:eastAsia="宋体" w:cs="宋体"/>
          <w:color w:val="auto"/>
          <w:sz w:val="21"/>
          <w:szCs w:val="21"/>
          <w:highlight w:val="none"/>
        </w:rPr>
        <w:t>认为需要，可要求投标人对投标文件中的有关问题进行澄清或提供补充说明及有关资料，投标人应做出书面答复。</w:t>
      </w:r>
    </w:p>
    <w:p w14:paraId="1F199912">
      <w:pPr>
        <w:keepNext w:val="0"/>
        <w:keepLines w:val="0"/>
        <w:pageBreakBefore w:val="0"/>
        <w:widowControl w:val="0"/>
        <w:kinsoku/>
        <w:overflowPunct/>
        <w:topLinePunct w:val="0"/>
        <w:autoSpaceDE/>
        <w:autoSpaceDN/>
        <w:bidi w:val="0"/>
        <w:spacing w:line="520" w:lineRule="exact"/>
        <w:ind w:left="0" w:leftChars="0" w:right="-386" w:rightChars="-184"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2</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.3.2书面答复须经投标人法定代表人或其委托代理人签字或盖章，签字或盖章的书面答复将被视为投标文件的组成部分。</w:t>
      </w:r>
    </w:p>
    <w:p w14:paraId="40273E66">
      <w:pPr>
        <w:keepNext w:val="0"/>
        <w:keepLines w:val="0"/>
        <w:pageBreakBefore w:val="0"/>
        <w:widowControl w:val="0"/>
        <w:kinsoku/>
        <w:overflowPunct/>
        <w:topLinePunct w:val="0"/>
        <w:autoSpaceDE/>
        <w:autoSpaceDN/>
        <w:bidi w:val="0"/>
        <w:spacing w:line="520" w:lineRule="exact"/>
        <w:ind w:left="0" w:leftChars="0" w:right="-386" w:rightChars="-184"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2</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.4报价合理性的判断</w:t>
      </w:r>
    </w:p>
    <w:p w14:paraId="36CABB49">
      <w:pPr>
        <w:keepNext w:val="0"/>
        <w:keepLines w:val="0"/>
        <w:pageBreakBefore w:val="0"/>
        <w:widowControl w:val="0"/>
        <w:kinsoku/>
        <w:overflowPunct/>
        <w:topLinePunct w:val="0"/>
        <w:autoSpaceDE/>
        <w:autoSpaceDN/>
        <w:bidi w:val="0"/>
        <w:spacing w:line="520" w:lineRule="exact"/>
        <w:ind w:left="0" w:leftChars="0" w:right="-386" w:rightChars="-184"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评审小组</w:t>
      </w:r>
      <w:r>
        <w:rPr>
          <w:rFonts w:hint="eastAsia" w:ascii="宋体" w:hAnsi="宋体" w:eastAsia="宋体" w:cs="宋体"/>
          <w:color w:val="auto"/>
          <w:sz w:val="21"/>
          <w:szCs w:val="21"/>
          <w:highlight w:val="none"/>
        </w:rPr>
        <w:t>认为投标人的报价明显低于其他通过符合性审查投标人的报价，有可能影响产品质量或者不能诚信履约的，应当要求其在评标现场合理的时间内提供书面说明，必要时提交相关证明材料；投标人不能证明其报价合理性的，</w:t>
      </w:r>
      <w:r>
        <w:rPr>
          <w:rFonts w:hint="eastAsia" w:ascii="宋体" w:hAnsi="宋体" w:eastAsia="宋体" w:cs="宋体"/>
          <w:color w:val="auto"/>
          <w:sz w:val="21"/>
          <w:szCs w:val="21"/>
          <w:highlight w:val="none"/>
          <w:lang w:eastAsia="zh-CN"/>
        </w:rPr>
        <w:t>评审小组</w:t>
      </w:r>
      <w:r>
        <w:rPr>
          <w:rFonts w:hint="eastAsia" w:ascii="宋体" w:hAnsi="宋体" w:eastAsia="宋体" w:cs="宋体"/>
          <w:color w:val="auto"/>
          <w:sz w:val="21"/>
          <w:szCs w:val="21"/>
          <w:highlight w:val="none"/>
        </w:rPr>
        <w:t>应当将其作为无效投标处理。</w:t>
      </w:r>
    </w:p>
    <w:p w14:paraId="288D5E3A">
      <w:pPr>
        <w:keepNext w:val="0"/>
        <w:keepLines w:val="0"/>
        <w:pageBreakBefore w:val="0"/>
        <w:widowControl w:val="0"/>
        <w:kinsoku/>
        <w:overflowPunct/>
        <w:topLinePunct w:val="0"/>
        <w:autoSpaceDE/>
        <w:autoSpaceDN/>
        <w:bidi w:val="0"/>
        <w:spacing w:line="520" w:lineRule="exact"/>
        <w:ind w:left="0" w:leftChars="0" w:right="-386" w:rightChars="-184"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2</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.5评审意见分歧的处理办法</w:t>
      </w:r>
    </w:p>
    <w:p w14:paraId="792C615A">
      <w:pPr>
        <w:keepNext w:val="0"/>
        <w:keepLines w:val="0"/>
        <w:pageBreakBefore w:val="0"/>
        <w:widowControl w:val="0"/>
        <w:kinsoku/>
        <w:overflowPunct/>
        <w:topLinePunct w:val="0"/>
        <w:autoSpaceDE/>
        <w:autoSpaceDN/>
        <w:bidi w:val="0"/>
        <w:spacing w:line="520" w:lineRule="exact"/>
        <w:ind w:left="0" w:leftChars="0" w:right="-386" w:rightChars="-184"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eastAsia="zh-CN"/>
        </w:rPr>
        <w:t>评审小组</w:t>
      </w:r>
      <w:r>
        <w:rPr>
          <w:rFonts w:hint="eastAsia" w:ascii="宋体" w:hAnsi="宋体" w:eastAsia="宋体" w:cs="宋体"/>
          <w:color w:val="auto"/>
          <w:sz w:val="21"/>
          <w:szCs w:val="21"/>
          <w:highlight w:val="none"/>
        </w:rPr>
        <w:t>应当对投标人提供的报告、证明材料及详细说明认真研究。对存在意见分歧的，可采用投票方式表决决定（按多数评委意见为准）；</w:t>
      </w:r>
    </w:p>
    <w:p w14:paraId="7FDF0571">
      <w:pPr>
        <w:keepNext w:val="0"/>
        <w:keepLines w:val="0"/>
        <w:pageBreakBefore w:val="0"/>
        <w:widowControl w:val="0"/>
        <w:kinsoku/>
        <w:overflowPunct/>
        <w:topLinePunct w:val="0"/>
        <w:autoSpaceDE/>
        <w:autoSpaceDN/>
        <w:bidi w:val="0"/>
        <w:spacing w:line="520" w:lineRule="exact"/>
        <w:ind w:left="0" w:leftChars="0" w:right="-386" w:rightChars="-184"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2</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.6评标报告的签署</w:t>
      </w:r>
    </w:p>
    <w:p w14:paraId="4790D8F3">
      <w:pPr>
        <w:keepNext w:val="0"/>
        <w:keepLines w:val="0"/>
        <w:pageBreakBefore w:val="0"/>
        <w:widowControl w:val="0"/>
        <w:kinsoku/>
        <w:overflowPunct/>
        <w:topLinePunct w:val="0"/>
        <w:autoSpaceDE/>
        <w:autoSpaceDN/>
        <w:bidi w:val="0"/>
        <w:spacing w:line="520" w:lineRule="exact"/>
        <w:ind w:left="0" w:leftChars="0" w:right="-386" w:rightChars="-184"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2</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.6.1</w:t>
      </w:r>
      <w:r>
        <w:rPr>
          <w:rFonts w:hint="eastAsia" w:ascii="宋体" w:hAnsi="宋体" w:eastAsia="宋体" w:cs="宋体"/>
          <w:color w:val="auto"/>
          <w:sz w:val="21"/>
          <w:szCs w:val="21"/>
          <w:highlight w:val="none"/>
          <w:lang w:eastAsia="zh-CN"/>
        </w:rPr>
        <w:t>评审小组</w:t>
      </w:r>
      <w:r>
        <w:rPr>
          <w:rFonts w:hint="eastAsia" w:ascii="宋体" w:hAnsi="宋体" w:eastAsia="宋体" w:cs="宋体"/>
          <w:color w:val="auto"/>
          <w:sz w:val="21"/>
          <w:szCs w:val="21"/>
          <w:highlight w:val="none"/>
        </w:rPr>
        <w:t>应当编制书面评标报告,所有成员应签字确认。对评标结论持有异议的</w:t>
      </w:r>
      <w:r>
        <w:rPr>
          <w:rFonts w:hint="eastAsia" w:ascii="宋体" w:hAnsi="宋体" w:eastAsia="宋体" w:cs="宋体"/>
          <w:color w:val="auto"/>
          <w:sz w:val="21"/>
          <w:szCs w:val="21"/>
          <w:highlight w:val="none"/>
          <w:lang w:eastAsia="zh-CN"/>
        </w:rPr>
        <w:t>评审小组</w:t>
      </w:r>
      <w:r>
        <w:rPr>
          <w:rFonts w:hint="eastAsia" w:ascii="宋体" w:hAnsi="宋体" w:eastAsia="宋体" w:cs="宋体"/>
          <w:color w:val="auto"/>
          <w:sz w:val="21"/>
          <w:szCs w:val="21"/>
          <w:highlight w:val="none"/>
        </w:rPr>
        <w:t>成员可以书面方式阐述其不同意见和理由。</w:t>
      </w:r>
      <w:r>
        <w:rPr>
          <w:rFonts w:hint="eastAsia" w:ascii="宋体" w:hAnsi="宋体" w:eastAsia="宋体" w:cs="宋体"/>
          <w:color w:val="auto"/>
          <w:sz w:val="21"/>
          <w:szCs w:val="21"/>
          <w:highlight w:val="none"/>
          <w:lang w:eastAsia="zh-CN"/>
        </w:rPr>
        <w:t>评审小组</w:t>
      </w:r>
      <w:r>
        <w:rPr>
          <w:rFonts w:hint="eastAsia" w:ascii="宋体" w:hAnsi="宋体" w:eastAsia="宋体" w:cs="宋体"/>
          <w:color w:val="auto"/>
          <w:sz w:val="21"/>
          <w:szCs w:val="21"/>
          <w:highlight w:val="none"/>
        </w:rPr>
        <w:t>成员拒绝在评标报告上签字且不陈述其不同意见和理由的，视为同意评标结论。</w:t>
      </w:r>
    </w:p>
    <w:p w14:paraId="713142A9">
      <w:pPr>
        <w:keepNext w:val="0"/>
        <w:keepLines w:val="0"/>
        <w:pageBreakBefore w:val="0"/>
        <w:widowControl w:val="0"/>
        <w:kinsoku/>
        <w:overflowPunct/>
        <w:topLinePunct w:val="0"/>
        <w:autoSpaceDE/>
        <w:autoSpaceDN/>
        <w:bidi w:val="0"/>
        <w:spacing w:line="520" w:lineRule="exact"/>
        <w:ind w:left="0" w:leftChars="0" w:right="-386" w:rightChars="-184"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2</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.7评标过程的保密</w:t>
      </w:r>
    </w:p>
    <w:p w14:paraId="16608DBC">
      <w:pPr>
        <w:keepNext w:val="0"/>
        <w:keepLines w:val="0"/>
        <w:pageBreakBefore w:val="0"/>
        <w:widowControl w:val="0"/>
        <w:kinsoku/>
        <w:overflowPunct/>
        <w:topLinePunct w:val="0"/>
        <w:autoSpaceDE/>
        <w:autoSpaceDN/>
        <w:bidi w:val="0"/>
        <w:spacing w:line="520" w:lineRule="exact"/>
        <w:ind w:left="0" w:leftChars="0" w:right="-386" w:rightChars="-184"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w:t>
      </w:r>
      <w:r>
        <w:rPr>
          <w:rFonts w:hint="eastAsia" w:ascii="宋体" w:hAnsi="宋体" w:eastAsia="宋体" w:cs="宋体"/>
          <w:color w:val="auto"/>
          <w:sz w:val="21"/>
          <w:szCs w:val="21"/>
          <w:highlight w:val="none"/>
          <w:lang w:eastAsia="zh-CN"/>
        </w:rPr>
        <w:t>评审小组</w:t>
      </w:r>
      <w:r>
        <w:rPr>
          <w:rFonts w:hint="eastAsia" w:ascii="宋体" w:hAnsi="宋体" w:eastAsia="宋体" w:cs="宋体"/>
          <w:color w:val="auto"/>
          <w:sz w:val="21"/>
          <w:szCs w:val="21"/>
          <w:highlight w:val="none"/>
          <w:lang w:val="en-US" w:eastAsia="zh-CN"/>
        </w:rPr>
        <w:t>成</w:t>
      </w:r>
      <w:r>
        <w:rPr>
          <w:rFonts w:hint="eastAsia" w:ascii="宋体" w:hAnsi="宋体" w:eastAsia="宋体" w:cs="宋体"/>
          <w:color w:val="auto"/>
          <w:sz w:val="21"/>
          <w:szCs w:val="21"/>
          <w:highlight w:val="none"/>
        </w:rPr>
        <w:t xml:space="preserve">员和与评标活动有关的工作人员不得透露对投标文件的评审和比较、中标候选人的推荐情况以及与评标有关的其他情况。 </w:t>
      </w:r>
    </w:p>
    <w:p w14:paraId="35C868A8">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lang w:val="en-US" w:eastAsia="zh-CN"/>
        </w:rPr>
        <w:t>29</w:t>
      </w:r>
      <w:r>
        <w:rPr>
          <w:rFonts w:hint="eastAsia" w:ascii="宋体" w:hAnsi="宋体" w:cs="宋体"/>
          <w:b/>
          <w:color w:val="auto"/>
          <w:szCs w:val="21"/>
          <w:highlight w:val="none"/>
        </w:rPr>
        <w:t>. 定标</w:t>
      </w:r>
    </w:p>
    <w:p w14:paraId="07ECDBE5">
      <w:pPr>
        <w:keepNext w:val="0"/>
        <w:keepLines w:val="0"/>
        <w:pageBreakBefore w:val="0"/>
        <w:widowControl w:val="0"/>
        <w:kinsoku/>
        <w:overflowPunct/>
        <w:topLinePunct w:val="0"/>
        <w:autoSpaceDE/>
        <w:autoSpaceDN/>
        <w:bidi w:val="0"/>
        <w:spacing w:line="520" w:lineRule="exact"/>
        <w:ind w:left="0" w:leftChars="0" w:right="-386" w:rightChars="-184"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29</w:t>
      </w:r>
      <w:r>
        <w:rPr>
          <w:rFonts w:hint="eastAsia" w:ascii="宋体" w:hAnsi="宋体" w:eastAsia="宋体" w:cs="宋体"/>
          <w:color w:val="auto"/>
          <w:sz w:val="21"/>
          <w:szCs w:val="21"/>
          <w:highlight w:val="none"/>
        </w:rPr>
        <w:t>.1 中标人的确定</w:t>
      </w:r>
    </w:p>
    <w:p w14:paraId="520D50FC">
      <w:pPr>
        <w:keepNext w:val="0"/>
        <w:keepLines w:val="0"/>
        <w:pageBreakBefore w:val="0"/>
        <w:widowControl w:val="0"/>
        <w:kinsoku/>
        <w:overflowPunct/>
        <w:topLinePunct w:val="0"/>
        <w:autoSpaceDE/>
        <w:autoSpaceDN/>
        <w:bidi w:val="0"/>
        <w:spacing w:line="520" w:lineRule="exact"/>
        <w:ind w:left="0" w:leftChars="0" w:right="-386" w:rightChars="-184" w:firstLine="420" w:firstLineChars="2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29</w:t>
      </w:r>
      <w:r>
        <w:rPr>
          <w:rFonts w:hint="eastAsia" w:ascii="宋体" w:hAnsi="宋体" w:eastAsia="宋体" w:cs="宋体"/>
          <w:color w:val="auto"/>
          <w:sz w:val="21"/>
          <w:szCs w:val="21"/>
          <w:highlight w:val="none"/>
        </w:rPr>
        <w:t>.1.1</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依据评标委员会推荐的</w:t>
      </w:r>
      <w:r>
        <w:rPr>
          <w:rFonts w:hint="eastAsia" w:ascii="宋体" w:hAnsi="宋体" w:eastAsia="宋体" w:cs="宋体"/>
          <w:color w:val="auto"/>
          <w:sz w:val="21"/>
          <w:szCs w:val="21"/>
          <w:highlight w:val="none"/>
          <w:lang w:val="en-US" w:eastAsia="zh-CN"/>
        </w:rPr>
        <w:t>第一</w:t>
      </w:r>
      <w:r>
        <w:rPr>
          <w:rFonts w:hint="eastAsia" w:ascii="宋体" w:hAnsi="宋体" w:eastAsia="宋体" w:cs="宋体"/>
          <w:color w:val="auto"/>
          <w:sz w:val="21"/>
          <w:szCs w:val="21"/>
          <w:highlight w:val="none"/>
        </w:rPr>
        <w:t>中标候选人确定</w:t>
      </w:r>
      <w:r>
        <w:rPr>
          <w:rFonts w:hint="eastAsia" w:ascii="宋体" w:hAnsi="宋体" w:eastAsia="宋体" w:cs="宋体"/>
          <w:color w:val="auto"/>
          <w:sz w:val="21"/>
          <w:szCs w:val="21"/>
          <w:highlight w:val="none"/>
          <w:lang w:val="en-US" w:eastAsia="zh-CN"/>
        </w:rPr>
        <w:t>为</w:t>
      </w:r>
      <w:r>
        <w:rPr>
          <w:rFonts w:hint="eastAsia" w:ascii="宋体" w:hAnsi="宋体" w:eastAsia="宋体" w:cs="宋体"/>
          <w:color w:val="auto"/>
          <w:sz w:val="21"/>
          <w:szCs w:val="21"/>
          <w:highlight w:val="none"/>
        </w:rPr>
        <w:t>中标人，排名第一的中标候选人放弃中标、因不可抗力提出不能履约合同，或者招标文件规定应当提交履约保证金而在规定的期限内未能提交的或存在弄虚作假等其他违法行为骗取中标的，或合同履行过程中，被终止协议的，</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可以确定排名第二的中标候选人为中标人，</w:t>
      </w:r>
      <w:r>
        <w:rPr>
          <w:rFonts w:hint="eastAsia" w:ascii="宋体" w:hAnsi="宋体" w:eastAsia="宋体" w:cs="宋体"/>
          <w:color w:val="auto"/>
          <w:sz w:val="21"/>
          <w:szCs w:val="21"/>
          <w:highlight w:val="none"/>
          <w:lang w:eastAsia="zh-CN"/>
        </w:rPr>
        <w:t>以此类推</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也可依法重新组织招标。</w:t>
      </w:r>
    </w:p>
    <w:p w14:paraId="5B30AC43">
      <w:pPr>
        <w:spacing w:line="440" w:lineRule="exact"/>
        <w:ind w:firstLine="420" w:firstLineChars="200"/>
        <w:jc w:val="left"/>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29.1.2</w:t>
      </w:r>
      <w:r>
        <w:rPr>
          <w:rFonts w:hint="eastAsia" w:ascii="宋体" w:hAnsi="宋体" w:eastAsia="宋体" w:cs="宋体"/>
          <w:color w:val="auto"/>
          <w:sz w:val="21"/>
          <w:szCs w:val="21"/>
          <w:highlight w:val="none"/>
        </w:rPr>
        <w:t>中标人确定后，</w:t>
      </w: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应将中标人名单在前附表规定的网站进行网上公示。</w:t>
      </w:r>
    </w:p>
    <w:p w14:paraId="16AA40FD">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29</w:t>
      </w:r>
      <w:r>
        <w:rPr>
          <w:rFonts w:hint="eastAsia" w:ascii="宋体" w:hAnsi="宋体" w:cs="宋体"/>
          <w:color w:val="auto"/>
          <w:szCs w:val="21"/>
          <w:highlight w:val="none"/>
        </w:rPr>
        <w:t>.2 中标通知书</w:t>
      </w:r>
    </w:p>
    <w:p w14:paraId="4C7D994E">
      <w:pPr>
        <w:pStyle w:val="15"/>
        <w:spacing w:line="440" w:lineRule="exact"/>
        <w:ind w:firstLine="420" w:firstLineChars="200"/>
        <w:rPr>
          <w:rFonts w:hint="eastAsia" w:ascii="宋体" w:hAnsi="宋体" w:cs="宋体"/>
          <w:color w:val="auto"/>
          <w:highlight w:val="none"/>
        </w:rPr>
      </w:pPr>
      <w:r>
        <w:rPr>
          <w:rFonts w:hint="eastAsia" w:ascii="宋体" w:hAnsi="宋体" w:cs="宋体"/>
          <w:color w:val="auto"/>
          <w:szCs w:val="21"/>
          <w:highlight w:val="none"/>
          <w:lang w:val="en-US" w:eastAsia="zh-CN"/>
        </w:rPr>
        <w:t>29</w:t>
      </w:r>
      <w:r>
        <w:rPr>
          <w:rFonts w:hint="eastAsia" w:ascii="宋体" w:hAnsi="宋体" w:cs="宋体"/>
          <w:color w:val="auto"/>
          <w:szCs w:val="21"/>
          <w:highlight w:val="none"/>
        </w:rPr>
        <w:t>.2.1</w:t>
      </w:r>
      <w:r>
        <w:rPr>
          <w:rFonts w:hint="eastAsia" w:ascii="宋体" w:hAnsi="宋体" w:cs="宋体"/>
          <w:color w:val="auto"/>
          <w:highlight w:val="none"/>
          <w:lang w:eastAsia="zh-CN"/>
        </w:rPr>
        <w:t>招标人</w:t>
      </w:r>
      <w:r>
        <w:rPr>
          <w:rFonts w:hint="eastAsia" w:ascii="宋体" w:hAnsi="宋体" w:cs="宋体"/>
          <w:color w:val="auto"/>
          <w:highlight w:val="none"/>
        </w:rPr>
        <w:t>或采购代理机构应在中标人确定之日起2个工作日内</w:t>
      </w:r>
      <w:r>
        <w:rPr>
          <w:rFonts w:hint="eastAsia" w:ascii="宋体" w:hAnsi="宋体" w:cs="宋体"/>
          <w:color w:val="auto"/>
          <w:highlight w:val="none"/>
          <w:lang w:eastAsia="zh-CN"/>
        </w:rPr>
        <w:t>，</w:t>
      </w:r>
      <w:r>
        <w:rPr>
          <w:rFonts w:hint="eastAsia" w:ascii="宋体" w:hAnsi="宋体" w:cs="宋体"/>
          <w:color w:val="auto"/>
          <w:highlight w:val="none"/>
        </w:rPr>
        <w:t>向中标人发出中标通知书。</w:t>
      </w:r>
    </w:p>
    <w:p w14:paraId="1BB80BCC">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lang w:val="en-US" w:eastAsia="zh-CN"/>
        </w:rPr>
        <w:t>29</w:t>
      </w:r>
      <w:r>
        <w:rPr>
          <w:rFonts w:hint="eastAsia" w:ascii="宋体" w:hAnsi="宋体" w:cs="宋体"/>
          <w:color w:val="auto"/>
          <w:szCs w:val="21"/>
          <w:highlight w:val="none"/>
        </w:rPr>
        <w:t>.2.2中标通知书须加盖</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、采购代理机构公章后，方可发出。</w:t>
      </w:r>
    </w:p>
    <w:p w14:paraId="608C3E59">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3</w:t>
      </w:r>
      <w:r>
        <w:rPr>
          <w:rFonts w:hint="eastAsia" w:ascii="宋体" w:hAnsi="宋体" w:cs="宋体"/>
          <w:b/>
          <w:color w:val="auto"/>
          <w:szCs w:val="21"/>
          <w:highlight w:val="none"/>
          <w:lang w:val="en-US" w:eastAsia="zh-CN"/>
        </w:rPr>
        <w:t>0</w:t>
      </w:r>
      <w:r>
        <w:rPr>
          <w:rFonts w:hint="eastAsia" w:ascii="宋体" w:hAnsi="宋体" w:cs="宋体"/>
          <w:b/>
          <w:color w:val="auto"/>
          <w:szCs w:val="21"/>
          <w:highlight w:val="none"/>
        </w:rPr>
        <w:t>. 开评标异常情况处理</w:t>
      </w:r>
    </w:p>
    <w:p w14:paraId="3EC1689F">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3</w:t>
      </w:r>
      <w:r>
        <w:rPr>
          <w:rFonts w:hint="eastAsia" w:ascii="宋体" w:hAnsi="宋体" w:cs="宋体"/>
          <w:color w:val="auto"/>
          <w:kern w:val="10"/>
          <w:szCs w:val="21"/>
          <w:highlight w:val="none"/>
          <w:lang w:val="en-US" w:eastAsia="zh-CN"/>
        </w:rPr>
        <w:t>0</w:t>
      </w:r>
      <w:r>
        <w:rPr>
          <w:rFonts w:hint="eastAsia" w:ascii="宋体" w:hAnsi="宋体" w:cs="宋体"/>
          <w:color w:val="auto"/>
          <w:kern w:val="10"/>
          <w:szCs w:val="21"/>
          <w:highlight w:val="none"/>
        </w:rPr>
        <w:t>.1废标（重新招标）</w:t>
      </w:r>
    </w:p>
    <w:p w14:paraId="2967204B">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有下列情形之一的，</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将废标（重新招标）：</w:t>
      </w:r>
    </w:p>
    <w:p w14:paraId="7F4DF2D5">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 xml:space="preserve">(1)投标截止时间止，投标人少于三个的； </w:t>
      </w:r>
    </w:p>
    <w:p w14:paraId="4DD60D94">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(2)</w:t>
      </w:r>
      <w:r>
        <w:rPr>
          <w:rFonts w:hint="eastAsia" w:ascii="宋体" w:hAnsi="宋体" w:cs="宋体"/>
          <w:color w:val="auto"/>
          <w:szCs w:val="21"/>
          <w:highlight w:val="none"/>
          <w:shd w:val="clear" w:color="auto" w:fill="FFFFFF"/>
        </w:rPr>
        <w:t>符合专业条件的供应商或者对招标文件作实质响应的供应商不足三家的</w:t>
      </w:r>
      <w:r>
        <w:rPr>
          <w:rFonts w:hint="eastAsia" w:ascii="宋体" w:hAnsi="宋体" w:cs="宋体"/>
          <w:color w:val="auto"/>
          <w:kern w:val="10"/>
          <w:szCs w:val="21"/>
          <w:highlight w:val="none"/>
        </w:rPr>
        <w:t>；</w:t>
      </w:r>
    </w:p>
    <w:p w14:paraId="768CBC4C">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(3)出现影响采购公正的违法、违规行为的；</w:t>
      </w:r>
    </w:p>
    <w:p w14:paraId="15638BEC">
      <w:pPr>
        <w:adjustRightInd w:val="0"/>
        <w:snapToGrid w:val="0"/>
        <w:spacing w:line="440" w:lineRule="exact"/>
        <w:ind w:firstLine="420" w:firstLineChars="200"/>
        <w:rPr>
          <w:rFonts w:hint="eastAsia" w:ascii="宋体" w:hAnsi="宋体" w:cs="宋体"/>
          <w:color w:val="auto"/>
          <w:highlight w:val="none"/>
        </w:rPr>
      </w:pPr>
      <w:r>
        <w:rPr>
          <w:rFonts w:hint="eastAsia" w:ascii="宋体" w:hAnsi="宋体" w:cs="宋体"/>
          <w:color w:val="auto"/>
          <w:kern w:val="10"/>
          <w:szCs w:val="21"/>
          <w:highlight w:val="none"/>
        </w:rPr>
        <w:t>(4)投标人的报价均脱离实际且无充分证据的；</w:t>
      </w:r>
    </w:p>
    <w:p w14:paraId="35136F53">
      <w:pPr>
        <w:adjustRightInd w:val="0"/>
        <w:snapToGrid w:val="0"/>
        <w:spacing w:line="440" w:lineRule="exact"/>
        <w:ind w:firstLine="420" w:firstLineChars="200"/>
        <w:rPr>
          <w:rFonts w:hint="eastAsia" w:ascii="宋体" w:hAnsi="宋体" w:eastAsia="宋体" w:cs="宋体"/>
          <w:color w:val="auto"/>
          <w:kern w:val="10"/>
          <w:szCs w:val="21"/>
          <w:highlight w:val="none"/>
        </w:rPr>
      </w:pPr>
      <w:r>
        <w:rPr>
          <w:rFonts w:hint="eastAsia" w:ascii="宋体" w:hAnsi="宋体" w:eastAsia="宋体" w:cs="宋体"/>
          <w:color w:val="auto"/>
          <w:kern w:val="10"/>
          <w:szCs w:val="21"/>
          <w:highlight w:val="none"/>
        </w:rPr>
        <w:t>(</w:t>
      </w:r>
      <w:r>
        <w:rPr>
          <w:rFonts w:hint="eastAsia" w:ascii="宋体" w:hAnsi="宋体" w:eastAsia="宋体" w:cs="宋体"/>
          <w:color w:val="auto"/>
          <w:kern w:val="10"/>
          <w:szCs w:val="21"/>
          <w:highlight w:val="none"/>
          <w:lang w:val="en-US" w:eastAsia="zh-CN"/>
        </w:rPr>
        <w:t>5</w:t>
      </w:r>
      <w:r>
        <w:rPr>
          <w:rFonts w:hint="eastAsia" w:ascii="宋体" w:hAnsi="宋体" w:eastAsia="宋体" w:cs="宋体"/>
          <w:color w:val="auto"/>
          <w:kern w:val="10"/>
          <w:szCs w:val="21"/>
          <w:highlight w:val="none"/>
        </w:rPr>
        <w:t>)因重大变故，采购任务取消的。</w:t>
      </w:r>
    </w:p>
    <w:p w14:paraId="18510044">
      <w:pPr>
        <w:adjustRightInd w:val="0"/>
        <w:snapToGrid w:val="0"/>
        <w:spacing w:line="440" w:lineRule="exact"/>
        <w:ind w:firstLine="420" w:firstLineChars="200"/>
        <w:rPr>
          <w:rFonts w:hint="eastAsia" w:ascii="宋体" w:hAnsi="宋体" w:eastAsia="宋体" w:cs="宋体"/>
          <w:color w:val="auto"/>
          <w:kern w:val="10"/>
          <w:szCs w:val="21"/>
          <w:highlight w:val="none"/>
        </w:rPr>
      </w:pPr>
      <w:r>
        <w:rPr>
          <w:rFonts w:hint="eastAsia" w:ascii="宋体" w:hAnsi="宋体" w:eastAsia="宋体" w:cs="宋体"/>
          <w:color w:val="auto"/>
          <w:kern w:val="10"/>
          <w:szCs w:val="21"/>
          <w:highlight w:val="none"/>
        </w:rPr>
        <w:t>3</w:t>
      </w:r>
      <w:r>
        <w:rPr>
          <w:rFonts w:hint="eastAsia" w:ascii="宋体" w:hAnsi="宋体" w:cs="宋体"/>
          <w:color w:val="auto"/>
          <w:kern w:val="10"/>
          <w:szCs w:val="21"/>
          <w:highlight w:val="none"/>
          <w:lang w:val="en-US" w:eastAsia="zh-CN"/>
        </w:rPr>
        <w:t>0</w:t>
      </w:r>
      <w:r>
        <w:rPr>
          <w:rFonts w:hint="eastAsia" w:ascii="宋体" w:hAnsi="宋体" w:eastAsia="宋体" w:cs="宋体"/>
          <w:color w:val="auto"/>
          <w:kern w:val="10"/>
          <w:szCs w:val="21"/>
          <w:highlight w:val="none"/>
        </w:rPr>
        <w:t>.2变更采购方式</w:t>
      </w:r>
    </w:p>
    <w:p w14:paraId="72369F83">
      <w:pPr>
        <w:adjustRightInd w:val="0"/>
        <w:snapToGrid w:val="0"/>
        <w:spacing w:line="440" w:lineRule="exact"/>
        <w:ind w:firstLine="420" w:firstLineChars="200"/>
        <w:rPr>
          <w:rFonts w:hint="eastAsia" w:ascii="宋体" w:hAnsi="宋体" w:eastAsia="宋体" w:cs="宋体"/>
          <w:color w:val="auto"/>
          <w:kern w:val="10"/>
          <w:szCs w:val="21"/>
          <w:highlight w:val="none"/>
        </w:rPr>
      </w:pPr>
      <w:bookmarkStart w:id="40" w:name="_Toc449028872"/>
      <w:r>
        <w:rPr>
          <w:rFonts w:hint="eastAsia" w:ascii="宋体" w:hAnsi="宋体" w:eastAsia="宋体" w:cs="宋体"/>
          <w:color w:val="auto"/>
          <w:kern w:val="10"/>
          <w:szCs w:val="21"/>
          <w:highlight w:val="none"/>
        </w:rPr>
        <w:t>按照滁州市公管局和财政局相关规定执行。</w:t>
      </w:r>
      <w:bookmarkEnd w:id="40"/>
      <w:bookmarkStart w:id="41" w:name="_Toc449028873"/>
    </w:p>
    <w:p w14:paraId="024D34C0">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（六）合同的授予</w:t>
      </w:r>
      <w:bookmarkEnd w:id="41"/>
    </w:p>
    <w:p w14:paraId="6503E8B1">
      <w:pPr>
        <w:spacing w:line="440" w:lineRule="exact"/>
        <w:ind w:firstLine="521" w:firstLineChars="247"/>
        <w:jc w:val="left"/>
        <w:rPr>
          <w:rFonts w:hint="eastAsia" w:ascii="宋体" w:hAnsi="宋体" w:cs="宋体"/>
          <w:b/>
          <w:color w:val="auto"/>
          <w:szCs w:val="21"/>
          <w:highlight w:val="none"/>
        </w:rPr>
      </w:pPr>
      <w:r>
        <w:rPr>
          <w:rFonts w:hint="eastAsia" w:ascii="宋体" w:hAnsi="宋体" w:cs="宋体"/>
          <w:b/>
          <w:color w:val="auto"/>
          <w:szCs w:val="21"/>
          <w:highlight w:val="none"/>
        </w:rPr>
        <w:t>3</w:t>
      </w:r>
      <w:r>
        <w:rPr>
          <w:rFonts w:hint="eastAsia" w:ascii="宋体" w:hAnsi="宋体" w:cs="宋体"/>
          <w:b/>
          <w:color w:val="auto"/>
          <w:szCs w:val="21"/>
          <w:highlight w:val="none"/>
          <w:lang w:val="en-US" w:eastAsia="zh-CN"/>
        </w:rPr>
        <w:t>1</w:t>
      </w:r>
      <w:r>
        <w:rPr>
          <w:rFonts w:hint="eastAsia" w:ascii="宋体" w:hAnsi="宋体" w:cs="宋体"/>
          <w:b/>
          <w:color w:val="auto"/>
          <w:szCs w:val="21"/>
          <w:highlight w:val="none"/>
        </w:rPr>
        <w:t>. 合同授予标准</w:t>
      </w:r>
    </w:p>
    <w:p w14:paraId="37DE534B">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.1 本招标项目的合同将授予按本投标须知第</w:t>
      </w:r>
      <w:r>
        <w:rPr>
          <w:rFonts w:hint="eastAsia" w:ascii="宋体" w:hAnsi="宋体" w:cs="宋体"/>
          <w:color w:val="auto"/>
          <w:szCs w:val="21"/>
          <w:highlight w:val="none"/>
          <w:lang w:val="en-US" w:eastAsia="zh-CN"/>
        </w:rPr>
        <w:t>29</w:t>
      </w:r>
      <w:r>
        <w:rPr>
          <w:rFonts w:hint="eastAsia" w:ascii="宋体" w:hAnsi="宋体" w:cs="宋体"/>
          <w:color w:val="auto"/>
          <w:szCs w:val="21"/>
          <w:highlight w:val="none"/>
        </w:rPr>
        <w:t xml:space="preserve">条规定所确定的中标人。 </w:t>
      </w:r>
    </w:p>
    <w:p w14:paraId="403032CA">
      <w:pPr>
        <w:spacing w:line="440" w:lineRule="exact"/>
        <w:ind w:firstLine="521" w:firstLineChars="247"/>
        <w:jc w:val="left"/>
        <w:rPr>
          <w:rFonts w:hint="eastAsia" w:ascii="宋体" w:hAnsi="宋体" w:cs="宋体"/>
          <w:b/>
          <w:color w:val="auto"/>
          <w:szCs w:val="21"/>
          <w:highlight w:val="none"/>
        </w:rPr>
      </w:pPr>
      <w:r>
        <w:rPr>
          <w:rFonts w:hint="eastAsia" w:ascii="宋体" w:hAnsi="宋体" w:cs="宋体"/>
          <w:b/>
          <w:color w:val="auto"/>
          <w:szCs w:val="21"/>
          <w:highlight w:val="none"/>
        </w:rPr>
        <w:t>33</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 合同协议书的签订</w:t>
      </w:r>
    </w:p>
    <w:p w14:paraId="0B02AC42">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.1</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与中标人将于中标通知书发出之日起7个工作日内，按照招标文件和中标人的投标文件订立书面采购合同。</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和中标人不得再行订立背离合同实质性内容的其他协议。</w:t>
      </w:r>
    </w:p>
    <w:p w14:paraId="7CBFD5D5">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 xml:space="preserve">.2 </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如不按本投标须知第</w:t>
      </w:r>
      <w:r>
        <w:rPr>
          <w:rFonts w:hint="eastAsia" w:ascii="宋体" w:hAnsi="宋体" w:cs="宋体"/>
          <w:color w:val="auto"/>
          <w:szCs w:val="21"/>
          <w:highlight w:val="none"/>
          <w:lang w:val="en-US" w:eastAsia="zh-CN"/>
        </w:rPr>
        <w:t>31</w:t>
      </w:r>
      <w:r>
        <w:rPr>
          <w:rFonts w:hint="eastAsia" w:ascii="宋体" w:hAnsi="宋体" w:cs="宋体"/>
          <w:color w:val="auto"/>
          <w:szCs w:val="21"/>
          <w:highlight w:val="none"/>
        </w:rPr>
        <w:t>条的规定与中标人订立合同，或者</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、中标人订立背离合同实质性内容的协议，给他人造成损失的，依法承担民事责任，同时依法承担相应法律责任。</w:t>
      </w:r>
    </w:p>
    <w:p w14:paraId="6B58ACDE">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.3</w:t>
      </w:r>
      <w:r>
        <w:rPr>
          <w:rFonts w:hint="eastAsia" w:ascii="宋体" w:hAnsi="宋体" w:cs="宋体"/>
          <w:color w:val="auto"/>
          <w:szCs w:val="21"/>
          <w:highlight w:val="none"/>
          <w:lang w:val="en-US" w:eastAsia="zh-CN"/>
        </w:rPr>
        <w:t>中标人如不按本投标须知第31条的规定与招标人订立合同，依法承担民事责任，同时依法承担相应法律责任。</w:t>
      </w:r>
    </w:p>
    <w:p w14:paraId="513DED5B">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.4中标人应当按照合同约定履行义务，完成中标项目，不得将中标项目转让（转包）给他人。</w:t>
      </w:r>
    </w:p>
    <w:p w14:paraId="6EAE48A9">
      <w:pPr>
        <w:spacing w:line="440" w:lineRule="exact"/>
        <w:rPr>
          <w:rFonts w:hint="default" w:ascii="宋体" w:hAnsi="宋体" w:eastAsia="宋体" w:cs="宋体"/>
          <w:b/>
          <w:color w:val="auto"/>
          <w:szCs w:val="21"/>
          <w:highlight w:val="none"/>
          <w:lang w:val="en-US" w:eastAsia="zh-CN"/>
        </w:rPr>
      </w:pPr>
      <w:r>
        <w:rPr>
          <w:rFonts w:hint="eastAsia" w:ascii="宋体" w:hAnsi="宋体" w:cs="宋体"/>
          <w:color w:val="auto"/>
          <w:szCs w:val="21"/>
          <w:highlight w:val="none"/>
        </w:rPr>
        <w:t xml:space="preserve">    3</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w:t>
      </w:r>
      <w:bookmarkStart w:id="42" w:name="_Toc217446068"/>
      <w:r>
        <w:rPr>
          <w:rFonts w:hint="eastAsia" w:ascii="宋体" w:hAnsi="宋体" w:cs="宋体"/>
          <w:color w:val="auto"/>
          <w:szCs w:val="21"/>
          <w:highlight w:val="none"/>
        </w:rPr>
        <w:t xml:space="preserve"> </w:t>
      </w:r>
      <w:r>
        <w:rPr>
          <w:rFonts w:hint="eastAsia" w:ascii="宋体" w:hAnsi="宋体" w:cs="宋体"/>
          <w:b/>
          <w:color w:val="auto"/>
          <w:szCs w:val="21"/>
          <w:highlight w:val="none"/>
        </w:rPr>
        <w:t>履约保证金</w:t>
      </w:r>
      <w:bookmarkEnd w:id="42"/>
      <w:r>
        <w:rPr>
          <w:rFonts w:hint="eastAsia" w:ascii="宋体" w:hAnsi="宋体" w:cs="宋体"/>
          <w:b/>
          <w:color w:val="auto"/>
          <w:szCs w:val="21"/>
          <w:highlight w:val="none"/>
          <w:lang w:eastAsia="zh-CN"/>
        </w:rPr>
        <w:t>（</w:t>
      </w:r>
      <w:r>
        <w:rPr>
          <w:rFonts w:hint="eastAsia" w:ascii="宋体" w:hAnsi="宋体" w:cs="宋体"/>
          <w:b/>
          <w:color w:val="auto"/>
          <w:szCs w:val="21"/>
          <w:highlight w:val="none"/>
          <w:lang w:val="en-US" w:eastAsia="zh-CN"/>
        </w:rPr>
        <w:t>本项目不采用）</w:t>
      </w:r>
    </w:p>
    <w:p w14:paraId="1A6302F0">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.1在签订合同前，中标人应按投标人须知前附表规定的担保形式、金额和招标文件第五章“合同条款及格式”规定的或者事先经过</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书面认可的履约担保格式向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提交履约担保。</w:t>
      </w:r>
    </w:p>
    <w:p w14:paraId="50FDC332">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.2 中标人不能按本章第3</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.1款要求提交履约担保的，视为放弃中标，</w:t>
      </w:r>
      <w:r>
        <w:rPr>
          <w:rFonts w:hint="eastAsia" w:ascii="宋体" w:hAnsi="宋体" w:cs="宋体"/>
          <w:color w:val="auto"/>
          <w:szCs w:val="21"/>
          <w:highlight w:val="none"/>
          <w:shd w:val="clear" w:color="auto" w:fill="FFFFFF"/>
        </w:rPr>
        <w:t>给</w:t>
      </w:r>
      <w:r>
        <w:rPr>
          <w:rFonts w:hint="eastAsia" w:ascii="宋体" w:hAnsi="宋体" w:cs="宋体"/>
          <w:color w:val="auto"/>
          <w:szCs w:val="21"/>
          <w:highlight w:val="none"/>
          <w:shd w:val="clear" w:color="auto" w:fill="FFFFFF"/>
          <w:lang w:eastAsia="zh-CN"/>
        </w:rPr>
        <w:t>招标人</w:t>
      </w:r>
      <w:r>
        <w:rPr>
          <w:rFonts w:hint="eastAsia" w:ascii="宋体" w:hAnsi="宋体" w:cs="宋体"/>
          <w:color w:val="auto"/>
          <w:szCs w:val="21"/>
          <w:highlight w:val="none"/>
          <w:shd w:val="clear" w:color="auto" w:fill="FFFFFF"/>
        </w:rPr>
        <w:t>造成损失的，依法承担民事责任</w:t>
      </w:r>
      <w:r>
        <w:rPr>
          <w:rFonts w:hint="eastAsia" w:ascii="宋体" w:hAnsi="宋体" w:cs="宋体"/>
          <w:color w:val="auto"/>
          <w:szCs w:val="21"/>
          <w:highlight w:val="none"/>
        </w:rPr>
        <w:t>。</w:t>
      </w:r>
    </w:p>
    <w:p w14:paraId="2DDCF8D5">
      <w:pPr>
        <w:spacing w:before="312" w:beforeLines="100" w:after="312" w:afterLines="100" w:line="440" w:lineRule="exact"/>
        <w:jc w:val="center"/>
        <w:rPr>
          <w:rFonts w:hint="eastAsia" w:ascii="宋体" w:hAnsi="宋体" w:eastAsia="宋体" w:cs="宋体"/>
          <w:b/>
          <w:color w:val="auto"/>
          <w:sz w:val="28"/>
          <w:szCs w:val="28"/>
          <w:highlight w:val="none"/>
        </w:rPr>
      </w:pPr>
      <w:bookmarkStart w:id="43" w:name="_Toc449028874"/>
      <w:r>
        <w:rPr>
          <w:rFonts w:hint="eastAsia" w:ascii="宋体" w:hAnsi="宋体" w:eastAsia="宋体" w:cs="宋体"/>
          <w:b/>
          <w:color w:val="auto"/>
          <w:sz w:val="28"/>
          <w:szCs w:val="28"/>
          <w:highlight w:val="none"/>
        </w:rPr>
        <w:t>（七）纪律和监督</w:t>
      </w:r>
      <w:bookmarkEnd w:id="43"/>
    </w:p>
    <w:p w14:paraId="1BF8F3EB">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3</w:t>
      </w:r>
      <w:r>
        <w:rPr>
          <w:rFonts w:hint="eastAsia" w:ascii="宋体" w:hAnsi="宋体" w:cs="宋体"/>
          <w:b/>
          <w:color w:val="auto"/>
          <w:szCs w:val="21"/>
          <w:highlight w:val="none"/>
          <w:lang w:val="en-US" w:eastAsia="zh-CN"/>
        </w:rPr>
        <w:t>4</w:t>
      </w:r>
      <w:r>
        <w:rPr>
          <w:rFonts w:hint="eastAsia" w:ascii="宋体" w:hAnsi="宋体" w:cs="宋体"/>
          <w:b/>
          <w:color w:val="auto"/>
          <w:szCs w:val="21"/>
          <w:highlight w:val="none"/>
        </w:rPr>
        <w:t>. 对</w:t>
      </w:r>
      <w:r>
        <w:rPr>
          <w:rFonts w:hint="eastAsia" w:ascii="宋体" w:hAnsi="宋体" w:cs="宋体"/>
          <w:b/>
          <w:color w:val="auto"/>
          <w:szCs w:val="21"/>
          <w:highlight w:val="none"/>
          <w:lang w:eastAsia="zh-CN"/>
        </w:rPr>
        <w:t>招标人</w:t>
      </w:r>
      <w:r>
        <w:rPr>
          <w:rFonts w:hint="eastAsia" w:ascii="宋体" w:hAnsi="宋体" w:cs="宋体"/>
          <w:b/>
          <w:color w:val="auto"/>
          <w:szCs w:val="21"/>
          <w:highlight w:val="none"/>
        </w:rPr>
        <w:t xml:space="preserve">的纪律要求 </w:t>
      </w:r>
    </w:p>
    <w:p w14:paraId="5E211F07">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w:t>
      </w:r>
      <w:r>
        <w:rPr>
          <w:rFonts w:hint="eastAsia" w:ascii="宋体" w:hAnsi="宋体" w:cs="宋体"/>
          <w:color w:val="auto"/>
          <w:kern w:val="10"/>
          <w:szCs w:val="21"/>
          <w:highlight w:val="none"/>
          <w:lang w:val="en-US" w:eastAsia="zh-CN"/>
        </w:rPr>
        <w:t>4</w:t>
      </w:r>
      <w:r>
        <w:rPr>
          <w:rFonts w:hint="eastAsia" w:ascii="宋体" w:hAnsi="宋体" w:cs="宋体"/>
          <w:color w:val="auto"/>
          <w:kern w:val="10"/>
          <w:szCs w:val="21"/>
          <w:highlight w:val="none"/>
        </w:rPr>
        <w:t>.1</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 xml:space="preserve">不得泄漏招标投标活动中应当保密的情况和资料，不得与投标人串通损害国家利益，社会公共利益或者他人合法权益。 </w:t>
      </w:r>
    </w:p>
    <w:p w14:paraId="2FAFAD33">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3</w:t>
      </w:r>
      <w:r>
        <w:rPr>
          <w:rFonts w:hint="eastAsia" w:ascii="宋体" w:hAnsi="宋体" w:cs="宋体"/>
          <w:b/>
          <w:color w:val="auto"/>
          <w:szCs w:val="21"/>
          <w:highlight w:val="none"/>
          <w:lang w:val="en-US" w:eastAsia="zh-CN"/>
        </w:rPr>
        <w:t>5.</w:t>
      </w:r>
      <w:r>
        <w:rPr>
          <w:rFonts w:hint="eastAsia" w:ascii="宋体" w:hAnsi="宋体" w:cs="宋体"/>
          <w:b/>
          <w:color w:val="auto"/>
          <w:szCs w:val="21"/>
          <w:highlight w:val="none"/>
        </w:rPr>
        <w:t xml:space="preserve"> 对投标人的纪律要求 </w:t>
      </w:r>
    </w:p>
    <w:p w14:paraId="360CF98B">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w:t>
      </w:r>
      <w:r>
        <w:rPr>
          <w:rFonts w:hint="eastAsia" w:ascii="宋体" w:hAnsi="宋体" w:cs="宋体"/>
          <w:color w:val="auto"/>
          <w:kern w:val="10"/>
          <w:szCs w:val="21"/>
          <w:highlight w:val="none"/>
          <w:lang w:val="en-US" w:eastAsia="zh-CN"/>
        </w:rPr>
        <w:t>5</w:t>
      </w:r>
      <w:r>
        <w:rPr>
          <w:rFonts w:hint="eastAsia" w:ascii="宋体" w:hAnsi="宋体" w:cs="宋体"/>
          <w:color w:val="auto"/>
          <w:kern w:val="10"/>
          <w:szCs w:val="21"/>
          <w:highlight w:val="none"/>
        </w:rPr>
        <w:t>.1投标人不得相互串通投标或者与</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串通投标，不得向</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或者评标委员会成员行贿谋取中标，不得以他人名义投标或者以其他方式弄虚作假骗取中标；投标人不得以任何方式干扰、影响评标工作。</w:t>
      </w:r>
    </w:p>
    <w:p w14:paraId="55B8F791">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3</w:t>
      </w:r>
      <w:r>
        <w:rPr>
          <w:rFonts w:hint="eastAsia" w:ascii="宋体" w:hAnsi="宋体" w:cs="宋体"/>
          <w:b/>
          <w:color w:val="auto"/>
          <w:szCs w:val="21"/>
          <w:highlight w:val="none"/>
          <w:lang w:val="en-US" w:eastAsia="zh-CN"/>
        </w:rPr>
        <w:t>6</w:t>
      </w:r>
      <w:r>
        <w:rPr>
          <w:rFonts w:hint="eastAsia" w:ascii="宋体" w:hAnsi="宋体" w:cs="宋体"/>
          <w:b/>
          <w:color w:val="auto"/>
          <w:szCs w:val="21"/>
          <w:highlight w:val="none"/>
        </w:rPr>
        <w:t xml:space="preserve">. 对评标委员会成员的纪律要求 </w:t>
      </w:r>
    </w:p>
    <w:p w14:paraId="4AE1A074">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w:t>
      </w:r>
      <w:r>
        <w:rPr>
          <w:rFonts w:hint="eastAsia" w:ascii="宋体" w:hAnsi="宋体" w:cs="宋体"/>
          <w:color w:val="auto"/>
          <w:kern w:val="10"/>
          <w:szCs w:val="21"/>
          <w:highlight w:val="none"/>
          <w:lang w:val="en-US" w:eastAsia="zh-CN"/>
        </w:rPr>
        <w:t>6</w:t>
      </w:r>
      <w:r>
        <w:rPr>
          <w:rFonts w:hint="eastAsia" w:ascii="宋体" w:hAnsi="宋体" w:cs="宋体"/>
          <w:color w:val="auto"/>
          <w:kern w:val="10"/>
          <w:szCs w:val="21"/>
          <w:highlight w:val="none"/>
        </w:rPr>
        <w:t>.1评标委员会成员不得收受他人的财物或者其他好处，不得向他人透漏对投标文件的评审和比较、中标候选人的推荐情况以及评标有关的其他情况。</w:t>
      </w:r>
    </w:p>
    <w:p w14:paraId="4278D7D2">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w:t>
      </w:r>
      <w:r>
        <w:rPr>
          <w:rFonts w:hint="eastAsia" w:ascii="宋体" w:hAnsi="宋体" w:cs="宋体"/>
          <w:color w:val="auto"/>
          <w:kern w:val="10"/>
          <w:szCs w:val="21"/>
          <w:highlight w:val="none"/>
          <w:lang w:val="en-US" w:eastAsia="zh-CN"/>
        </w:rPr>
        <w:t>6</w:t>
      </w:r>
      <w:r>
        <w:rPr>
          <w:rFonts w:hint="eastAsia" w:ascii="宋体" w:hAnsi="宋体" w:cs="宋体"/>
          <w:color w:val="auto"/>
          <w:kern w:val="10"/>
          <w:szCs w:val="21"/>
          <w:highlight w:val="none"/>
        </w:rPr>
        <w:t xml:space="preserve">.2在评标活动中，评标委员会成员不得擅离职守，影响评标程序正常进行，不得使用第三章“评标办法”没有规定的评审因素和标准进行评标。 </w:t>
      </w:r>
    </w:p>
    <w:p w14:paraId="24FE0A04">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3</w:t>
      </w:r>
      <w:r>
        <w:rPr>
          <w:rFonts w:hint="eastAsia" w:ascii="宋体" w:hAnsi="宋体" w:cs="宋体"/>
          <w:b/>
          <w:color w:val="auto"/>
          <w:szCs w:val="21"/>
          <w:highlight w:val="none"/>
          <w:lang w:val="en-US" w:eastAsia="zh-CN"/>
        </w:rPr>
        <w:t>7</w:t>
      </w:r>
      <w:r>
        <w:rPr>
          <w:rFonts w:hint="eastAsia" w:ascii="宋体" w:hAnsi="宋体" w:cs="宋体"/>
          <w:b/>
          <w:color w:val="auto"/>
          <w:szCs w:val="21"/>
          <w:highlight w:val="none"/>
        </w:rPr>
        <w:t xml:space="preserve">. 对与评标活动有关的工作人员的纪律要求 </w:t>
      </w:r>
    </w:p>
    <w:p w14:paraId="2A210004">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w:t>
      </w:r>
      <w:r>
        <w:rPr>
          <w:rFonts w:hint="eastAsia" w:ascii="宋体" w:hAnsi="宋体" w:cs="宋体"/>
          <w:color w:val="auto"/>
          <w:kern w:val="10"/>
          <w:szCs w:val="21"/>
          <w:highlight w:val="none"/>
          <w:lang w:val="en-US" w:eastAsia="zh-CN"/>
        </w:rPr>
        <w:t>7</w:t>
      </w:r>
      <w:r>
        <w:rPr>
          <w:rFonts w:hint="eastAsia" w:ascii="宋体" w:hAnsi="宋体" w:cs="宋体"/>
          <w:color w:val="auto"/>
          <w:kern w:val="10"/>
          <w:szCs w:val="21"/>
          <w:highlight w:val="none"/>
        </w:rPr>
        <w:t>.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50D21476">
      <w:pPr>
        <w:spacing w:before="312" w:beforeLines="100" w:after="312" w:afterLines="100" w:line="440" w:lineRule="exact"/>
        <w:jc w:val="center"/>
        <w:rPr>
          <w:rFonts w:hint="eastAsia" w:ascii="宋体" w:hAnsi="宋体" w:eastAsia="宋体" w:cs="宋体"/>
          <w:b/>
          <w:color w:val="auto"/>
          <w:sz w:val="28"/>
          <w:szCs w:val="28"/>
          <w:highlight w:val="none"/>
        </w:rPr>
      </w:pPr>
      <w:bookmarkStart w:id="44" w:name="_Toc449028875"/>
      <w:r>
        <w:rPr>
          <w:rFonts w:hint="eastAsia" w:ascii="宋体" w:hAnsi="宋体" w:eastAsia="宋体" w:cs="宋体"/>
          <w:b/>
          <w:color w:val="auto"/>
          <w:sz w:val="28"/>
          <w:szCs w:val="28"/>
          <w:highlight w:val="none"/>
        </w:rPr>
        <w:t>（八）质疑与投诉</w:t>
      </w:r>
      <w:bookmarkEnd w:id="44"/>
    </w:p>
    <w:p w14:paraId="7BD937CB">
      <w:pPr>
        <w:spacing w:line="440" w:lineRule="exact"/>
        <w:ind w:firstLine="314" w:firstLineChars="149"/>
        <w:jc w:val="left"/>
        <w:rPr>
          <w:rFonts w:hint="eastAsia" w:ascii="宋体" w:hAnsi="宋体" w:cs="宋体"/>
          <w:b/>
          <w:color w:val="auto"/>
          <w:szCs w:val="21"/>
          <w:highlight w:val="none"/>
        </w:rPr>
      </w:pPr>
      <w:r>
        <w:rPr>
          <w:rFonts w:hint="eastAsia" w:ascii="宋体" w:hAnsi="宋体" w:cs="宋体"/>
          <w:b/>
          <w:color w:val="auto"/>
          <w:szCs w:val="21"/>
          <w:highlight w:val="none"/>
        </w:rPr>
        <w:t>3</w:t>
      </w:r>
      <w:r>
        <w:rPr>
          <w:rFonts w:hint="eastAsia" w:ascii="宋体" w:hAnsi="宋体" w:cs="宋体"/>
          <w:b/>
          <w:color w:val="auto"/>
          <w:szCs w:val="21"/>
          <w:highlight w:val="none"/>
          <w:lang w:val="en-US" w:eastAsia="zh-CN"/>
        </w:rPr>
        <w:t>8</w:t>
      </w:r>
      <w:r>
        <w:rPr>
          <w:rFonts w:hint="eastAsia" w:ascii="宋体" w:hAnsi="宋体" w:cs="宋体"/>
          <w:b/>
          <w:color w:val="auto"/>
          <w:szCs w:val="21"/>
          <w:highlight w:val="none"/>
        </w:rPr>
        <w:t>. 询问、质疑</w:t>
      </w:r>
    </w:p>
    <w:p w14:paraId="1B216D1F">
      <w:pPr>
        <w:keepNext w:val="0"/>
        <w:keepLines w:val="0"/>
        <w:pageBreakBefore w:val="0"/>
        <w:widowControl w:val="0"/>
        <w:kinsoku/>
        <w:wordWrap/>
        <w:overflowPunct/>
        <w:topLinePunct w:val="0"/>
        <w:autoSpaceDE/>
        <w:autoSpaceDN/>
        <w:bidi w:val="0"/>
        <w:adjustRightInd/>
        <w:snapToGrid/>
        <w:spacing w:line="520" w:lineRule="exact"/>
        <w:ind w:left="0" w:leftChars="0" w:right="-386" w:rightChars="-184" w:firstLine="420" w:firstLineChars="200"/>
        <w:jc w:val="left"/>
        <w:textAlignment w:val="auto"/>
        <w:rPr>
          <w:rFonts w:hint="eastAsia" w:ascii="宋体" w:hAnsi="宋体" w:eastAsia="宋体" w:cs="宋体"/>
          <w:color w:val="auto"/>
          <w:kern w:val="10"/>
          <w:sz w:val="21"/>
          <w:szCs w:val="21"/>
          <w:highlight w:val="none"/>
          <w:lang w:eastAsia="zh-CN"/>
        </w:rPr>
      </w:pPr>
      <w:r>
        <w:rPr>
          <w:rFonts w:hint="eastAsia" w:ascii="宋体" w:hAnsi="宋体" w:cs="宋体"/>
          <w:color w:val="auto"/>
          <w:szCs w:val="21"/>
          <w:highlight w:val="none"/>
        </w:rPr>
        <w:t>3</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.1</w:t>
      </w:r>
      <w:r>
        <w:rPr>
          <w:rFonts w:hint="eastAsia" w:ascii="宋体" w:hAnsi="宋体" w:eastAsia="宋体" w:cs="宋体"/>
          <w:color w:val="auto"/>
          <w:kern w:val="10"/>
          <w:sz w:val="21"/>
          <w:szCs w:val="21"/>
          <w:highlight w:val="none"/>
          <w:lang w:eastAsia="zh-CN"/>
        </w:rPr>
        <w:t>若投标人或者其他利害关系人对</w:t>
      </w:r>
      <w:r>
        <w:rPr>
          <w:rFonts w:hint="eastAsia" w:ascii="宋体" w:hAnsi="宋体" w:eastAsia="宋体" w:cs="宋体"/>
          <w:color w:val="auto"/>
          <w:kern w:val="10"/>
          <w:sz w:val="21"/>
          <w:szCs w:val="21"/>
          <w:highlight w:val="none"/>
          <w:lang w:val="en-US" w:eastAsia="zh-CN"/>
        </w:rPr>
        <w:t>中标</w:t>
      </w:r>
      <w:r>
        <w:rPr>
          <w:rFonts w:hint="eastAsia" w:ascii="宋体" w:hAnsi="宋体" w:eastAsia="宋体" w:cs="宋体"/>
          <w:color w:val="auto"/>
          <w:kern w:val="10"/>
          <w:sz w:val="21"/>
          <w:szCs w:val="21"/>
          <w:highlight w:val="none"/>
          <w:lang w:eastAsia="zh-CN"/>
        </w:rPr>
        <w:t>结果有异议，可在公示期内以书面形式，并在工作时间内（上午8:00-12:00,下午2:30-5:30）向招标人或招标代理机构提出异议。</w:t>
      </w:r>
    </w:p>
    <w:p w14:paraId="0A2AC6D2">
      <w:pPr>
        <w:keepNext w:val="0"/>
        <w:keepLines w:val="0"/>
        <w:pageBreakBefore w:val="0"/>
        <w:widowControl w:val="0"/>
        <w:kinsoku/>
        <w:wordWrap/>
        <w:overflowPunct/>
        <w:topLinePunct w:val="0"/>
        <w:autoSpaceDE/>
        <w:autoSpaceDN/>
        <w:bidi w:val="0"/>
        <w:adjustRightInd/>
        <w:snapToGrid/>
        <w:spacing w:line="520" w:lineRule="exact"/>
        <w:ind w:left="0" w:leftChars="0" w:right="-386" w:rightChars="-184" w:firstLine="420" w:firstLineChars="200"/>
        <w:jc w:val="left"/>
        <w:textAlignment w:val="auto"/>
        <w:rPr>
          <w:rFonts w:hint="eastAsia" w:ascii="宋体" w:hAnsi="宋体" w:eastAsia="宋体" w:cs="宋体"/>
          <w:color w:val="auto"/>
          <w:kern w:val="10"/>
          <w:sz w:val="21"/>
          <w:szCs w:val="21"/>
          <w:highlight w:val="none"/>
          <w:lang w:eastAsia="zh-CN"/>
        </w:rPr>
      </w:pPr>
      <w:r>
        <w:rPr>
          <w:rFonts w:hint="eastAsia" w:ascii="宋体" w:hAnsi="宋体" w:eastAsia="宋体" w:cs="宋体"/>
          <w:color w:val="auto"/>
          <w:kern w:val="10"/>
          <w:sz w:val="21"/>
          <w:szCs w:val="21"/>
          <w:highlight w:val="none"/>
          <w:lang w:eastAsia="zh-CN"/>
        </w:rPr>
        <w:t>异议应以书面形式实名提出，书面异议材料应当包括以下内容： </w:t>
      </w:r>
    </w:p>
    <w:p w14:paraId="039C0B30">
      <w:pPr>
        <w:keepNext w:val="0"/>
        <w:keepLines w:val="0"/>
        <w:pageBreakBefore w:val="0"/>
        <w:widowControl w:val="0"/>
        <w:kinsoku/>
        <w:wordWrap/>
        <w:overflowPunct/>
        <w:topLinePunct w:val="0"/>
        <w:autoSpaceDE/>
        <w:autoSpaceDN/>
        <w:bidi w:val="0"/>
        <w:adjustRightInd/>
        <w:snapToGrid/>
        <w:spacing w:line="520" w:lineRule="exact"/>
        <w:ind w:left="0" w:leftChars="0" w:right="-386" w:rightChars="-184" w:firstLine="420" w:firstLineChars="200"/>
        <w:jc w:val="left"/>
        <w:textAlignment w:val="auto"/>
        <w:rPr>
          <w:rFonts w:hint="eastAsia" w:ascii="宋体" w:hAnsi="宋体" w:eastAsia="宋体" w:cs="宋体"/>
          <w:color w:val="auto"/>
          <w:kern w:val="10"/>
          <w:sz w:val="21"/>
          <w:szCs w:val="21"/>
          <w:highlight w:val="none"/>
          <w:lang w:eastAsia="zh-CN"/>
        </w:rPr>
      </w:pPr>
      <w:r>
        <w:rPr>
          <w:rFonts w:hint="eastAsia" w:ascii="宋体" w:hAnsi="宋体" w:eastAsia="宋体" w:cs="宋体"/>
          <w:color w:val="auto"/>
          <w:kern w:val="10"/>
          <w:sz w:val="21"/>
          <w:szCs w:val="21"/>
          <w:highlight w:val="none"/>
          <w:lang w:eastAsia="zh-CN"/>
        </w:rPr>
        <w:t>  （1）异议人的名称、地址、有效联系方式； </w:t>
      </w:r>
    </w:p>
    <w:p w14:paraId="257C3E87">
      <w:pPr>
        <w:keepNext w:val="0"/>
        <w:keepLines w:val="0"/>
        <w:pageBreakBefore w:val="0"/>
        <w:widowControl w:val="0"/>
        <w:kinsoku/>
        <w:wordWrap/>
        <w:overflowPunct/>
        <w:topLinePunct w:val="0"/>
        <w:autoSpaceDE/>
        <w:autoSpaceDN/>
        <w:bidi w:val="0"/>
        <w:adjustRightInd/>
        <w:snapToGrid/>
        <w:spacing w:line="520" w:lineRule="exact"/>
        <w:ind w:left="0" w:leftChars="0" w:right="-386" w:rightChars="-184" w:firstLine="420" w:firstLineChars="200"/>
        <w:jc w:val="left"/>
        <w:textAlignment w:val="auto"/>
        <w:rPr>
          <w:rFonts w:hint="eastAsia" w:ascii="宋体" w:hAnsi="宋体" w:eastAsia="宋体" w:cs="宋体"/>
          <w:color w:val="auto"/>
          <w:kern w:val="10"/>
          <w:sz w:val="21"/>
          <w:szCs w:val="21"/>
          <w:highlight w:val="none"/>
          <w:lang w:eastAsia="zh-CN"/>
        </w:rPr>
      </w:pPr>
      <w:r>
        <w:rPr>
          <w:rFonts w:hint="eastAsia" w:ascii="宋体" w:hAnsi="宋体" w:eastAsia="宋体" w:cs="宋体"/>
          <w:color w:val="auto"/>
          <w:kern w:val="10"/>
          <w:sz w:val="21"/>
          <w:szCs w:val="21"/>
          <w:highlight w:val="none"/>
          <w:lang w:eastAsia="zh-CN"/>
        </w:rPr>
        <w:t>  （2）项目名称、项目编号、标段号（如有）； </w:t>
      </w:r>
    </w:p>
    <w:p w14:paraId="7965E185">
      <w:pPr>
        <w:keepNext w:val="0"/>
        <w:keepLines w:val="0"/>
        <w:pageBreakBefore w:val="0"/>
        <w:widowControl w:val="0"/>
        <w:kinsoku/>
        <w:wordWrap/>
        <w:overflowPunct/>
        <w:topLinePunct w:val="0"/>
        <w:autoSpaceDE/>
        <w:autoSpaceDN/>
        <w:bidi w:val="0"/>
        <w:adjustRightInd/>
        <w:snapToGrid/>
        <w:spacing w:line="520" w:lineRule="exact"/>
        <w:ind w:left="0" w:leftChars="0" w:right="-386" w:rightChars="-184" w:firstLine="420" w:firstLineChars="200"/>
        <w:jc w:val="left"/>
        <w:textAlignment w:val="auto"/>
        <w:rPr>
          <w:rFonts w:hint="eastAsia" w:ascii="宋体" w:hAnsi="宋体" w:eastAsia="宋体" w:cs="宋体"/>
          <w:color w:val="auto"/>
          <w:kern w:val="10"/>
          <w:sz w:val="21"/>
          <w:szCs w:val="21"/>
          <w:highlight w:val="none"/>
          <w:lang w:eastAsia="zh-CN"/>
        </w:rPr>
      </w:pPr>
      <w:r>
        <w:rPr>
          <w:rFonts w:hint="eastAsia" w:ascii="宋体" w:hAnsi="宋体" w:eastAsia="宋体" w:cs="宋体"/>
          <w:color w:val="auto"/>
          <w:kern w:val="10"/>
          <w:sz w:val="21"/>
          <w:szCs w:val="21"/>
          <w:highlight w:val="none"/>
          <w:lang w:eastAsia="zh-CN"/>
        </w:rPr>
        <w:t>  （3）被异议人名称； </w:t>
      </w:r>
    </w:p>
    <w:p w14:paraId="76B96196">
      <w:pPr>
        <w:keepNext w:val="0"/>
        <w:keepLines w:val="0"/>
        <w:pageBreakBefore w:val="0"/>
        <w:widowControl w:val="0"/>
        <w:kinsoku/>
        <w:wordWrap/>
        <w:overflowPunct/>
        <w:topLinePunct w:val="0"/>
        <w:autoSpaceDE/>
        <w:autoSpaceDN/>
        <w:bidi w:val="0"/>
        <w:adjustRightInd/>
        <w:snapToGrid/>
        <w:spacing w:line="520" w:lineRule="exact"/>
        <w:ind w:left="0" w:leftChars="0" w:right="-386" w:rightChars="-184" w:firstLine="420" w:firstLineChars="200"/>
        <w:jc w:val="left"/>
        <w:textAlignment w:val="auto"/>
        <w:rPr>
          <w:rFonts w:hint="eastAsia" w:ascii="宋体" w:hAnsi="宋体" w:eastAsia="宋体" w:cs="宋体"/>
          <w:color w:val="auto"/>
          <w:kern w:val="10"/>
          <w:sz w:val="21"/>
          <w:szCs w:val="21"/>
          <w:highlight w:val="none"/>
          <w:lang w:eastAsia="zh-CN"/>
        </w:rPr>
      </w:pPr>
      <w:r>
        <w:rPr>
          <w:rFonts w:hint="eastAsia" w:ascii="宋体" w:hAnsi="宋体" w:eastAsia="宋体" w:cs="宋体"/>
          <w:color w:val="auto"/>
          <w:kern w:val="10"/>
          <w:sz w:val="21"/>
          <w:szCs w:val="21"/>
          <w:highlight w:val="none"/>
          <w:lang w:eastAsia="zh-CN"/>
        </w:rPr>
        <w:t>  （4）具体的异议事项、基本事实及必要的证明材料； </w:t>
      </w:r>
    </w:p>
    <w:p w14:paraId="11ED6711">
      <w:pPr>
        <w:keepNext w:val="0"/>
        <w:keepLines w:val="0"/>
        <w:pageBreakBefore w:val="0"/>
        <w:widowControl w:val="0"/>
        <w:kinsoku/>
        <w:wordWrap/>
        <w:overflowPunct/>
        <w:topLinePunct w:val="0"/>
        <w:autoSpaceDE/>
        <w:autoSpaceDN/>
        <w:bidi w:val="0"/>
        <w:adjustRightInd/>
        <w:snapToGrid/>
        <w:spacing w:line="520" w:lineRule="exact"/>
        <w:ind w:left="0" w:leftChars="0" w:right="-386" w:rightChars="-184" w:firstLine="420" w:firstLineChars="200"/>
        <w:jc w:val="left"/>
        <w:textAlignment w:val="auto"/>
        <w:rPr>
          <w:rFonts w:hint="eastAsia" w:ascii="宋体" w:hAnsi="宋体" w:eastAsia="宋体" w:cs="宋体"/>
          <w:color w:val="auto"/>
          <w:kern w:val="10"/>
          <w:sz w:val="21"/>
          <w:szCs w:val="21"/>
          <w:highlight w:val="none"/>
          <w:lang w:eastAsia="zh-CN"/>
        </w:rPr>
      </w:pPr>
      <w:r>
        <w:rPr>
          <w:rFonts w:hint="eastAsia" w:ascii="宋体" w:hAnsi="宋体" w:eastAsia="宋体" w:cs="宋体"/>
          <w:color w:val="auto"/>
          <w:kern w:val="10"/>
          <w:sz w:val="21"/>
          <w:szCs w:val="21"/>
          <w:highlight w:val="none"/>
          <w:lang w:eastAsia="zh-CN"/>
        </w:rPr>
        <w:t>  （5）明确的请求及主张； </w:t>
      </w:r>
    </w:p>
    <w:p w14:paraId="3652963E">
      <w:pPr>
        <w:keepNext w:val="0"/>
        <w:keepLines w:val="0"/>
        <w:pageBreakBefore w:val="0"/>
        <w:widowControl w:val="0"/>
        <w:kinsoku/>
        <w:wordWrap/>
        <w:overflowPunct/>
        <w:topLinePunct w:val="0"/>
        <w:autoSpaceDE/>
        <w:autoSpaceDN/>
        <w:bidi w:val="0"/>
        <w:adjustRightInd/>
        <w:snapToGrid/>
        <w:spacing w:line="520" w:lineRule="exact"/>
        <w:ind w:left="0" w:leftChars="0" w:right="-386" w:rightChars="-184" w:firstLine="420" w:firstLineChars="200"/>
        <w:jc w:val="left"/>
        <w:textAlignment w:val="auto"/>
        <w:rPr>
          <w:rFonts w:hint="eastAsia" w:ascii="宋体" w:hAnsi="宋体" w:eastAsia="宋体" w:cs="宋体"/>
          <w:color w:val="auto"/>
          <w:kern w:val="10"/>
          <w:sz w:val="21"/>
          <w:szCs w:val="21"/>
          <w:highlight w:val="none"/>
          <w:lang w:eastAsia="zh-CN"/>
        </w:rPr>
      </w:pPr>
      <w:r>
        <w:rPr>
          <w:rFonts w:hint="eastAsia" w:ascii="宋体" w:hAnsi="宋体" w:eastAsia="宋体" w:cs="宋体"/>
          <w:color w:val="auto"/>
          <w:kern w:val="10"/>
          <w:sz w:val="21"/>
          <w:szCs w:val="21"/>
          <w:highlight w:val="none"/>
          <w:lang w:eastAsia="zh-CN"/>
        </w:rPr>
        <w:t>  （6）提起异议的日期。 </w:t>
      </w:r>
    </w:p>
    <w:p w14:paraId="1DC7774A">
      <w:pPr>
        <w:keepNext w:val="0"/>
        <w:keepLines w:val="0"/>
        <w:pageBreakBefore w:val="0"/>
        <w:widowControl w:val="0"/>
        <w:kinsoku/>
        <w:wordWrap/>
        <w:overflowPunct/>
        <w:topLinePunct w:val="0"/>
        <w:autoSpaceDE/>
        <w:autoSpaceDN/>
        <w:bidi w:val="0"/>
        <w:adjustRightInd/>
        <w:snapToGrid/>
        <w:spacing w:line="520" w:lineRule="exact"/>
        <w:ind w:left="0" w:leftChars="0" w:right="-386" w:rightChars="-184" w:firstLine="420" w:firstLineChars="200"/>
        <w:jc w:val="left"/>
        <w:textAlignment w:val="auto"/>
        <w:rPr>
          <w:rFonts w:hint="eastAsia" w:ascii="宋体" w:hAnsi="宋体" w:eastAsia="宋体" w:cs="宋体"/>
          <w:color w:val="auto"/>
          <w:kern w:val="10"/>
          <w:sz w:val="21"/>
          <w:szCs w:val="21"/>
          <w:highlight w:val="none"/>
          <w:lang w:eastAsia="zh-CN"/>
        </w:rPr>
      </w:pPr>
      <w:r>
        <w:rPr>
          <w:rFonts w:hint="eastAsia" w:ascii="宋体" w:hAnsi="宋体" w:eastAsia="宋体" w:cs="宋体"/>
          <w:color w:val="auto"/>
          <w:kern w:val="10"/>
          <w:sz w:val="21"/>
          <w:szCs w:val="21"/>
          <w:highlight w:val="none"/>
          <w:lang w:eastAsia="zh-CN"/>
        </w:rPr>
        <w:t>  （7）异议人为法人的，应当由法定代表人或授权代表签字并加盖公章；为其他组织或个人的，异议材料须由其主要负责人或者异议人本人签字，并附有效身份证明复印件。 </w:t>
      </w:r>
    </w:p>
    <w:p w14:paraId="6CD082B5">
      <w:pPr>
        <w:keepNext w:val="0"/>
        <w:keepLines w:val="0"/>
        <w:pageBreakBefore w:val="0"/>
        <w:widowControl w:val="0"/>
        <w:kinsoku/>
        <w:wordWrap/>
        <w:overflowPunct/>
        <w:topLinePunct w:val="0"/>
        <w:autoSpaceDE/>
        <w:autoSpaceDN/>
        <w:bidi w:val="0"/>
        <w:adjustRightInd/>
        <w:snapToGrid/>
        <w:spacing w:line="520" w:lineRule="exact"/>
        <w:ind w:left="0" w:leftChars="0" w:right="-386" w:rightChars="-184" w:firstLine="420" w:firstLineChars="200"/>
        <w:jc w:val="left"/>
        <w:textAlignment w:val="auto"/>
        <w:rPr>
          <w:rFonts w:hint="eastAsia" w:ascii="宋体" w:hAnsi="宋体" w:eastAsia="宋体" w:cs="宋体"/>
          <w:color w:val="auto"/>
          <w:kern w:val="10"/>
          <w:sz w:val="21"/>
          <w:szCs w:val="21"/>
          <w:highlight w:val="none"/>
          <w:lang w:eastAsia="zh-CN"/>
        </w:rPr>
      </w:pPr>
      <w:r>
        <w:rPr>
          <w:rFonts w:hint="eastAsia" w:ascii="宋体" w:hAnsi="宋体" w:eastAsia="宋体" w:cs="宋体"/>
          <w:color w:val="auto"/>
          <w:kern w:val="10"/>
          <w:sz w:val="21"/>
          <w:szCs w:val="21"/>
          <w:highlight w:val="none"/>
          <w:lang w:eastAsia="zh-CN"/>
        </w:rPr>
        <w:t>  （8）异议人需要修改、补充异议材料的，应当在招标人或招标代理机构规定的期限内提交修改或补充材料。 </w:t>
      </w:r>
    </w:p>
    <w:p w14:paraId="7276EE10">
      <w:pPr>
        <w:keepNext w:val="0"/>
        <w:keepLines w:val="0"/>
        <w:pageBreakBefore w:val="0"/>
        <w:widowControl w:val="0"/>
        <w:kinsoku/>
        <w:wordWrap/>
        <w:overflowPunct/>
        <w:topLinePunct w:val="0"/>
        <w:autoSpaceDE/>
        <w:autoSpaceDN/>
        <w:bidi w:val="0"/>
        <w:adjustRightInd/>
        <w:snapToGrid/>
        <w:spacing w:line="520" w:lineRule="exact"/>
        <w:ind w:left="0" w:leftChars="0" w:right="-386" w:rightChars="-184" w:firstLine="420" w:firstLineChars="200"/>
        <w:jc w:val="left"/>
        <w:textAlignment w:val="auto"/>
        <w:rPr>
          <w:rFonts w:hint="eastAsia" w:ascii="宋体" w:hAnsi="宋体" w:eastAsia="宋体" w:cs="宋体"/>
          <w:color w:val="auto"/>
          <w:kern w:val="10"/>
          <w:sz w:val="21"/>
          <w:szCs w:val="21"/>
          <w:highlight w:val="none"/>
          <w:lang w:eastAsia="zh-CN"/>
        </w:rPr>
      </w:pP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 xml:space="preserve">.2 </w:t>
      </w:r>
      <w:r>
        <w:rPr>
          <w:rFonts w:hint="eastAsia" w:ascii="宋体" w:hAnsi="宋体" w:eastAsia="宋体" w:cs="宋体"/>
          <w:color w:val="auto"/>
          <w:kern w:val="10"/>
          <w:sz w:val="21"/>
          <w:szCs w:val="21"/>
          <w:highlight w:val="none"/>
          <w:lang w:eastAsia="zh-CN"/>
        </w:rPr>
        <w:t>有下列情形之一的，不予受理： </w:t>
      </w:r>
    </w:p>
    <w:p w14:paraId="077771CD">
      <w:pPr>
        <w:keepNext w:val="0"/>
        <w:keepLines w:val="0"/>
        <w:pageBreakBefore w:val="0"/>
        <w:widowControl w:val="0"/>
        <w:kinsoku/>
        <w:wordWrap/>
        <w:overflowPunct/>
        <w:topLinePunct w:val="0"/>
        <w:autoSpaceDE/>
        <w:autoSpaceDN/>
        <w:bidi w:val="0"/>
        <w:adjustRightInd/>
        <w:snapToGrid/>
        <w:spacing w:line="520" w:lineRule="exact"/>
        <w:ind w:left="0" w:leftChars="0" w:right="-386" w:rightChars="-184" w:firstLine="420" w:firstLineChars="200"/>
        <w:jc w:val="left"/>
        <w:textAlignment w:val="auto"/>
        <w:rPr>
          <w:rFonts w:hint="eastAsia" w:ascii="宋体" w:hAnsi="宋体" w:eastAsia="宋体" w:cs="宋体"/>
          <w:color w:val="auto"/>
          <w:kern w:val="10"/>
          <w:sz w:val="21"/>
          <w:szCs w:val="21"/>
          <w:highlight w:val="none"/>
          <w:lang w:eastAsia="zh-CN"/>
        </w:rPr>
      </w:pPr>
      <w:r>
        <w:rPr>
          <w:rFonts w:hint="eastAsia" w:ascii="宋体" w:hAnsi="宋体" w:eastAsia="宋体" w:cs="宋体"/>
          <w:color w:val="auto"/>
          <w:kern w:val="10"/>
          <w:sz w:val="21"/>
          <w:szCs w:val="21"/>
          <w:highlight w:val="none"/>
          <w:lang w:eastAsia="zh-CN"/>
        </w:rPr>
        <w:t xml:space="preserve">  </w:t>
      </w:r>
      <w:r>
        <w:rPr>
          <w:rFonts w:hint="eastAsia" w:ascii="宋体" w:hAnsi="宋体" w:eastAsia="宋体" w:cs="宋体"/>
          <w:color w:val="auto"/>
          <w:kern w:val="10"/>
          <w:sz w:val="21"/>
          <w:szCs w:val="21"/>
          <w:highlight w:val="none"/>
          <w:lang w:val="en-US" w:eastAsia="zh-CN"/>
        </w:rPr>
        <w:t xml:space="preserve"> </w:t>
      </w:r>
      <w:r>
        <w:rPr>
          <w:rFonts w:hint="eastAsia" w:ascii="宋体" w:hAnsi="宋体" w:eastAsia="宋体" w:cs="宋体"/>
          <w:color w:val="auto"/>
          <w:kern w:val="10"/>
          <w:sz w:val="21"/>
          <w:szCs w:val="21"/>
          <w:highlight w:val="none"/>
          <w:lang w:eastAsia="zh-CN"/>
        </w:rPr>
        <w:t>（1）提出异议的主体不是所异议项目投标人或者其他利害关系人的；</w:t>
      </w:r>
    </w:p>
    <w:p w14:paraId="3BB44CE2">
      <w:pPr>
        <w:keepNext w:val="0"/>
        <w:keepLines w:val="0"/>
        <w:pageBreakBefore w:val="0"/>
        <w:widowControl w:val="0"/>
        <w:kinsoku/>
        <w:wordWrap/>
        <w:overflowPunct/>
        <w:topLinePunct w:val="0"/>
        <w:autoSpaceDE/>
        <w:autoSpaceDN/>
        <w:bidi w:val="0"/>
        <w:adjustRightInd/>
        <w:snapToGrid/>
        <w:spacing w:line="520" w:lineRule="exact"/>
        <w:ind w:right="-386" w:rightChars="-184" w:firstLine="630" w:firstLineChars="300"/>
        <w:jc w:val="left"/>
        <w:textAlignment w:val="auto"/>
        <w:rPr>
          <w:rFonts w:hint="eastAsia" w:ascii="宋体" w:hAnsi="宋体" w:eastAsia="宋体" w:cs="宋体"/>
          <w:color w:val="auto"/>
          <w:kern w:val="10"/>
          <w:sz w:val="21"/>
          <w:szCs w:val="21"/>
          <w:highlight w:val="none"/>
          <w:lang w:eastAsia="zh-CN"/>
        </w:rPr>
      </w:pPr>
      <w:r>
        <w:rPr>
          <w:rFonts w:hint="eastAsia" w:ascii="宋体" w:hAnsi="宋体" w:eastAsia="宋体" w:cs="宋体"/>
          <w:color w:val="auto"/>
          <w:kern w:val="10"/>
          <w:sz w:val="21"/>
          <w:szCs w:val="21"/>
          <w:highlight w:val="none"/>
          <w:lang w:eastAsia="zh-CN"/>
        </w:rPr>
        <w:t>（</w:t>
      </w:r>
      <w:r>
        <w:rPr>
          <w:rFonts w:hint="eastAsia" w:ascii="宋体" w:hAnsi="宋体" w:eastAsia="宋体" w:cs="宋体"/>
          <w:color w:val="auto"/>
          <w:kern w:val="10"/>
          <w:sz w:val="21"/>
          <w:szCs w:val="21"/>
          <w:highlight w:val="none"/>
          <w:lang w:val="en-US" w:eastAsia="zh-CN"/>
        </w:rPr>
        <w:t>2</w:t>
      </w:r>
      <w:r>
        <w:rPr>
          <w:rFonts w:hint="eastAsia" w:ascii="宋体" w:hAnsi="宋体" w:eastAsia="宋体" w:cs="宋体"/>
          <w:color w:val="auto"/>
          <w:kern w:val="10"/>
          <w:sz w:val="21"/>
          <w:szCs w:val="21"/>
          <w:highlight w:val="none"/>
          <w:lang w:eastAsia="zh-CN"/>
        </w:rPr>
        <w:t>）对于依法必须招标的项目，未在公示期间提出异议的；</w:t>
      </w:r>
    </w:p>
    <w:p w14:paraId="7355F1D5">
      <w:pPr>
        <w:keepNext w:val="0"/>
        <w:keepLines w:val="0"/>
        <w:pageBreakBefore w:val="0"/>
        <w:widowControl w:val="0"/>
        <w:kinsoku/>
        <w:wordWrap/>
        <w:overflowPunct/>
        <w:topLinePunct w:val="0"/>
        <w:autoSpaceDE/>
        <w:autoSpaceDN/>
        <w:bidi w:val="0"/>
        <w:adjustRightInd/>
        <w:snapToGrid/>
        <w:spacing w:line="520" w:lineRule="exact"/>
        <w:ind w:left="0" w:leftChars="0" w:right="-386" w:rightChars="-184" w:firstLine="420" w:firstLineChars="200"/>
        <w:jc w:val="left"/>
        <w:textAlignment w:val="auto"/>
        <w:rPr>
          <w:rFonts w:hint="eastAsia" w:ascii="宋体" w:hAnsi="宋体" w:eastAsia="宋体" w:cs="宋体"/>
          <w:color w:val="auto"/>
          <w:kern w:val="10"/>
          <w:sz w:val="21"/>
          <w:szCs w:val="21"/>
          <w:highlight w:val="none"/>
          <w:lang w:eastAsia="zh-CN"/>
        </w:rPr>
      </w:pPr>
      <w:r>
        <w:rPr>
          <w:rFonts w:hint="eastAsia" w:ascii="宋体" w:hAnsi="宋体" w:eastAsia="宋体" w:cs="宋体"/>
          <w:color w:val="auto"/>
          <w:kern w:val="10"/>
          <w:sz w:val="21"/>
          <w:szCs w:val="21"/>
          <w:highlight w:val="none"/>
          <w:lang w:eastAsia="zh-CN"/>
        </w:rPr>
        <w:t xml:space="preserve">  </w:t>
      </w:r>
      <w:r>
        <w:rPr>
          <w:rFonts w:hint="eastAsia" w:ascii="宋体" w:hAnsi="宋体" w:eastAsia="宋体" w:cs="宋体"/>
          <w:color w:val="auto"/>
          <w:kern w:val="10"/>
          <w:sz w:val="21"/>
          <w:szCs w:val="21"/>
          <w:highlight w:val="none"/>
          <w:lang w:val="en-US" w:eastAsia="zh-CN"/>
        </w:rPr>
        <w:t xml:space="preserve"> </w:t>
      </w:r>
      <w:r>
        <w:rPr>
          <w:rFonts w:hint="eastAsia" w:ascii="宋体" w:hAnsi="宋体" w:eastAsia="宋体" w:cs="宋体"/>
          <w:color w:val="auto"/>
          <w:kern w:val="10"/>
          <w:sz w:val="21"/>
          <w:szCs w:val="21"/>
          <w:highlight w:val="none"/>
          <w:lang w:eastAsia="zh-CN"/>
        </w:rPr>
        <w:t>（3）异议材料不完整的； </w:t>
      </w:r>
    </w:p>
    <w:p w14:paraId="6CABAF64">
      <w:pPr>
        <w:keepNext w:val="0"/>
        <w:keepLines w:val="0"/>
        <w:pageBreakBefore w:val="0"/>
        <w:widowControl w:val="0"/>
        <w:kinsoku/>
        <w:wordWrap/>
        <w:overflowPunct/>
        <w:topLinePunct w:val="0"/>
        <w:autoSpaceDE/>
        <w:autoSpaceDN/>
        <w:bidi w:val="0"/>
        <w:adjustRightInd/>
        <w:snapToGrid/>
        <w:spacing w:line="520" w:lineRule="exact"/>
        <w:ind w:left="0" w:leftChars="0" w:right="-386" w:rightChars="-184" w:firstLine="420" w:firstLineChars="200"/>
        <w:jc w:val="left"/>
        <w:textAlignment w:val="auto"/>
        <w:rPr>
          <w:rFonts w:hint="eastAsia" w:ascii="宋体" w:hAnsi="宋体" w:eastAsia="宋体" w:cs="宋体"/>
          <w:color w:val="auto"/>
          <w:kern w:val="10"/>
          <w:sz w:val="21"/>
          <w:szCs w:val="21"/>
          <w:highlight w:val="none"/>
          <w:lang w:eastAsia="zh-CN"/>
        </w:rPr>
      </w:pPr>
      <w:r>
        <w:rPr>
          <w:rFonts w:hint="eastAsia" w:ascii="宋体" w:hAnsi="宋体" w:eastAsia="宋体" w:cs="宋体"/>
          <w:color w:val="auto"/>
          <w:kern w:val="10"/>
          <w:sz w:val="21"/>
          <w:szCs w:val="21"/>
          <w:highlight w:val="none"/>
          <w:lang w:eastAsia="zh-CN"/>
        </w:rPr>
        <w:t xml:space="preserve">  </w:t>
      </w:r>
      <w:r>
        <w:rPr>
          <w:rFonts w:hint="eastAsia" w:ascii="宋体" w:hAnsi="宋体" w:eastAsia="宋体" w:cs="宋体"/>
          <w:color w:val="auto"/>
          <w:kern w:val="10"/>
          <w:sz w:val="21"/>
          <w:szCs w:val="21"/>
          <w:highlight w:val="none"/>
          <w:lang w:val="en-US" w:eastAsia="zh-CN"/>
        </w:rPr>
        <w:t xml:space="preserve"> </w:t>
      </w:r>
      <w:r>
        <w:rPr>
          <w:rFonts w:hint="eastAsia" w:ascii="宋体" w:hAnsi="宋体" w:eastAsia="宋体" w:cs="宋体"/>
          <w:color w:val="auto"/>
          <w:kern w:val="10"/>
          <w:sz w:val="21"/>
          <w:szCs w:val="21"/>
          <w:highlight w:val="none"/>
          <w:lang w:eastAsia="zh-CN"/>
        </w:rPr>
        <w:t>（4）异议事项含有主观猜测等内容且未提供有效线索、难以查证的； </w:t>
      </w:r>
    </w:p>
    <w:p w14:paraId="17E89A31">
      <w:pPr>
        <w:keepNext w:val="0"/>
        <w:keepLines w:val="0"/>
        <w:pageBreakBefore w:val="0"/>
        <w:widowControl w:val="0"/>
        <w:kinsoku/>
        <w:wordWrap/>
        <w:overflowPunct/>
        <w:topLinePunct w:val="0"/>
        <w:autoSpaceDE/>
        <w:autoSpaceDN/>
        <w:bidi w:val="0"/>
        <w:adjustRightInd/>
        <w:snapToGrid/>
        <w:spacing w:line="520" w:lineRule="exact"/>
        <w:ind w:left="0" w:leftChars="0" w:right="-386" w:rightChars="-184" w:firstLine="420" w:firstLineChars="200"/>
        <w:jc w:val="left"/>
        <w:textAlignment w:val="auto"/>
        <w:rPr>
          <w:rFonts w:hint="eastAsia" w:ascii="宋体" w:hAnsi="宋体" w:eastAsia="宋体" w:cs="宋体"/>
          <w:color w:val="auto"/>
          <w:kern w:val="10"/>
          <w:sz w:val="21"/>
          <w:szCs w:val="21"/>
          <w:highlight w:val="none"/>
          <w:lang w:eastAsia="zh-CN"/>
        </w:rPr>
      </w:pPr>
      <w:r>
        <w:rPr>
          <w:rFonts w:hint="eastAsia" w:ascii="宋体" w:hAnsi="宋体" w:eastAsia="宋体" w:cs="宋体"/>
          <w:color w:val="auto"/>
          <w:kern w:val="10"/>
          <w:sz w:val="21"/>
          <w:szCs w:val="21"/>
          <w:highlight w:val="none"/>
          <w:lang w:val="en-US" w:eastAsia="zh-CN"/>
        </w:rPr>
        <w:t xml:space="preserve"> </w:t>
      </w:r>
      <w:r>
        <w:rPr>
          <w:rFonts w:hint="eastAsia" w:ascii="宋体" w:hAnsi="宋体" w:eastAsia="宋体" w:cs="宋体"/>
          <w:color w:val="auto"/>
          <w:kern w:val="10"/>
          <w:sz w:val="21"/>
          <w:szCs w:val="21"/>
          <w:highlight w:val="none"/>
          <w:lang w:eastAsia="zh-CN"/>
        </w:rPr>
        <w:t>  （5）对其他投标人的投标文件详细内容异议，无法提供合法来源渠道的； </w:t>
      </w:r>
    </w:p>
    <w:p w14:paraId="2410981B">
      <w:pPr>
        <w:keepNext w:val="0"/>
        <w:keepLines w:val="0"/>
        <w:pageBreakBefore w:val="0"/>
        <w:widowControl w:val="0"/>
        <w:kinsoku/>
        <w:wordWrap/>
        <w:overflowPunct/>
        <w:topLinePunct w:val="0"/>
        <w:autoSpaceDE/>
        <w:autoSpaceDN/>
        <w:bidi w:val="0"/>
        <w:adjustRightInd/>
        <w:snapToGrid/>
        <w:spacing w:line="520" w:lineRule="exact"/>
        <w:ind w:left="0" w:leftChars="0" w:right="-386" w:rightChars="-184"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10"/>
          <w:sz w:val="21"/>
          <w:szCs w:val="21"/>
          <w:highlight w:val="none"/>
          <w:lang w:val="en-US" w:eastAsia="zh-CN"/>
        </w:rPr>
        <w:t xml:space="preserve"> </w:t>
      </w:r>
      <w:r>
        <w:rPr>
          <w:rFonts w:hint="eastAsia" w:ascii="宋体" w:hAnsi="宋体" w:eastAsia="宋体" w:cs="宋体"/>
          <w:color w:val="auto"/>
          <w:kern w:val="10"/>
          <w:sz w:val="21"/>
          <w:szCs w:val="21"/>
          <w:highlight w:val="none"/>
          <w:lang w:eastAsia="zh-CN"/>
        </w:rPr>
        <w:t>  （6）异议事项已进入投诉处理、行政复议或行政诉讼程序的。</w:t>
      </w:r>
    </w:p>
    <w:p w14:paraId="1E23D7C4">
      <w:pPr>
        <w:keepNext w:val="0"/>
        <w:keepLines w:val="0"/>
        <w:pageBreakBefore w:val="0"/>
        <w:widowControl w:val="0"/>
        <w:kinsoku/>
        <w:wordWrap/>
        <w:overflowPunct/>
        <w:topLinePunct w:val="0"/>
        <w:autoSpaceDE/>
        <w:autoSpaceDN/>
        <w:bidi w:val="0"/>
        <w:adjustRightInd/>
        <w:snapToGrid/>
        <w:spacing w:line="520" w:lineRule="exact"/>
        <w:ind w:left="0" w:leftChars="0" w:right="-386" w:rightChars="-184" w:firstLine="422" w:firstLineChars="200"/>
        <w:jc w:val="lef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3</w:t>
      </w:r>
      <w:r>
        <w:rPr>
          <w:rFonts w:hint="eastAsia" w:ascii="宋体" w:hAnsi="宋体" w:eastAsia="宋体" w:cs="宋体"/>
          <w:b/>
          <w:color w:val="auto"/>
          <w:sz w:val="21"/>
          <w:szCs w:val="21"/>
          <w:highlight w:val="none"/>
          <w:lang w:val="en-US" w:eastAsia="zh-CN"/>
        </w:rPr>
        <w:t>9</w:t>
      </w:r>
      <w:r>
        <w:rPr>
          <w:rFonts w:hint="eastAsia" w:ascii="宋体" w:hAnsi="宋体" w:eastAsia="宋体" w:cs="宋体"/>
          <w:b/>
          <w:color w:val="auto"/>
          <w:sz w:val="21"/>
          <w:szCs w:val="21"/>
          <w:highlight w:val="none"/>
        </w:rPr>
        <w:t>. 投诉</w:t>
      </w:r>
    </w:p>
    <w:p w14:paraId="0840BB82">
      <w:pPr>
        <w:keepNext w:val="0"/>
        <w:keepLines w:val="0"/>
        <w:pageBreakBefore w:val="0"/>
        <w:widowControl w:val="0"/>
        <w:kinsoku/>
        <w:wordWrap/>
        <w:overflowPunct/>
        <w:topLinePunct w:val="0"/>
        <w:autoSpaceDE/>
        <w:autoSpaceDN/>
        <w:bidi w:val="0"/>
        <w:adjustRightInd/>
        <w:snapToGrid/>
        <w:spacing w:line="520" w:lineRule="exact"/>
        <w:ind w:left="0" w:leftChars="0" w:right="-386" w:rightChars="-184" w:firstLine="420" w:firstLineChars="200"/>
        <w:jc w:val="left"/>
        <w:textAlignment w:val="auto"/>
        <w:rPr>
          <w:rFonts w:hint="eastAsia" w:ascii="宋体" w:hAnsi="宋体" w:eastAsia="宋体" w:cs="宋体"/>
          <w:color w:val="auto"/>
          <w:kern w:val="10"/>
          <w:sz w:val="21"/>
          <w:szCs w:val="21"/>
          <w:highlight w:val="none"/>
          <w:lang w:eastAsia="zh-CN"/>
        </w:rPr>
      </w:pPr>
      <w:r>
        <w:rPr>
          <w:rFonts w:hint="eastAsia" w:ascii="宋体" w:hAnsi="宋体" w:eastAsia="宋体" w:cs="宋体"/>
          <w:color w:val="auto"/>
          <w:kern w:val="10"/>
          <w:sz w:val="21"/>
          <w:szCs w:val="21"/>
          <w:highlight w:val="none"/>
          <w:lang w:eastAsia="zh-CN"/>
        </w:rPr>
        <w:t>3</w:t>
      </w:r>
      <w:r>
        <w:rPr>
          <w:rFonts w:hint="eastAsia" w:ascii="宋体" w:hAnsi="宋体" w:eastAsia="宋体" w:cs="宋体"/>
          <w:color w:val="auto"/>
          <w:kern w:val="10"/>
          <w:sz w:val="21"/>
          <w:szCs w:val="21"/>
          <w:highlight w:val="none"/>
          <w:lang w:val="en-US" w:eastAsia="zh-CN"/>
        </w:rPr>
        <w:t>9</w:t>
      </w:r>
      <w:r>
        <w:rPr>
          <w:rFonts w:hint="eastAsia" w:ascii="宋体" w:hAnsi="宋体" w:eastAsia="宋体" w:cs="宋体"/>
          <w:color w:val="auto"/>
          <w:kern w:val="10"/>
          <w:sz w:val="21"/>
          <w:szCs w:val="21"/>
          <w:highlight w:val="none"/>
          <w:lang w:eastAsia="zh-CN"/>
        </w:rPr>
        <w:t>.1投标人和其他利害关系人认为本次招标活动违反法律、法规和规章规定的，有权向有关行政监督部门投诉。投诉应当有明确的请求和必要的证明材料。</w:t>
      </w:r>
    </w:p>
    <w:p w14:paraId="2C0D2E90">
      <w:pPr>
        <w:keepNext w:val="0"/>
        <w:keepLines w:val="0"/>
        <w:pageBreakBefore w:val="0"/>
        <w:widowControl w:val="0"/>
        <w:kinsoku/>
        <w:wordWrap/>
        <w:overflowPunct/>
        <w:topLinePunct w:val="0"/>
        <w:autoSpaceDE/>
        <w:autoSpaceDN/>
        <w:bidi w:val="0"/>
        <w:adjustRightInd/>
        <w:snapToGrid/>
        <w:spacing w:line="520" w:lineRule="exact"/>
        <w:ind w:left="0" w:leftChars="0" w:right="-386" w:rightChars="-184" w:firstLine="420" w:firstLineChars="200"/>
        <w:jc w:val="left"/>
        <w:textAlignment w:val="auto"/>
        <w:rPr>
          <w:rFonts w:hint="eastAsia" w:ascii="宋体" w:hAnsi="宋体" w:eastAsia="宋体" w:cs="宋体"/>
          <w:color w:val="auto"/>
          <w:kern w:val="10"/>
          <w:sz w:val="21"/>
          <w:szCs w:val="21"/>
          <w:highlight w:val="none"/>
          <w:lang w:eastAsia="zh-CN"/>
        </w:rPr>
      </w:pPr>
      <w:r>
        <w:rPr>
          <w:rFonts w:hint="eastAsia" w:ascii="宋体" w:hAnsi="宋体" w:eastAsia="宋体" w:cs="宋体"/>
          <w:color w:val="auto"/>
          <w:kern w:val="10"/>
          <w:sz w:val="21"/>
          <w:szCs w:val="21"/>
          <w:highlight w:val="none"/>
          <w:lang w:val="en-US" w:eastAsia="zh-CN"/>
        </w:rPr>
        <w:t>39.2</w:t>
      </w:r>
      <w:r>
        <w:rPr>
          <w:rFonts w:hint="eastAsia" w:ascii="宋体" w:hAnsi="宋体" w:eastAsia="宋体" w:cs="宋体"/>
          <w:color w:val="auto"/>
          <w:kern w:val="10"/>
          <w:sz w:val="21"/>
          <w:szCs w:val="21"/>
          <w:highlight w:val="none"/>
          <w:lang w:eastAsia="zh-CN"/>
        </w:rPr>
        <w:t>投标人和其他利害关系人对评标结果等事项投诉的，应当在开标期间或中标</w:t>
      </w:r>
      <w:r>
        <w:rPr>
          <w:rFonts w:hint="eastAsia" w:ascii="宋体" w:hAnsi="宋体" w:eastAsia="宋体" w:cs="宋体"/>
          <w:color w:val="auto"/>
          <w:kern w:val="10"/>
          <w:sz w:val="21"/>
          <w:szCs w:val="21"/>
          <w:highlight w:val="none"/>
          <w:lang w:val="en-US" w:eastAsia="zh-CN"/>
        </w:rPr>
        <w:t>结果</w:t>
      </w:r>
      <w:r>
        <w:rPr>
          <w:rFonts w:hint="eastAsia" w:ascii="宋体" w:hAnsi="宋体" w:eastAsia="宋体" w:cs="宋体"/>
          <w:color w:val="auto"/>
          <w:kern w:val="10"/>
          <w:sz w:val="21"/>
          <w:szCs w:val="21"/>
          <w:highlight w:val="none"/>
          <w:lang w:eastAsia="zh-CN"/>
        </w:rPr>
        <w:t>公示期间，先向招标人提出异议。</w:t>
      </w:r>
    </w:p>
    <w:p w14:paraId="5E6C7738">
      <w:pPr>
        <w:spacing w:line="440" w:lineRule="exact"/>
        <w:ind w:firstLine="450" w:firstLineChars="150"/>
        <w:jc w:val="left"/>
        <w:rPr>
          <w:rFonts w:hint="eastAsia" w:ascii="宋体" w:hAnsi="宋体" w:cs="宋体"/>
          <w:color w:val="auto"/>
          <w:sz w:val="30"/>
          <w:szCs w:val="30"/>
          <w:highlight w:val="none"/>
        </w:rPr>
      </w:pPr>
    </w:p>
    <w:p w14:paraId="055E078D">
      <w:pPr>
        <w:spacing w:before="156" w:beforeLines="50" w:after="156" w:afterLines="50"/>
        <w:jc w:val="center"/>
        <w:outlineLvl w:val="0"/>
        <w:rPr>
          <w:rFonts w:hint="eastAsia" w:ascii="宋体"/>
          <w:b/>
          <w:color w:val="auto"/>
          <w:sz w:val="32"/>
          <w:szCs w:val="32"/>
          <w:highlight w:val="none"/>
        </w:rPr>
      </w:pPr>
      <w:bookmarkStart w:id="45" w:name="_Toc58430316"/>
      <w:r>
        <w:rPr>
          <w:rFonts w:hint="eastAsia" w:ascii="宋体"/>
          <w:b/>
          <w:color w:val="auto"/>
          <w:sz w:val="32"/>
          <w:szCs w:val="32"/>
          <w:highlight w:val="none"/>
        </w:rPr>
        <w:br w:type="page"/>
      </w:r>
      <w:r>
        <w:rPr>
          <w:rFonts w:hint="eastAsia" w:ascii="宋体"/>
          <w:b/>
          <w:color w:val="auto"/>
          <w:sz w:val="32"/>
          <w:szCs w:val="32"/>
          <w:highlight w:val="none"/>
        </w:rPr>
        <w:t>第三章 评标办法（综合评分法）</w:t>
      </w:r>
      <w:bookmarkEnd w:id="45"/>
    </w:p>
    <w:p w14:paraId="2A28B3A9">
      <w:pPr>
        <w:spacing w:before="156" w:beforeLines="50" w:after="156" w:afterLines="50" w:line="440" w:lineRule="exact"/>
        <w:jc w:val="center"/>
        <w:outlineLvl w:val="1"/>
        <w:rPr>
          <w:rFonts w:hint="eastAsia" w:ascii="宋体"/>
          <w:b/>
          <w:color w:val="auto"/>
          <w:sz w:val="28"/>
          <w:szCs w:val="28"/>
          <w:highlight w:val="none"/>
        </w:rPr>
      </w:pPr>
      <w:bookmarkStart w:id="46" w:name="_Toc362983801"/>
      <w:bookmarkStart w:id="47" w:name="_Toc58430317"/>
      <w:bookmarkStart w:id="48" w:name="_Toc449028877"/>
      <w:bookmarkStart w:id="49" w:name="_Toc267320058"/>
      <w:bookmarkStart w:id="50" w:name="_Toc363135205"/>
      <w:r>
        <w:rPr>
          <w:rFonts w:hint="eastAsia" w:ascii="宋体"/>
          <w:b/>
          <w:color w:val="auto"/>
          <w:sz w:val="28"/>
          <w:szCs w:val="28"/>
          <w:highlight w:val="none"/>
        </w:rPr>
        <w:t>一、总则</w:t>
      </w:r>
      <w:bookmarkEnd w:id="46"/>
      <w:bookmarkEnd w:id="47"/>
      <w:bookmarkEnd w:id="48"/>
    </w:p>
    <w:p w14:paraId="0E997BD9">
      <w:pPr>
        <w:spacing w:line="440" w:lineRule="exact"/>
        <w:ind w:firstLine="316" w:firstLineChars="150"/>
        <w:jc w:val="left"/>
        <w:rPr>
          <w:rFonts w:hint="eastAsia" w:ascii="宋体"/>
          <w:b/>
          <w:color w:val="auto"/>
          <w:szCs w:val="21"/>
          <w:highlight w:val="none"/>
        </w:rPr>
      </w:pPr>
      <w:r>
        <w:rPr>
          <w:rFonts w:hint="eastAsia" w:ascii="宋体"/>
          <w:b/>
          <w:color w:val="auto"/>
          <w:szCs w:val="21"/>
          <w:highlight w:val="none"/>
        </w:rPr>
        <w:t xml:space="preserve"> 1. 本次评标采用综合评分法</w:t>
      </w:r>
    </w:p>
    <w:p w14:paraId="481A9577">
      <w:pPr>
        <w:spacing w:line="440" w:lineRule="exact"/>
        <w:ind w:firstLine="420" w:firstLineChars="200"/>
        <w:jc w:val="left"/>
        <w:rPr>
          <w:rFonts w:hint="eastAsia" w:ascii="宋体" w:hAnsi="宋体"/>
          <w:color w:val="auto"/>
          <w:szCs w:val="21"/>
          <w:highlight w:val="none"/>
        </w:rPr>
      </w:pPr>
      <w:r>
        <w:rPr>
          <w:rFonts w:hint="eastAsia" w:ascii="宋体"/>
          <w:color w:val="auto"/>
          <w:szCs w:val="21"/>
          <w:highlight w:val="none"/>
        </w:rPr>
        <w:t>1.1综合评分法是指投标文件满足招标文件全部实质性要求且按照评审因素的量化指标评审总得分从高到低的供应商为中标候选人的评标方法。</w:t>
      </w:r>
    </w:p>
    <w:p w14:paraId="3AF41CF3">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 1.2综合评分法一般适用于较为复杂、评价指标难以量化且价格为非主要因素的非标准定制商品和非通用服务项目的项目评审。</w:t>
      </w:r>
    </w:p>
    <w:p w14:paraId="09D50F5A">
      <w:pPr>
        <w:spacing w:line="440" w:lineRule="exact"/>
        <w:ind w:firstLine="422" w:firstLineChars="200"/>
        <w:rPr>
          <w:rFonts w:hint="eastAsia" w:ascii="宋体"/>
          <w:b/>
          <w:color w:val="auto"/>
          <w:szCs w:val="21"/>
          <w:highlight w:val="none"/>
        </w:rPr>
      </w:pPr>
      <w:r>
        <w:rPr>
          <w:rFonts w:hint="eastAsia" w:ascii="宋体"/>
          <w:b/>
          <w:color w:val="auto"/>
          <w:szCs w:val="21"/>
          <w:highlight w:val="none"/>
        </w:rPr>
        <w:t>2．评标程序</w:t>
      </w:r>
    </w:p>
    <w:p w14:paraId="6B790AC8">
      <w:pPr>
        <w:spacing w:line="440" w:lineRule="exact"/>
        <w:ind w:firstLine="420" w:firstLineChars="200"/>
        <w:rPr>
          <w:rFonts w:hint="eastAsia" w:ascii="宋体"/>
          <w:color w:val="auto"/>
          <w:szCs w:val="21"/>
          <w:highlight w:val="none"/>
        </w:rPr>
      </w:pPr>
      <w:r>
        <w:rPr>
          <w:rFonts w:hint="eastAsia" w:ascii="宋体"/>
          <w:color w:val="auto"/>
          <w:szCs w:val="21"/>
          <w:highlight w:val="none"/>
        </w:rPr>
        <w:t>2.1投标文件的初审</w:t>
      </w:r>
    </w:p>
    <w:p w14:paraId="5A7B58CD">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2.1.1资格性检查。依据法律法规和招标文件的规定，对投标文件中的资格证明等进行审查，以确定投标人是否具备投标资格。 </w:t>
      </w:r>
    </w:p>
    <w:p w14:paraId="67811858">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2.1.2符合性检查。依据招标文件的规定，从投标文件的有效性、完整性和对招标文件的响应程度进行审查，以确定投标人是否对招标文件的实质性要求作出响应。</w:t>
      </w:r>
    </w:p>
    <w:p w14:paraId="7EE01CFA">
      <w:pPr>
        <w:spacing w:line="440" w:lineRule="exact"/>
        <w:ind w:firstLine="420" w:firstLineChars="200"/>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2</w:t>
      </w:r>
      <w:r>
        <w:rPr>
          <w:rFonts w:hint="eastAsia" w:ascii="宋体"/>
          <w:color w:val="auto"/>
          <w:szCs w:val="21"/>
          <w:highlight w:val="none"/>
        </w:rPr>
        <w:t>比较与评价</w:t>
      </w:r>
    </w:p>
    <w:p w14:paraId="0EF130BA">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2</w:t>
      </w:r>
      <w:r>
        <w:rPr>
          <w:rFonts w:hint="eastAsia" w:ascii="宋体"/>
          <w:color w:val="auto"/>
          <w:szCs w:val="21"/>
          <w:highlight w:val="none"/>
        </w:rPr>
        <w:t>.1按招标文件中规定的评标方法和标准，对资格性检查和符合性检查合格的投标文件进行资信、商务和技术评估，综合比较与评价。</w:t>
      </w:r>
    </w:p>
    <w:p w14:paraId="0C6A5836">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3</w:t>
      </w:r>
      <w:r>
        <w:rPr>
          <w:rFonts w:hint="eastAsia" w:ascii="宋体"/>
          <w:color w:val="auto"/>
          <w:szCs w:val="21"/>
          <w:highlight w:val="none"/>
        </w:rPr>
        <w:t>推荐中标候选人名单</w:t>
      </w:r>
    </w:p>
    <w:p w14:paraId="3669D7D1">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3</w:t>
      </w:r>
      <w:r>
        <w:rPr>
          <w:rFonts w:hint="eastAsia" w:ascii="宋体"/>
          <w:color w:val="auto"/>
          <w:szCs w:val="21"/>
          <w:highlight w:val="none"/>
        </w:rPr>
        <w:t>.1中标候选人数量应当根据采购需要确定，但必须按顺序排列中标候选人。</w:t>
      </w:r>
    </w:p>
    <w:p w14:paraId="05973913">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4</w:t>
      </w:r>
      <w:r>
        <w:rPr>
          <w:rFonts w:hint="eastAsia" w:ascii="宋体"/>
          <w:color w:val="auto"/>
          <w:szCs w:val="21"/>
          <w:highlight w:val="none"/>
        </w:rPr>
        <w:t>在投标文件的审查、澄清、评价和比较以及授予合同过程中，投标人对</w:t>
      </w:r>
      <w:r>
        <w:rPr>
          <w:rFonts w:hint="eastAsia" w:ascii="宋体"/>
          <w:color w:val="auto"/>
          <w:szCs w:val="21"/>
          <w:highlight w:val="none"/>
          <w:lang w:eastAsia="zh-CN"/>
        </w:rPr>
        <w:t>招标人</w:t>
      </w:r>
      <w:r>
        <w:rPr>
          <w:rFonts w:hint="eastAsia" w:ascii="宋体"/>
          <w:color w:val="auto"/>
          <w:szCs w:val="21"/>
          <w:highlight w:val="none"/>
        </w:rPr>
        <w:t>和评标委员会成员施加影响的任何行为，都将导致取消其中标资格。</w:t>
      </w:r>
    </w:p>
    <w:p w14:paraId="6BD34754">
      <w:pPr>
        <w:spacing w:before="156" w:beforeLines="50" w:after="156" w:afterLines="50" w:line="360" w:lineRule="auto"/>
        <w:outlineLvl w:val="1"/>
        <w:rPr>
          <w:rFonts w:ascii="宋体"/>
          <w:b/>
          <w:color w:val="auto"/>
          <w:sz w:val="28"/>
          <w:szCs w:val="28"/>
          <w:highlight w:val="none"/>
        </w:rPr>
        <w:sectPr>
          <w:footerReference r:id="rId8" w:type="default"/>
          <w:pgSz w:w="11906" w:h="16838"/>
          <w:pgMar w:top="1440" w:right="1800" w:bottom="1440" w:left="1800" w:header="851" w:footer="992" w:gutter="0"/>
          <w:pgNumType w:fmt="numberInDash" w:start="1"/>
          <w:cols w:space="720" w:num="1"/>
          <w:docGrid w:type="lines" w:linePitch="312" w:charSpace="0"/>
        </w:sectPr>
      </w:pPr>
      <w:bookmarkStart w:id="51" w:name="_Toc362983802"/>
    </w:p>
    <w:p w14:paraId="3B1B8784">
      <w:pPr>
        <w:jc w:val="center"/>
        <w:outlineLvl w:val="1"/>
        <w:rPr>
          <w:rFonts w:hint="eastAsia" w:ascii="宋体"/>
          <w:b/>
          <w:color w:val="auto"/>
          <w:sz w:val="28"/>
          <w:szCs w:val="28"/>
          <w:highlight w:val="none"/>
        </w:rPr>
      </w:pPr>
      <w:bookmarkStart w:id="52" w:name="_Toc449028878"/>
      <w:bookmarkStart w:id="53" w:name="_Toc58430318"/>
      <w:r>
        <w:rPr>
          <w:rFonts w:hint="eastAsia" w:ascii="宋体"/>
          <w:b/>
          <w:color w:val="auto"/>
          <w:sz w:val="28"/>
          <w:szCs w:val="28"/>
          <w:highlight w:val="none"/>
        </w:rPr>
        <w:t>二、投标文件初审</w:t>
      </w:r>
      <w:bookmarkEnd w:id="51"/>
      <w:bookmarkEnd w:id="52"/>
      <w:bookmarkEnd w:id="53"/>
    </w:p>
    <w:p w14:paraId="754427F2">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3.资格性审查:</w:t>
      </w:r>
    </w:p>
    <w:p w14:paraId="2866E872">
      <w:pPr>
        <w:spacing w:line="440" w:lineRule="exact"/>
        <w:ind w:firstLine="308" w:firstLineChars="147"/>
        <w:rPr>
          <w:rFonts w:hint="eastAsia" w:ascii="宋体" w:hAnsi="宋体" w:cs="宋体"/>
          <w:color w:val="auto"/>
          <w:szCs w:val="21"/>
          <w:highlight w:val="none"/>
        </w:rPr>
      </w:pPr>
      <w:r>
        <w:rPr>
          <w:rFonts w:hint="eastAsia" w:ascii="宋体" w:hAnsi="宋体" w:cs="宋体"/>
          <w:color w:val="auto"/>
          <w:szCs w:val="21"/>
          <w:highlight w:val="none"/>
        </w:rPr>
        <w:t>3.1评审细则</w:t>
      </w:r>
    </w:p>
    <w:tbl>
      <w:tblPr>
        <w:tblStyle w:val="37"/>
        <w:tblW w:w="9930" w:type="dxa"/>
        <w:tblInd w:w="-4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275"/>
        <w:gridCol w:w="3368"/>
        <w:gridCol w:w="4492"/>
      </w:tblGrid>
      <w:tr w14:paraId="6CE09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795" w:type="dxa"/>
            <w:noWrap w:val="0"/>
            <w:vAlign w:val="center"/>
          </w:tcPr>
          <w:p w14:paraId="324FEA13">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643" w:type="dxa"/>
            <w:gridSpan w:val="2"/>
            <w:noWrap w:val="0"/>
            <w:vAlign w:val="center"/>
          </w:tcPr>
          <w:p w14:paraId="102A5DDD">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评审因素</w:t>
            </w:r>
          </w:p>
        </w:tc>
        <w:tc>
          <w:tcPr>
            <w:tcW w:w="4492" w:type="dxa"/>
            <w:noWrap w:val="0"/>
            <w:vAlign w:val="center"/>
          </w:tcPr>
          <w:p w14:paraId="4E4C40E7">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评审标准</w:t>
            </w:r>
          </w:p>
        </w:tc>
      </w:tr>
      <w:tr w14:paraId="4B0ED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795" w:type="dxa"/>
            <w:noWrap w:val="0"/>
            <w:vAlign w:val="center"/>
          </w:tcPr>
          <w:p w14:paraId="7666E34A">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75" w:type="dxa"/>
            <w:noWrap w:val="0"/>
            <w:vAlign w:val="center"/>
          </w:tcPr>
          <w:p w14:paraId="0543A6E5">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重要要求</w:t>
            </w:r>
          </w:p>
        </w:tc>
        <w:tc>
          <w:tcPr>
            <w:tcW w:w="3368" w:type="dxa"/>
            <w:noWrap w:val="0"/>
            <w:vAlign w:val="center"/>
          </w:tcPr>
          <w:p w14:paraId="1E0B1EE6">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（1）法定代表人身份证明和本人有效身份证(或法定代表人授权委托书和委托代理人有效身份证)</w:t>
            </w:r>
          </w:p>
        </w:tc>
        <w:tc>
          <w:tcPr>
            <w:tcW w:w="4492" w:type="dxa"/>
            <w:noWrap w:val="0"/>
            <w:vAlign w:val="center"/>
          </w:tcPr>
          <w:p w14:paraId="0D05CB9A">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检验</w:t>
            </w:r>
            <w:r>
              <w:rPr>
                <w:rFonts w:hint="eastAsia" w:ascii="宋体" w:hAnsi="宋体" w:cs="宋体"/>
                <w:color w:val="auto"/>
                <w:szCs w:val="21"/>
                <w:highlight w:val="none"/>
                <w:lang w:val="en-US" w:eastAsia="zh-CN"/>
              </w:rPr>
              <w:t>投标文件</w:t>
            </w:r>
            <w:r>
              <w:rPr>
                <w:rFonts w:hint="eastAsia" w:ascii="宋体" w:hAnsi="宋体" w:cs="宋体"/>
                <w:color w:val="auto"/>
                <w:szCs w:val="21"/>
                <w:highlight w:val="none"/>
              </w:rPr>
              <w:t>。</w:t>
            </w:r>
          </w:p>
        </w:tc>
      </w:tr>
      <w:tr w14:paraId="07954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95" w:type="dxa"/>
            <w:vMerge w:val="restart"/>
            <w:noWrap w:val="0"/>
            <w:vAlign w:val="center"/>
          </w:tcPr>
          <w:p w14:paraId="0F361FFF">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75" w:type="dxa"/>
            <w:vMerge w:val="restart"/>
            <w:noWrap w:val="0"/>
            <w:vAlign w:val="center"/>
          </w:tcPr>
          <w:p w14:paraId="23EC5895">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投标人应符合的基本资格条件</w:t>
            </w:r>
          </w:p>
        </w:tc>
        <w:tc>
          <w:tcPr>
            <w:tcW w:w="3368" w:type="dxa"/>
            <w:noWrap w:val="0"/>
            <w:vAlign w:val="center"/>
          </w:tcPr>
          <w:p w14:paraId="0FF42426">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（2）具有独立承担民事责任的能力</w:t>
            </w:r>
          </w:p>
        </w:tc>
        <w:tc>
          <w:tcPr>
            <w:tcW w:w="4492" w:type="dxa"/>
            <w:noWrap w:val="0"/>
            <w:vAlign w:val="center"/>
          </w:tcPr>
          <w:p w14:paraId="33642361">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14:paraId="6CA90D47">
            <w:pPr>
              <w:spacing w:line="440" w:lineRule="exact"/>
              <w:rPr>
                <w:rFonts w:hint="default" w:ascii="宋体" w:hAnsi="宋体" w:eastAsia="宋体" w:cs="宋体"/>
                <w:color w:val="auto"/>
                <w:szCs w:val="21"/>
                <w:highlight w:val="none"/>
                <w:lang w:val="en-US" w:eastAsia="zh-CN"/>
              </w:rPr>
            </w:pPr>
            <w:r>
              <w:rPr>
                <w:rFonts w:hint="eastAsia" w:ascii="宋体"/>
                <w:color w:val="auto"/>
                <w:szCs w:val="21"/>
                <w:highlight w:val="none"/>
                <w:lang w:val="en-US" w:eastAsia="zh-CN"/>
              </w:rPr>
              <w:t>有效的营业执照</w:t>
            </w:r>
          </w:p>
        </w:tc>
      </w:tr>
      <w:tr w14:paraId="34413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95" w:type="dxa"/>
            <w:vMerge w:val="continue"/>
            <w:noWrap w:val="0"/>
            <w:vAlign w:val="center"/>
          </w:tcPr>
          <w:p w14:paraId="28DF744C">
            <w:pPr>
              <w:spacing w:line="440" w:lineRule="exact"/>
              <w:jc w:val="center"/>
              <w:rPr>
                <w:rFonts w:hint="eastAsia" w:ascii="宋体" w:hAnsi="宋体" w:cs="宋体"/>
                <w:color w:val="auto"/>
                <w:szCs w:val="21"/>
                <w:highlight w:val="none"/>
              </w:rPr>
            </w:pPr>
          </w:p>
        </w:tc>
        <w:tc>
          <w:tcPr>
            <w:tcW w:w="1275" w:type="dxa"/>
            <w:vMerge w:val="continue"/>
            <w:noWrap w:val="0"/>
            <w:vAlign w:val="center"/>
          </w:tcPr>
          <w:p w14:paraId="66924491">
            <w:pPr>
              <w:spacing w:line="440" w:lineRule="exact"/>
              <w:rPr>
                <w:rFonts w:hint="eastAsia" w:ascii="宋体" w:hAnsi="宋体" w:cs="宋体"/>
                <w:color w:val="auto"/>
                <w:szCs w:val="21"/>
                <w:highlight w:val="none"/>
              </w:rPr>
            </w:pPr>
          </w:p>
        </w:tc>
        <w:tc>
          <w:tcPr>
            <w:tcW w:w="3368" w:type="dxa"/>
            <w:noWrap w:val="0"/>
            <w:vAlign w:val="center"/>
          </w:tcPr>
          <w:p w14:paraId="0B800E3E">
            <w:pPr>
              <w:spacing w:line="440" w:lineRule="exac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3）具有财政部门颁发的会计师事务所执业证书</w:t>
            </w:r>
          </w:p>
        </w:tc>
        <w:tc>
          <w:tcPr>
            <w:tcW w:w="4492" w:type="dxa"/>
            <w:noWrap w:val="0"/>
            <w:vAlign w:val="center"/>
          </w:tcPr>
          <w:p w14:paraId="348AF15F">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14:paraId="35F1EE98">
            <w:pPr>
              <w:spacing w:line="440" w:lineRule="exact"/>
              <w:rPr>
                <w:rFonts w:hint="default" w:ascii="宋体" w:eastAsia="宋体"/>
                <w:color w:val="auto"/>
                <w:szCs w:val="21"/>
                <w:highlight w:val="none"/>
                <w:lang w:val="en-US" w:eastAsia="zh-CN"/>
              </w:rPr>
            </w:pPr>
            <w:r>
              <w:rPr>
                <w:rFonts w:hint="eastAsia" w:ascii="宋体"/>
                <w:color w:val="auto"/>
                <w:szCs w:val="21"/>
                <w:highlight w:val="none"/>
                <w:lang w:val="en-US" w:eastAsia="zh-CN"/>
              </w:rPr>
              <w:t>有效的资质证书</w:t>
            </w:r>
          </w:p>
        </w:tc>
      </w:tr>
      <w:tr w14:paraId="1B4C9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95" w:type="dxa"/>
            <w:vMerge w:val="continue"/>
            <w:noWrap w:val="0"/>
            <w:vAlign w:val="center"/>
          </w:tcPr>
          <w:p w14:paraId="631F6784">
            <w:pPr>
              <w:spacing w:line="440" w:lineRule="exact"/>
              <w:jc w:val="center"/>
              <w:rPr>
                <w:rFonts w:hint="eastAsia" w:ascii="宋体" w:hAnsi="宋体" w:cs="宋体"/>
                <w:color w:val="auto"/>
                <w:szCs w:val="21"/>
                <w:highlight w:val="none"/>
              </w:rPr>
            </w:pPr>
          </w:p>
        </w:tc>
        <w:tc>
          <w:tcPr>
            <w:tcW w:w="1275" w:type="dxa"/>
            <w:vMerge w:val="continue"/>
            <w:noWrap w:val="0"/>
            <w:vAlign w:val="center"/>
          </w:tcPr>
          <w:p w14:paraId="169B3EE0">
            <w:pPr>
              <w:spacing w:line="440" w:lineRule="exact"/>
              <w:rPr>
                <w:rFonts w:hint="eastAsia" w:ascii="宋体" w:hAnsi="宋体" w:cs="宋体"/>
                <w:color w:val="auto"/>
                <w:szCs w:val="21"/>
                <w:highlight w:val="none"/>
              </w:rPr>
            </w:pPr>
          </w:p>
        </w:tc>
        <w:tc>
          <w:tcPr>
            <w:tcW w:w="3368" w:type="dxa"/>
            <w:noWrap w:val="0"/>
            <w:vAlign w:val="center"/>
          </w:tcPr>
          <w:p w14:paraId="2DD84AD6">
            <w:pPr>
              <w:spacing w:line="440" w:lineRule="exact"/>
              <w:rPr>
                <w:rFonts w:hint="default" w:ascii="宋体" w:hAnsi="宋体" w:cs="宋体"/>
                <w:color w:val="auto"/>
                <w:szCs w:val="21"/>
                <w:highlight w:val="none"/>
                <w:lang w:val="en-US" w:eastAsia="zh-CN"/>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4）项目负责人须具有全国注册会计师资格证书。</w:t>
            </w:r>
          </w:p>
        </w:tc>
        <w:tc>
          <w:tcPr>
            <w:tcW w:w="4492" w:type="dxa"/>
            <w:noWrap w:val="0"/>
            <w:vAlign w:val="center"/>
          </w:tcPr>
          <w:p w14:paraId="3B1C5789">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14:paraId="314B382C">
            <w:pPr>
              <w:spacing w:line="440" w:lineRule="exact"/>
              <w:rPr>
                <w:rFonts w:hint="default" w:ascii="宋体"/>
                <w:color w:val="auto"/>
                <w:szCs w:val="21"/>
                <w:highlight w:val="none"/>
                <w:lang w:val="en-US" w:eastAsia="zh-CN"/>
              </w:rPr>
            </w:pPr>
            <w:r>
              <w:rPr>
                <w:rFonts w:hint="eastAsia" w:ascii="宋体"/>
                <w:color w:val="auto"/>
                <w:szCs w:val="21"/>
                <w:highlight w:val="none"/>
                <w:lang w:val="en-US" w:eastAsia="zh-CN"/>
              </w:rPr>
              <w:t>人员有效身份证及注册证书</w:t>
            </w:r>
          </w:p>
        </w:tc>
      </w:tr>
      <w:tr w14:paraId="05482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95" w:type="dxa"/>
            <w:vMerge w:val="continue"/>
            <w:noWrap w:val="0"/>
            <w:vAlign w:val="center"/>
          </w:tcPr>
          <w:p w14:paraId="0773DC39">
            <w:pPr>
              <w:spacing w:line="440" w:lineRule="exact"/>
              <w:jc w:val="center"/>
              <w:rPr>
                <w:rFonts w:hint="eastAsia" w:ascii="宋体" w:hAnsi="宋体" w:cs="宋体"/>
                <w:color w:val="auto"/>
                <w:szCs w:val="21"/>
                <w:highlight w:val="none"/>
              </w:rPr>
            </w:pPr>
          </w:p>
        </w:tc>
        <w:tc>
          <w:tcPr>
            <w:tcW w:w="1275" w:type="dxa"/>
            <w:vMerge w:val="continue"/>
            <w:noWrap w:val="0"/>
            <w:vAlign w:val="center"/>
          </w:tcPr>
          <w:p w14:paraId="7C05A2AE">
            <w:pPr>
              <w:spacing w:line="440" w:lineRule="exact"/>
              <w:rPr>
                <w:rFonts w:hint="eastAsia" w:ascii="宋体" w:hAnsi="宋体" w:cs="宋体"/>
                <w:color w:val="auto"/>
                <w:szCs w:val="21"/>
                <w:highlight w:val="none"/>
              </w:rPr>
            </w:pPr>
          </w:p>
        </w:tc>
        <w:tc>
          <w:tcPr>
            <w:tcW w:w="3368" w:type="dxa"/>
            <w:noWrap w:val="0"/>
            <w:vAlign w:val="center"/>
          </w:tcPr>
          <w:p w14:paraId="2CAD6A2C">
            <w:pPr>
              <w:spacing w:line="440" w:lineRule="exact"/>
              <w:rPr>
                <w:rFonts w:hint="default" w:ascii="宋体" w:hAnsi="宋体" w:cs="宋体"/>
                <w:color w:val="auto"/>
                <w:szCs w:val="21"/>
                <w:highlight w:val="none"/>
                <w:lang w:val="en-US" w:eastAsia="zh-CN"/>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5）项目组成员</w:t>
            </w:r>
          </w:p>
        </w:tc>
        <w:tc>
          <w:tcPr>
            <w:tcW w:w="4492" w:type="dxa"/>
            <w:noWrap w:val="0"/>
            <w:vAlign w:val="center"/>
          </w:tcPr>
          <w:p w14:paraId="16D5284B">
            <w:pPr>
              <w:spacing w:line="440" w:lineRule="exact"/>
              <w:rPr>
                <w:rFonts w:hint="eastAsia" w:ascii="宋体" w:hAnsi="宋体" w:cs="宋体"/>
                <w:color w:val="auto"/>
                <w:szCs w:val="21"/>
                <w:highlight w:val="none"/>
              </w:rPr>
            </w:pPr>
            <w:r>
              <w:rPr>
                <w:rFonts w:hint="eastAsia" w:ascii="宋体" w:hAnsi="宋体" w:cs="宋体-18030"/>
                <w:b/>
                <w:bCs/>
                <w:color w:val="auto"/>
                <w:szCs w:val="21"/>
                <w:highlight w:val="none"/>
                <w:lang w:val="en-US" w:eastAsia="zh-CN"/>
              </w:rPr>
              <w:t>项</w:t>
            </w: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14:paraId="1CECF1EF">
            <w:pPr>
              <w:spacing w:line="440" w:lineRule="exact"/>
              <w:rPr>
                <w:rFonts w:hint="eastAsia" w:ascii="宋体"/>
                <w:color w:val="auto"/>
                <w:szCs w:val="21"/>
                <w:highlight w:val="none"/>
                <w:lang w:val="en-US" w:eastAsia="zh-CN"/>
              </w:rPr>
            </w:pPr>
            <w:r>
              <w:rPr>
                <w:rFonts w:hint="eastAsia" w:ascii="宋体" w:hAnsi="宋体" w:cs="宋体-18030"/>
                <w:color w:val="auto"/>
                <w:szCs w:val="21"/>
                <w:highlight w:val="none"/>
                <w:lang w:val="en-US" w:eastAsia="zh-CN"/>
              </w:rPr>
              <w:t>项目组成员名单、人员有效身份证及中级会计师（或以上）证书</w:t>
            </w:r>
          </w:p>
        </w:tc>
      </w:tr>
      <w:tr w14:paraId="79E25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795" w:type="dxa"/>
            <w:vMerge w:val="continue"/>
            <w:noWrap w:val="0"/>
            <w:vAlign w:val="center"/>
          </w:tcPr>
          <w:p w14:paraId="63F8F4B9">
            <w:pPr>
              <w:spacing w:line="440" w:lineRule="exact"/>
              <w:jc w:val="center"/>
              <w:rPr>
                <w:rFonts w:hint="eastAsia" w:ascii="宋体" w:hAnsi="宋体" w:cs="宋体"/>
                <w:color w:val="auto"/>
                <w:szCs w:val="21"/>
                <w:highlight w:val="none"/>
              </w:rPr>
            </w:pPr>
          </w:p>
        </w:tc>
        <w:tc>
          <w:tcPr>
            <w:tcW w:w="1275" w:type="dxa"/>
            <w:vMerge w:val="continue"/>
            <w:noWrap w:val="0"/>
            <w:vAlign w:val="center"/>
          </w:tcPr>
          <w:p w14:paraId="34C0231A">
            <w:pPr>
              <w:spacing w:line="440" w:lineRule="exact"/>
              <w:rPr>
                <w:rFonts w:hint="eastAsia" w:ascii="宋体" w:hAnsi="宋体" w:cs="宋体"/>
                <w:color w:val="auto"/>
                <w:szCs w:val="21"/>
                <w:highlight w:val="none"/>
              </w:rPr>
            </w:pPr>
          </w:p>
        </w:tc>
        <w:tc>
          <w:tcPr>
            <w:tcW w:w="3368" w:type="dxa"/>
            <w:noWrap w:val="0"/>
            <w:vAlign w:val="top"/>
          </w:tcPr>
          <w:p w14:paraId="05B0742A">
            <w:pPr>
              <w:spacing w:line="440" w:lineRule="exact"/>
              <w:rPr>
                <w:rFonts w:hint="eastAsia" w:ascii="宋体" w:hAnsi="宋体" w:cs="宋体"/>
                <w:b/>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）诚信投标承诺书</w:t>
            </w:r>
          </w:p>
        </w:tc>
        <w:tc>
          <w:tcPr>
            <w:tcW w:w="4492" w:type="dxa"/>
            <w:noWrap w:val="0"/>
            <w:vAlign w:val="top"/>
          </w:tcPr>
          <w:p w14:paraId="60C07E90">
            <w:pPr>
              <w:spacing w:line="440" w:lineRule="exact"/>
              <w:rPr>
                <w:rFonts w:hint="eastAsia" w:ascii="宋体" w:hAnsi="宋体" w:eastAsia="宋体" w:cs="宋体"/>
                <w:b/>
                <w:color w:val="auto"/>
                <w:szCs w:val="21"/>
                <w:highlight w:val="none"/>
                <w:lang w:eastAsia="zh-CN"/>
              </w:rPr>
            </w:pPr>
            <w:r>
              <w:rPr>
                <w:rFonts w:hint="eastAsia" w:ascii="宋体" w:hAnsi="宋体" w:cs="宋体"/>
                <w:color w:val="auto"/>
                <w:szCs w:val="21"/>
                <w:highlight w:val="none"/>
              </w:rPr>
              <w:t>格式见附件，检验</w:t>
            </w:r>
            <w:r>
              <w:rPr>
                <w:rFonts w:hint="eastAsia" w:ascii="宋体" w:hAnsi="宋体" w:cs="宋体"/>
                <w:color w:val="auto"/>
                <w:szCs w:val="21"/>
                <w:highlight w:val="none"/>
                <w:lang w:val="en-US" w:eastAsia="zh-CN"/>
              </w:rPr>
              <w:t>投标文件</w:t>
            </w:r>
          </w:p>
        </w:tc>
      </w:tr>
    </w:tbl>
    <w:p w14:paraId="7E70634A">
      <w:pPr>
        <w:spacing w:line="440" w:lineRule="exact"/>
        <w:ind w:firstLine="508" w:firstLineChars="241"/>
        <w:rPr>
          <w:rFonts w:hint="eastAsia" w:ascii="宋体" w:hAnsi="宋体" w:cs="宋体"/>
          <w:b/>
          <w:color w:val="auto"/>
          <w:szCs w:val="21"/>
          <w:highlight w:val="none"/>
        </w:rPr>
      </w:pPr>
      <w:r>
        <w:rPr>
          <w:rFonts w:hint="eastAsia" w:ascii="宋体" w:hAnsi="宋体" w:cs="宋体"/>
          <w:b/>
          <w:color w:val="auto"/>
          <w:szCs w:val="21"/>
          <w:highlight w:val="none"/>
        </w:rPr>
        <w:t>3.</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如评标专家在</w:t>
      </w:r>
      <w:r>
        <w:rPr>
          <w:rFonts w:hint="eastAsia" w:ascii="宋体" w:hAnsi="宋体" w:cs="宋体"/>
          <w:b/>
          <w:color w:val="auto"/>
          <w:szCs w:val="21"/>
          <w:highlight w:val="none"/>
          <w:lang w:val="en-US" w:eastAsia="zh-CN"/>
        </w:rPr>
        <w:t>检验</w:t>
      </w:r>
      <w:r>
        <w:rPr>
          <w:rFonts w:hint="eastAsia" w:ascii="宋体" w:hAnsi="宋体" w:cs="宋体"/>
          <w:b/>
          <w:color w:val="auto"/>
          <w:szCs w:val="21"/>
          <w:highlight w:val="none"/>
        </w:rPr>
        <w:t>投标文件过程中，如果由于投标人自身原因导致评标专家无法查看并检验投标文件中相关资料的，否决其投标。即使投标人将原件携带至现场的，同样按否决投标处理。</w:t>
      </w:r>
    </w:p>
    <w:p w14:paraId="7CB1FD14">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4.符合性审查</w:t>
      </w:r>
    </w:p>
    <w:p w14:paraId="0DBB4B95">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4．1评审细则</w:t>
      </w:r>
    </w:p>
    <w:tbl>
      <w:tblPr>
        <w:tblStyle w:val="3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204"/>
        <w:gridCol w:w="2931"/>
        <w:gridCol w:w="4173"/>
      </w:tblGrid>
      <w:tr w14:paraId="1A7CE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731" w:type="dxa"/>
            <w:noWrap w:val="0"/>
            <w:vAlign w:val="center"/>
          </w:tcPr>
          <w:p w14:paraId="454770DD">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135" w:type="dxa"/>
            <w:gridSpan w:val="2"/>
            <w:noWrap w:val="0"/>
            <w:vAlign w:val="center"/>
          </w:tcPr>
          <w:p w14:paraId="1B6A8335">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审查因素</w:t>
            </w:r>
          </w:p>
        </w:tc>
        <w:tc>
          <w:tcPr>
            <w:tcW w:w="4173" w:type="dxa"/>
            <w:noWrap w:val="0"/>
            <w:vAlign w:val="center"/>
          </w:tcPr>
          <w:p w14:paraId="4CE95F3C">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审查内容</w:t>
            </w:r>
          </w:p>
        </w:tc>
      </w:tr>
      <w:tr w14:paraId="4C0A8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trPr>
        <w:tc>
          <w:tcPr>
            <w:tcW w:w="731" w:type="dxa"/>
            <w:vMerge w:val="restart"/>
            <w:noWrap w:val="0"/>
            <w:vAlign w:val="center"/>
          </w:tcPr>
          <w:p w14:paraId="2DE9D4E6">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04" w:type="dxa"/>
            <w:vMerge w:val="restart"/>
            <w:noWrap w:val="0"/>
            <w:vAlign w:val="center"/>
          </w:tcPr>
          <w:p w14:paraId="18AEC399">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投标文件的有效性</w:t>
            </w:r>
          </w:p>
        </w:tc>
        <w:tc>
          <w:tcPr>
            <w:tcW w:w="2931" w:type="dxa"/>
            <w:noWrap w:val="0"/>
            <w:vAlign w:val="center"/>
          </w:tcPr>
          <w:p w14:paraId="1CC3A3A9">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（1）投标文件签署</w:t>
            </w:r>
          </w:p>
        </w:tc>
        <w:tc>
          <w:tcPr>
            <w:tcW w:w="4173" w:type="dxa"/>
            <w:noWrap w:val="0"/>
            <w:vAlign w:val="center"/>
          </w:tcPr>
          <w:p w14:paraId="657CC3F4">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签字、盖章符合要求。</w:t>
            </w:r>
          </w:p>
        </w:tc>
      </w:tr>
      <w:tr w14:paraId="259F5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731" w:type="dxa"/>
            <w:vMerge w:val="continue"/>
            <w:noWrap w:val="0"/>
            <w:vAlign w:val="center"/>
          </w:tcPr>
          <w:p w14:paraId="2DA2468A">
            <w:pPr>
              <w:spacing w:line="440" w:lineRule="exact"/>
              <w:rPr>
                <w:rFonts w:hint="eastAsia" w:ascii="宋体" w:hAnsi="宋体" w:cs="宋体"/>
                <w:color w:val="auto"/>
                <w:szCs w:val="21"/>
                <w:highlight w:val="none"/>
              </w:rPr>
            </w:pPr>
          </w:p>
        </w:tc>
        <w:tc>
          <w:tcPr>
            <w:tcW w:w="1204" w:type="dxa"/>
            <w:vMerge w:val="continue"/>
            <w:noWrap w:val="0"/>
            <w:vAlign w:val="center"/>
          </w:tcPr>
          <w:p w14:paraId="1C5DD657">
            <w:pPr>
              <w:spacing w:line="440" w:lineRule="exact"/>
              <w:rPr>
                <w:rFonts w:hint="eastAsia" w:ascii="宋体" w:hAnsi="宋体" w:cs="宋体"/>
                <w:color w:val="auto"/>
                <w:szCs w:val="21"/>
                <w:highlight w:val="none"/>
              </w:rPr>
            </w:pPr>
          </w:p>
        </w:tc>
        <w:tc>
          <w:tcPr>
            <w:tcW w:w="2931" w:type="dxa"/>
            <w:noWrap w:val="0"/>
            <w:vAlign w:val="center"/>
          </w:tcPr>
          <w:p w14:paraId="26A6A2CD">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（2）投标方案</w:t>
            </w:r>
          </w:p>
        </w:tc>
        <w:tc>
          <w:tcPr>
            <w:tcW w:w="4173" w:type="dxa"/>
            <w:noWrap w:val="0"/>
            <w:vAlign w:val="center"/>
          </w:tcPr>
          <w:p w14:paraId="793DA8CA">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每个分包只能有一个方案投标。</w:t>
            </w:r>
          </w:p>
        </w:tc>
      </w:tr>
      <w:tr w14:paraId="1B267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731" w:type="dxa"/>
            <w:vMerge w:val="continue"/>
            <w:noWrap w:val="0"/>
            <w:vAlign w:val="center"/>
          </w:tcPr>
          <w:p w14:paraId="221B4E1A">
            <w:pPr>
              <w:spacing w:line="440" w:lineRule="exact"/>
              <w:rPr>
                <w:rFonts w:hint="eastAsia" w:ascii="宋体" w:hAnsi="宋体" w:cs="宋体"/>
                <w:color w:val="auto"/>
                <w:szCs w:val="21"/>
                <w:highlight w:val="none"/>
              </w:rPr>
            </w:pPr>
          </w:p>
        </w:tc>
        <w:tc>
          <w:tcPr>
            <w:tcW w:w="1204" w:type="dxa"/>
            <w:vMerge w:val="continue"/>
            <w:noWrap w:val="0"/>
            <w:vAlign w:val="center"/>
          </w:tcPr>
          <w:p w14:paraId="1CC3A901">
            <w:pPr>
              <w:spacing w:line="440" w:lineRule="exact"/>
              <w:rPr>
                <w:rFonts w:hint="eastAsia" w:ascii="宋体" w:hAnsi="宋体" w:cs="宋体"/>
                <w:color w:val="auto"/>
                <w:szCs w:val="21"/>
                <w:highlight w:val="none"/>
              </w:rPr>
            </w:pPr>
          </w:p>
        </w:tc>
        <w:tc>
          <w:tcPr>
            <w:tcW w:w="2931" w:type="dxa"/>
            <w:noWrap w:val="0"/>
            <w:vAlign w:val="center"/>
          </w:tcPr>
          <w:p w14:paraId="52E88D6B">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rPr>
              <w:t>（3）报价唯一</w:t>
            </w:r>
          </w:p>
        </w:tc>
        <w:tc>
          <w:tcPr>
            <w:tcW w:w="4173" w:type="dxa"/>
            <w:noWrap w:val="0"/>
            <w:vAlign w:val="center"/>
          </w:tcPr>
          <w:p w14:paraId="2CAC34AC">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只能在限价范围内报价，</w:t>
            </w:r>
            <w:r>
              <w:rPr>
                <w:rFonts w:hint="eastAsia" w:ascii="宋体" w:hAnsi="宋体" w:cs="宋体"/>
                <w:color w:val="auto"/>
                <w:szCs w:val="21"/>
                <w:highlight w:val="none"/>
              </w:rPr>
              <w:t>只能有一个有效报价，不得提交选择性报价。</w:t>
            </w:r>
          </w:p>
        </w:tc>
      </w:tr>
      <w:tr w14:paraId="0457C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731" w:type="dxa"/>
            <w:vMerge w:val="continue"/>
            <w:noWrap w:val="0"/>
            <w:vAlign w:val="center"/>
          </w:tcPr>
          <w:p w14:paraId="2BA2BCF9">
            <w:pPr>
              <w:spacing w:line="440" w:lineRule="exact"/>
              <w:rPr>
                <w:rFonts w:hint="eastAsia" w:ascii="宋体" w:hAnsi="宋体" w:cs="宋体"/>
                <w:color w:val="auto"/>
                <w:szCs w:val="21"/>
                <w:highlight w:val="none"/>
              </w:rPr>
            </w:pPr>
          </w:p>
        </w:tc>
        <w:tc>
          <w:tcPr>
            <w:tcW w:w="1204" w:type="dxa"/>
            <w:vMerge w:val="continue"/>
            <w:noWrap w:val="0"/>
            <w:vAlign w:val="center"/>
          </w:tcPr>
          <w:p w14:paraId="63923E60">
            <w:pPr>
              <w:spacing w:line="440" w:lineRule="exact"/>
              <w:rPr>
                <w:rFonts w:hint="eastAsia" w:ascii="宋体" w:hAnsi="宋体" w:cs="宋体"/>
                <w:color w:val="auto"/>
                <w:szCs w:val="21"/>
                <w:highlight w:val="none"/>
              </w:rPr>
            </w:pPr>
          </w:p>
        </w:tc>
        <w:tc>
          <w:tcPr>
            <w:tcW w:w="2931" w:type="dxa"/>
            <w:noWrap w:val="0"/>
            <w:vAlign w:val="center"/>
          </w:tcPr>
          <w:p w14:paraId="0D7437B7">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(4) 投标文件的有效期</w:t>
            </w:r>
          </w:p>
        </w:tc>
        <w:tc>
          <w:tcPr>
            <w:tcW w:w="4173" w:type="dxa"/>
            <w:noWrap w:val="0"/>
            <w:vAlign w:val="center"/>
          </w:tcPr>
          <w:p w14:paraId="1D74473E">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完全响应。</w:t>
            </w:r>
          </w:p>
        </w:tc>
      </w:tr>
      <w:tr w14:paraId="1DFE0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trPr>
        <w:tc>
          <w:tcPr>
            <w:tcW w:w="731" w:type="dxa"/>
            <w:vMerge w:val="restart"/>
            <w:noWrap w:val="0"/>
            <w:vAlign w:val="center"/>
          </w:tcPr>
          <w:p w14:paraId="6C90E93F">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04" w:type="dxa"/>
            <w:vMerge w:val="restart"/>
            <w:noWrap w:val="0"/>
            <w:vAlign w:val="center"/>
          </w:tcPr>
          <w:p w14:paraId="4DAD5356">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投标文件的完整性</w:t>
            </w:r>
          </w:p>
        </w:tc>
        <w:tc>
          <w:tcPr>
            <w:tcW w:w="2931" w:type="dxa"/>
            <w:noWrap w:val="0"/>
            <w:vAlign w:val="center"/>
          </w:tcPr>
          <w:p w14:paraId="4A2038FB">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（5）投标文件份数</w:t>
            </w:r>
          </w:p>
        </w:tc>
        <w:tc>
          <w:tcPr>
            <w:tcW w:w="4173" w:type="dxa"/>
            <w:noWrap w:val="0"/>
            <w:vAlign w:val="center"/>
          </w:tcPr>
          <w:p w14:paraId="04E5BD28">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网上递交的电子投标文件：一份。 </w:t>
            </w:r>
          </w:p>
        </w:tc>
      </w:tr>
      <w:tr w14:paraId="1C24F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rPr>
        <w:tc>
          <w:tcPr>
            <w:tcW w:w="731" w:type="dxa"/>
            <w:vMerge w:val="continue"/>
            <w:noWrap w:val="0"/>
            <w:vAlign w:val="center"/>
          </w:tcPr>
          <w:p w14:paraId="625D51DA">
            <w:pPr>
              <w:spacing w:line="440" w:lineRule="exact"/>
              <w:rPr>
                <w:rFonts w:hint="eastAsia" w:ascii="宋体" w:hAnsi="宋体" w:cs="宋体"/>
                <w:color w:val="auto"/>
                <w:szCs w:val="21"/>
                <w:highlight w:val="none"/>
              </w:rPr>
            </w:pPr>
          </w:p>
        </w:tc>
        <w:tc>
          <w:tcPr>
            <w:tcW w:w="1204" w:type="dxa"/>
            <w:vMerge w:val="continue"/>
            <w:noWrap w:val="0"/>
            <w:vAlign w:val="center"/>
          </w:tcPr>
          <w:p w14:paraId="502F5F58">
            <w:pPr>
              <w:spacing w:line="440" w:lineRule="exact"/>
              <w:rPr>
                <w:rFonts w:hint="eastAsia" w:ascii="宋体" w:hAnsi="宋体" w:cs="宋体"/>
                <w:color w:val="auto"/>
                <w:szCs w:val="21"/>
                <w:highlight w:val="none"/>
              </w:rPr>
            </w:pPr>
          </w:p>
        </w:tc>
        <w:tc>
          <w:tcPr>
            <w:tcW w:w="2931" w:type="dxa"/>
            <w:noWrap w:val="0"/>
            <w:vAlign w:val="center"/>
          </w:tcPr>
          <w:p w14:paraId="16469419">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（6）投标文件形式内容</w:t>
            </w:r>
          </w:p>
        </w:tc>
        <w:tc>
          <w:tcPr>
            <w:tcW w:w="4173" w:type="dxa"/>
            <w:noWrap w:val="0"/>
            <w:vAlign w:val="center"/>
          </w:tcPr>
          <w:p w14:paraId="5EED5811">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投标文件内容清晰、齐全无遗漏。</w:t>
            </w:r>
          </w:p>
        </w:tc>
      </w:tr>
      <w:tr w14:paraId="3E5C5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731" w:type="dxa"/>
            <w:vMerge w:val="restart"/>
            <w:noWrap w:val="0"/>
            <w:vAlign w:val="center"/>
          </w:tcPr>
          <w:p w14:paraId="3BE85746">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3</w:t>
            </w:r>
          </w:p>
        </w:tc>
        <w:tc>
          <w:tcPr>
            <w:tcW w:w="1204" w:type="dxa"/>
            <w:vMerge w:val="restart"/>
            <w:noWrap w:val="0"/>
            <w:vAlign w:val="center"/>
          </w:tcPr>
          <w:p w14:paraId="6A56DA34">
            <w:pPr>
              <w:spacing w:line="440" w:lineRule="exact"/>
              <w:jc w:val="center"/>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投标文件的响应程度</w:t>
            </w:r>
          </w:p>
        </w:tc>
        <w:tc>
          <w:tcPr>
            <w:tcW w:w="2931" w:type="dxa"/>
            <w:noWrap w:val="0"/>
            <w:vAlign w:val="center"/>
          </w:tcPr>
          <w:p w14:paraId="3D5A91AA">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（7）采购需求响应程度</w:t>
            </w:r>
          </w:p>
        </w:tc>
        <w:tc>
          <w:tcPr>
            <w:tcW w:w="4173" w:type="dxa"/>
            <w:noWrap w:val="0"/>
            <w:vAlign w:val="center"/>
          </w:tcPr>
          <w:p w14:paraId="35D5145F">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r w14:paraId="0D93D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trPr>
        <w:tc>
          <w:tcPr>
            <w:tcW w:w="731" w:type="dxa"/>
            <w:vMerge w:val="continue"/>
            <w:noWrap w:val="0"/>
            <w:vAlign w:val="center"/>
          </w:tcPr>
          <w:p w14:paraId="5E85BDD9">
            <w:pPr>
              <w:spacing w:line="440" w:lineRule="exact"/>
              <w:rPr>
                <w:rFonts w:hint="eastAsia" w:ascii="宋体" w:hAnsi="宋体" w:cs="宋体"/>
                <w:color w:val="auto"/>
                <w:szCs w:val="21"/>
                <w:highlight w:val="none"/>
              </w:rPr>
            </w:pPr>
          </w:p>
        </w:tc>
        <w:tc>
          <w:tcPr>
            <w:tcW w:w="1204" w:type="dxa"/>
            <w:vMerge w:val="continue"/>
            <w:noWrap w:val="0"/>
            <w:vAlign w:val="center"/>
          </w:tcPr>
          <w:p w14:paraId="32AEA088">
            <w:pPr>
              <w:spacing w:line="440" w:lineRule="exact"/>
              <w:rPr>
                <w:rFonts w:hint="eastAsia" w:ascii="宋体" w:hAnsi="宋体" w:cs="宋体"/>
                <w:color w:val="auto"/>
                <w:szCs w:val="21"/>
                <w:highlight w:val="none"/>
              </w:rPr>
            </w:pPr>
          </w:p>
        </w:tc>
        <w:tc>
          <w:tcPr>
            <w:tcW w:w="2931" w:type="dxa"/>
            <w:noWrap w:val="0"/>
            <w:vAlign w:val="center"/>
          </w:tcPr>
          <w:p w14:paraId="049FBD49">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（8）商务条款响应程度（包括供货期、售后服务、技术培训等）</w:t>
            </w:r>
          </w:p>
        </w:tc>
        <w:tc>
          <w:tcPr>
            <w:tcW w:w="4173" w:type="dxa"/>
            <w:noWrap w:val="0"/>
            <w:vAlign w:val="center"/>
          </w:tcPr>
          <w:p w14:paraId="5F9B7169">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bl>
    <w:p w14:paraId="0ACD7001">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4.2资格审查及评分细则中涉及的有关证明材料及相关证书，投标文件中须按招标文件要求</w:t>
      </w:r>
      <w:r>
        <w:rPr>
          <w:rFonts w:hint="eastAsia" w:ascii="宋体" w:hAnsi="宋体" w:cs="宋体"/>
          <w:color w:val="auto"/>
          <w:szCs w:val="21"/>
          <w:highlight w:val="none"/>
          <w:lang w:val="en-US" w:eastAsia="zh-CN"/>
        </w:rPr>
        <w:t>提供</w:t>
      </w:r>
      <w:r>
        <w:rPr>
          <w:rFonts w:hint="eastAsia" w:ascii="宋体" w:hAnsi="宋体" w:cs="宋体"/>
          <w:color w:val="auto"/>
          <w:szCs w:val="21"/>
          <w:highlight w:val="none"/>
        </w:rPr>
        <w:t>。</w:t>
      </w:r>
    </w:p>
    <w:p w14:paraId="2C7A45B6">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4.3．评标委员会判定投标文件的响应性只根据投标文件本身的内容，而不寻求外部的证据，但投标有不真实不正确的内容时除外。</w:t>
      </w:r>
    </w:p>
    <w:p w14:paraId="6CAF37F1">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4.4如果投标文件实质上没有响应招标文件的要求，评标委员会将予以拒绝，投标人不得通过修正或撤销不符合要求的偏离或保留，而使其投标成为实质上响应的投标。</w:t>
      </w:r>
    </w:p>
    <w:p w14:paraId="15888CBA">
      <w:pPr>
        <w:spacing w:line="440" w:lineRule="exact"/>
        <w:ind w:firstLine="525" w:firstLineChars="250"/>
        <w:rPr>
          <w:rFonts w:hint="eastAsia" w:ascii="宋体" w:hAnsi="宋体" w:cs="宋体"/>
          <w:color w:val="auto"/>
          <w:szCs w:val="21"/>
          <w:highlight w:val="none"/>
        </w:rPr>
      </w:pPr>
      <w:r>
        <w:rPr>
          <w:rFonts w:hint="eastAsia" w:ascii="宋体" w:hAnsi="宋体" w:cs="宋体"/>
          <w:color w:val="auto"/>
          <w:szCs w:val="21"/>
          <w:highlight w:val="none"/>
        </w:rPr>
        <w:t>4.5只有通过初审的投标人才能进入下一步程序。</w:t>
      </w:r>
    </w:p>
    <w:p w14:paraId="62789233">
      <w:pPr>
        <w:jc w:val="center"/>
        <w:outlineLvl w:val="1"/>
        <w:rPr>
          <w:rFonts w:hint="eastAsia" w:ascii="宋体" w:hAnsi="Times New Roman" w:eastAsia="宋体" w:cs="Times New Roman"/>
          <w:b/>
          <w:color w:val="auto"/>
          <w:sz w:val="28"/>
          <w:szCs w:val="28"/>
          <w:highlight w:val="none"/>
        </w:rPr>
      </w:pPr>
      <w:bookmarkStart w:id="54" w:name="_Toc58430319"/>
      <w:bookmarkStart w:id="55" w:name="_Toc449028879"/>
      <w:bookmarkStart w:id="56" w:name="_Toc362983803"/>
      <w:r>
        <w:rPr>
          <w:rFonts w:hint="eastAsia" w:ascii="宋体" w:hAnsi="Times New Roman" w:eastAsia="宋体" w:cs="Times New Roman"/>
          <w:b/>
          <w:color w:val="auto"/>
          <w:sz w:val="28"/>
          <w:szCs w:val="28"/>
          <w:highlight w:val="none"/>
        </w:rPr>
        <w:t>三、投标文件的澄清和补正</w:t>
      </w:r>
      <w:bookmarkEnd w:id="54"/>
      <w:bookmarkEnd w:id="55"/>
      <w:bookmarkEnd w:id="56"/>
    </w:p>
    <w:p w14:paraId="7C60687E">
      <w:pPr>
        <w:spacing w:line="440" w:lineRule="exact"/>
        <w:ind w:firstLine="525" w:firstLineChars="250"/>
        <w:rPr>
          <w:rFonts w:hint="eastAsia" w:ascii="宋体"/>
          <w:color w:val="auto"/>
          <w:szCs w:val="21"/>
          <w:highlight w:val="none"/>
        </w:rPr>
      </w:pPr>
      <w:r>
        <w:rPr>
          <w:rFonts w:hint="eastAsia" w:ascii="宋体"/>
          <w:color w:val="auto"/>
          <w:szCs w:val="21"/>
          <w:highlight w:val="none"/>
        </w:rPr>
        <w:t>5.1评审阶段，评委可能会要求有关投标人就其投标文件中含义不明确、同类问题表述不一致或者有明显文字和计算错误的内容进行澄清。投标人必须在规定时间内进行回复，</w:t>
      </w:r>
      <w:r>
        <w:rPr>
          <w:rFonts w:hint="eastAsia" w:ascii="宋体" w:hAnsi="宋体" w:cs="宋体"/>
          <w:b/>
          <w:bCs/>
          <w:color w:val="auto"/>
          <w:szCs w:val="21"/>
          <w:highlight w:val="none"/>
          <w:lang w:bidi="ar"/>
        </w:rPr>
        <w:t>如因投标人未参加开标导致开评标过程中无法澄清、说明或补正的，视同投标人放弃该权利。</w:t>
      </w:r>
    </w:p>
    <w:p w14:paraId="2908EF67">
      <w:pPr>
        <w:spacing w:line="440" w:lineRule="exact"/>
        <w:ind w:firstLine="525" w:firstLineChars="250"/>
        <w:rPr>
          <w:rFonts w:hint="eastAsia" w:ascii="宋体"/>
          <w:color w:val="auto"/>
          <w:szCs w:val="21"/>
          <w:highlight w:val="none"/>
        </w:rPr>
      </w:pPr>
      <w:r>
        <w:rPr>
          <w:rFonts w:hint="eastAsia" w:ascii="宋体"/>
          <w:color w:val="auto"/>
          <w:szCs w:val="21"/>
          <w:highlight w:val="none"/>
        </w:rPr>
        <w:t>5.2投标人的澄清、说明或者补正应当在系统进行，但不得超出投标文件的范围或者改变投标文件的实质性内容。</w:t>
      </w:r>
    </w:p>
    <w:p w14:paraId="3D338C6C">
      <w:pPr>
        <w:spacing w:line="440" w:lineRule="exact"/>
        <w:ind w:firstLine="525" w:firstLineChars="250"/>
        <w:rPr>
          <w:rFonts w:hint="eastAsia" w:ascii="宋体"/>
          <w:color w:val="auto"/>
          <w:szCs w:val="21"/>
          <w:highlight w:val="none"/>
        </w:rPr>
      </w:pPr>
      <w:r>
        <w:rPr>
          <w:rFonts w:hint="eastAsia" w:ascii="宋体"/>
          <w:color w:val="auto"/>
          <w:szCs w:val="21"/>
          <w:highlight w:val="none"/>
        </w:rPr>
        <w:t>5.3评委会修正错误的原则：</w:t>
      </w:r>
    </w:p>
    <w:p w14:paraId="0C5C6609">
      <w:pPr>
        <w:spacing w:line="440" w:lineRule="exact"/>
        <w:ind w:firstLine="525" w:firstLineChars="250"/>
        <w:rPr>
          <w:rFonts w:hint="eastAsia" w:ascii="宋体"/>
          <w:color w:val="auto"/>
          <w:szCs w:val="21"/>
          <w:highlight w:val="none"/>
        </w:rPr>
      </w:pPr>
      <w:r>
        <w:rPr>
          <w:rFonts w:hint="eastAsia" w:ascii="宋体"/>
          <w:color w:val="auto"/>
          <w:szCs w:val="21"/>
          <w:highlight w:val="none"/>
        </w:rPr>
        <w:t>5.3.1如果数字表示的金额和用文字表示的金额不一致时，以文字表示的金额为准；当投标数量与招标数量不一致时，以招标数量为准；当分项报价清单、投标函的投标报价与开标一览表不一致时，以开标一览表为准。</w:t>
      </w:r>
    </w:p>
    <w:p w14:paraId="0065FD44">
      <w:pPr>
        <w:spacing w:line="440" w:lineRule="exact"/>
        <w:ind w:firstLine="525" w:firstLineChars="250"/>
        <w:rPr>
          <w:rFonts w:hint="eastAsia" w:ascii="宋体"/>
          <w:color w:val="auto"/>
          <w:szCs w:val="21"/>
          <w:highlight w:val="none"/>
        </w:rPr>
      </w:pPr>
      <w:r>
        <w:rPr>
          <w:rFonts w:hint="eastAsia" w:ascii="宋体"/>
          <w:color w:val="auto"/>
          <w:szCs w:val="21"/>
          <w:highlight w:val="none"/>
        </w:rPr>
        <w:t>5.3.2如果单价与数量的乘积和总价不一致，以单价为准，修正总价及开标一览表；当单价小数点有明显的错位时，评委会将以总价为准，并修正其单价。</w:t>
      </w:r>
    </w:p>
    <w:p w14:paraId="342EA14C">
      <w:pPr>
        <w:spacing w:line="440" w:lineRule="exact"/>
        <w:ind w:firstLine="403" w:firstLineChars="192"/>
        <w:jc w:val="left"/>
        <w:rPr>
          <w:rFonts w:hint="eastAsia" w:ascii="宋体"/>
          <w:b/>
          <w:color w:val="auto"/>
          <w:szCs w:val="21"/>
          <w:highlight w:val="none"/>
        </w:rPr>
      </w:pPr>
      <w:r>
        <w:rPr>
          <w:rFonts w:hint="eastAsia" w:ascii="宋体"/>
          <w:color w:val="auto"/>
          <w:szCs w:val="21"/>
          <w:highlight w:val="none"/>
        </w:rPr>
        <w:t xml:space="preserve"> 5.4评委会将按上述修正错误的方法调整投标文件中的投标报价，调整后的价格应对投标人具有约束力。无论投标人是接受或是拒绝调整后的价格，都应当由投标人在系统中确认。</w:t>
      </w:r>
      <w:r>
        <w:rPr>
          <w:rFonts w:hint="eastAsia" w:ascii="宋体"/>
          <w:b/>
          <w:bCs/>
          <w:color w:val="auto"/>
          <w:szCs w:val="21"/>
          <w:highlight w:val="none"/>
        </w:rPr>
        <w:t>投标人拒绝对投标文件出现的错漏按上述原则进行修正、澄清、说明，评标委员会应当否决其投标。</w:t>
      </w:r>
      <w:bookmarkStart w:id="57" w:name="_Toc58430320"/>
      <w:bookmarkStart w:id="58" w:name="_Toc449028880"/>
    </w:p>
    <w:p w14:paraId="247BCB7F">
      <w:pPr>
        <w:jc w:val="center"/>
        <w:outlineLvl w:val="1"/>
        <w:rPr>
          <w:rFonts w:hint="eastAsia" w:ascii="宋体" w:hAnsi="Times New Roman" w:eastAsia="宋体" w:cs="Times New Roman"/>
          <w:b/>
          <w:color w:val="auto"/>
          <w:sz w:val="28"/>
          <w:szCs w:val="28"/>
          <w:highlight w:val="none"/>
        </w:rPr>
      </w:pPr>
      <w:r>
        <w:rPr>
          <w:rFonts w:hint="eastAsia" w:ascii="宋体" w:hAnsi="Times New Roman" w:eastAsia="宋体" w:cs="Times New Roman"/>
          <w:b/>
          <w:color w:val="auto"/>
          <w:sz w:val="28"/>
          <w:szCs w:val="28"/>
          <w:highlight w:val="none"/>
        </w:rPr>
        <w:t>四、比较与评价</w:t>
      </w:r>
      <w:bookmarkEnd w:id="57"/>
      <w:bookmarkEnd w:id="58"/>
    </w:p>
    <w:p w14:paraId="6CE5203C">
      <w:pPr>
        <w:keepNext w:val="0"/>
        <w:keepLines w:val="0"/>
        <w:pageBreakBefore w:val="0"/>
        <w:widowControl w:val="0"/>
        <w:kinsoku/>
        <w:overflowPunct/>
        <w:topLinePunct w:val="0"/>
        <w:autoSpaceDE/>
        <w:autoSpaceDN/>
        <w:bidi w:val="0"/>
        <w:spacing w:line="440" w:lineRule="exact"/>
        <w:ind w:firstLine="417" w:firstLineChars="198"/>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 6.</w:t>
      </w:r>
      <w:bookmarkStart w:id="59" w:name="_Toc362983805"/>
      <w:r>
        <w:rPr>
          <w:rFonts w:hint="eastAsia" w:ascii="宋体" w:hAnsi="宋体" w:eastAsia="宋体" w:cs="宋体"/>
          <w:b/>
          <w:color w:val="auto"/>
          <w:sz w:val="21"/>
          <w:szCs w:val="21"/>
          <w:highlight w:val="none"/>
        </w:rPr>
        <w:t xml:space="preserve"> 详细评审即按招标文件中规定的评标方法和标准，评标委员会将对通过初审的投标文件，进行资信、技术和商务部分评估、综合比较与评价。</w:t>
      </w:r>
    </w:p>
    <w:p w14:paraId="542FAB0B">
      <w:pPr>
        <w:keepNext w:val="0"/>
        <w:keepLines w:val="0"/>
        <w:pageBreakBefore w:val="0"/>
        <w:widowControl w:val="0"/>
        <w:kinsoku/>
        <w:overflowPunct/>
        <w:topLinePunct w:val="0"/>
        <w:autoSpaceDE/>
        <w:autoSpaceDN/>
        <w:bidi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6.1资信标评审细则（</w:t>
      </w:r>
      <w:r>
        <w:rPr>
          <w:rFonts w:hint="eastAsia" w:ascii="宋体" w:hAnsi="宋体" w:eastAsia="宋体" w:cs="宋体"/>
          <w:color w:val="auto"/>
          <w:sz w:val="21"/>
          <w:szCs w:val="21"/>
          <w:highlight w:val="none"/>
          <w:lang w:val="en-US" w:eastAsia="zh-CN"/>
        </w:rPr>
        <w:t>15</w:t>
      </w:r>
      <w:r>
        <w:rPr>
          <w:rFonts w:hint="eastAsia" w:ascii="宋体" w:hAnsi="宋体" w:eastAsia="宋体" w:cs="宋体"/>
          <w:color w:val="auto"/>
          <w:sz w:val="21"/>
          <w:szCs w:val="21"/>
          <w:highlight w:val="none"/>
        </w:rPr>
        <w:t>分）</w:t>
      </w:r>
    </w:p>
    <w:tbl>
      <w:tblPr>
        <w:tblStyle w:val="37"/>
        <w:tblW w:w="99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230"/>
        <w:gridCol w:w="699"/>
        <w:gridCol w:w="7409"/>
      </w:tblGrid>
      <w:tr w14:paraId="12A94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645" w:type="dxa"/>
            <w:noWrap w:val="0"/>
            <w:vAlign w:val="center"/>
          </w:tcPr>
          <w:p w14:paraId="755E9CF1">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1230" w:type="dxa"/>
            <w:noWrap w:val="0"/>
            <w:vAlign w:val="center"/>
          </w:tcPr>
          <w:p w14:paraId="504A9B87">
            <w:pPr>
              <w:keepNext w:val="0"/>
              <w:keepLines w:val="0"/>
              <w:pageBreakBefore w:val="0"/>
              <w:widowControl w:val="0"/>
              <w:kinsoku/>
              <w:overflowPunct/>
              <w:topLinePunct w:val="0"/>
              <w:autoSpaceDE/>
              <w:autoSpaceDN/>
              <w:bidi w:val="0"/>
              <w:spacing w:line="440" w:lineRule="exac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评分因素</w:t>
            </w:r>
          </w:p>
        </w:tc>
        <w:tc>
          <w:tcPr>
            <w:tcW w:w="699" w:type="dxa"/>
            <w:noWrap w:val="0"/>
            <w:vAlign w:val="center"/>
          </w:tcPr>
          <w:p w14:paraId="29AA566B">
            <w:pPr>
              <w:keepNext w:val="0"/>
              <w:keepLines w:val="0"/>
              <w:pageBreakBefore w:val="0"/>
              <w:widowControl w:val="0"/>
              <w:kinsoku/>
              <w:overflowPunct/>
              <w:topLinePunct w:val="0"/>
              <w:autoSpaceDE/>
              <w:autoSpaceDN/>
              <w:bidi w:val="0"/>
              <w:spacing w:line="440" w:lineRule="exac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分值</w:t>
            </w:r>
          </w:p>
        </w:tc>
        <w:tc>
          <w:tcPr>
            <w:tcW w:w="7409" w:type="dxa"/>
            <w:noWrap w:val="0"/>
            <w:vAlign w:val="center"/>
          </w:tcPr>
          <w:p w14:paraId="2FF1FDCA">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评审细则</w:t>
            </w:r>
          </w:p>
        </w:tc>
      </w:tr>
      <w:tr w14:paraId="3E74D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645" w:type="dxa"/>
            <w:noWrap w:val="0"/>
            <w:vAlign w:val="center"/>
          </w:tcPr>
          <w:p w14:paraId="1D5AD3CF">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1230" w:type="dxa"/>
            <w:noWrap w:val="0"/>
            <w:vAlign w:val="center"/>
          </w:tcPr>
          <w:p w14:paraId="3F0AA482">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企业业绩</w:t>
            </w:r>
          </w:p>
        </w:tc>
        <w:tc>
          <w:tcPr>
            <w:tcW w:w="699" w:type="dxa"/>
            <w:noWrap w:val="0"/>
            <w:vAlign w:val="center"/>
          </w:tcPr>
          <w:p w14:paraId="007DD5A5">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分</w:t>
            </w:r>
          </w:p>
        </w:tc>
        <w:tc>
          <w:tcPr>
            <w:tcW w:w="7409" w:type="dxa"/>
            <w:noWrap w:val="0"/>
            <w:vAlign w:val="center"/>
          </w:tcPr>
          <w:p w14:paraId="28207928">
            <w:pPr>
              <w:keepNext w:val="0"/>
              <w:keepLines w:val="0"/>
              <w:pageBreakBefore w:val="0"/>
              <w:widowControl w:val="0"/>
              <w:kinsoku/>
              <w:overflowPunct/>
              <w:topLinePunct w:val="0"/>
              <w:autoSpaceDE/>
              <w:autoSpaceDN/>
              <w:bidi w:val="0"/>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投标人近三年</w:t>
            </w:r>
            <w:r>
              <w:rPr>
                <w:rFonts w:hint="eastAsia" w:ascii="宋体" w:hAnsi="宋体" w:cs="宋体"/>
                <w:color w:val="auto"/>
                <w:sz w:val="21"/>
                <w:szCs w:val="21"/>
                <w:highlight w:val="none"/>
                <w:lang w:val="en-US" w:eastAsia="zh-CN"/>
              </w:rPr>
              <w:t>具有3家不同</w:t>
            </w:r>
            <w:r>
              <w:rPr>
                <w:rFonts w:hint="eastAsia" w:ascii="宋体" w:hAnsi="宋体" w:eastAsia="宋体" w:cs="宋体"/>
                <w:color w:val="auto"/>
                <w:sz w:val="21"/>
                <w:szCs w:val="21"/>
                <w:highlight w:val="none"/>
                <w:lang w:val="en-US" w:eastAsia="zh-CN"/>
              </w:rPr>
              <w:t>国有企业</w:t>
            </w:r>
            <w:r>
              <w:rPr>
                <w:rFonts w:hint="eastAsia" w:ascii="宋体" w:hAnsi="宋体" w:cs="宋体"/>
                <w:color w:val="auto"/>
                <w:sz w:val="21"/>
                <w:szCs w:val="21"/>
                <w:highlight w:val="none"/>
                <w:lang w:val="en-US" w:eastAsia="zh-CN"/>
              </w:rPr>
              <w:t>财务</w:t>
            </w:r>
            <w:r>
              <w:rPr>
                <w:rFonts w:hint="eastAsia" w:ascii="宋体" w:hAnsi="宋体" w:eastAsia="宋体" w:cs="宋体"/>
                <w:color w:val="auto"/>
                <w:sz w:val="21"/>
                <w:szCs w:val="21"/>
                <w:highlight w:val="none"/>
                <w:lang w:val="en-US" w:eastAsia="zh-CN"/>
              </w:rPr>
              <w:t>审计项目业绩得3分</w:t>
            </w:r>
            <w:r>
              <w:rPr>
                <w:rFonts w:hint="eastAsia" w:ascii="宋体" w:hAnsi="宋体" w:cs="宋体"/>
                <w:color w:val="auto"/>
                <w:sz w:val="21"/>
                <w:szCs w:val="21"/>
                <w:highlight w:val="none"/>
                <w:lang w:val="en-US" w:eastAsia="zh-CN"/>
              </w:rPr>
              <w:t>，每多提供1家国有企业财务审计项目业绩加1分，本项满分</w:t>
            </w:r>
            <w:r>
              <w:rPr>
                <w:rFonts w:hint="eastAsia" w:ascii="宋体" w:hAnsi="宋体" w:eastAsia="宋体" w:cs="宋体"/>
                <w:color w:val="auto"/>
                <w:sz w:val="21"/>
                <w:szCs w:val="21"/>
                <w:highlight w:val="none"/>
                <w:lang w:val="en-US" w:eastAsia="zh-CN"/>
              </w:rPr>
              <w:t>最高5分。</w:t>
            </w:r>
          </w:p>
          <w:p w14:paraId="5494D97F">
            <w:pPr>
              <w:keepNext w:val="0"/>
              <w:keepLines w:val="0"/>
              <w:pageBreakBefore w:val="0"/>
              <w:widowControl w:val="0"/>
              <w:kinsoku/>
              <w:overflowPunct/>
              <w:topLinePunct w:val="0"/>
              <w:autoSpaceDE/>
              <w:autoSpaceDN/>
              <w:bidi w:val="0"/>
              <w:spacing w:line="440" w:lineRule="exact"/>
              <w:jc w:val="left"/>
              <w:textAlignment w:val="auto"/>
              <w:rPr>
                <w:rFonts w:hint="default"/>
                <w:color w:val="auto"/>
                <w:highlight w:val="none"/>
                <w:lang w:val="en-US" w:eastAsia="zh-CN"/>
              </w:rPr>
            </w:pPr>
            <w:r>
              <w:rPr>
                <w:rFonts w:hint="eastAsia" w:ascii="宋体" w:hAnsi="宋体" w:eastAsia="宋体" w:cs="宋体"/>
                <w:b/>
                <w:bCs/>
                <w:color w:val="auto"/>
                <w:sz w:val="21"/>
                <w:szCs w:val="21"/>
                <w:highlight w:val="none"/>
                <w:lang w:val="en-US" w:eastAsia="zh-CN"/>
              </w:rPr>
              <w:t>【投标文件中须提供</w:t>
            </w:r>
            <w:r>
              <w:rPr>
                <w:rFonts w:hint="eastAsia" w:ascii="Times New Roman" w:hAnsi="宋体" w:eastAsia="宋体" w:cs="Times New Roman"/>
                <w:b/>
                <w:bCs/>
                <w:color w:val="auto"/>
                <w:highlight w:val="none"/>
                <w:lang w:eastAsia="zh-CN"/>
              </w:rPr>
              <w:t>相关公司</w:t>
            </w:r>
            <w:r>
              <w:rPr>
                <w:rFonts w:hint="eastAsia" w:hAnsi="宋体" w:cs="Times New Roman"/>
                <w:b/>
                <w:bCs/>
                <w:color w:val="auto"/>
                <w:highlight w:val="none"/>
                <w:lang w:val="en-US" w:eastAsia="zh-CN"/>
              </w:rPr>
              <w:t>服务合同</w:t>
            </w:r>
            <w:r>
              <w:rPr>
                <w:rFonts w:hint="eastAsia" w:ascii="Times New Roman" w:hAnsi="宋体" w:eastAsia="宋体" w:cs="Times New Roman"/>
                <w:b/>
                <w:bCs/>
                <w:color w:val="auto"/>
                <w:highlight w:val="none"/>
                <w:lang w:eastAsia="zh-CN"/>
              </w:rPr>
              <w:t>（</w:t>
            </w:r>
            <w:r>
              <w:rPr>
                <w:rFonts w:hint="eastAsia" w:hAnsi="宋体" w:cs="Times New Roman"/>
                <w:b/>
                <w:bCs/>
                <w:color w:val="auto"/>
                <w:highlight w:val="none"/>
                <w:lang w:val="en-US" w:eastAsia="zh-CN"/>
              </w:rPr>
              <w:t>或</w:t>
            </w:r>
            <w:r>
              <w:rPr>
                <w:rFonts w:hint="eastAsia" w:ascii="Times New Roman" w:hAnsi="宋体" w:eastAsia="宋体" w:cs="Times New Roman"/>
                <w:b/>
                <w:bCs/>
                <w:color w:val="auto"/>
                <w:highlight w:val="none"/>
                <w:lang w:eastAsia="zh-CN"/>
              </w:rPr>
              <w:t>业务委托书）</w:t>
            </w:r>
            <w:r>
              <w:rPr>
                <w:rFonts w:hint="eastAsia" w:hAnsi="宋体" w:cs="Times New Roman"/>
                <w:b/>
                <w:bCs/>
                <w:color w:val="auto"/>
                <w:highlight w:val="none"/>
                <w:lang w:val="en-US" w:eastAsia="zh-CN"/>
              </w:rPr>
              <w:t>扫描件</w:t>
            </w:r>
            <w:r>
              <w:rPr>
                <w:rFonts w:hint="eastAsia" w:ascii="Times New Roman" w:hAnsi="宋体" w:eastAsia="宋体" w:cs="Times New Roman"/>
                <w:b/>
                <w:bCs/>
                <w:color w:val="auto"/>
                <w:highlight w:val="none"/>
                <w:lang w:eastAsia="zh-CN"/>
              </w:rPr>
              <w:t>】</w:t>
            </w:r>
          </w:p>
        </w:tc>
      </w:tr>
      <w:tr w14:paraId="1608C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645" w:type="dxa"/>
            <w:noWrap w:val="0"/>
            <w:vAlign w:val="center"/>
          </w:tcPr>
          <w:p w14:paraId="63C84848">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230" w:type="dxa"/>
            <w:noWrap w:val="0"/>
            <w:vAlign w:val="center"/>
          </w:tcPr>
          <w:p w14:paraId="75A1C67B">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人员配置</w:t>
            </w:r>
          </w:p>
        </w:tc>
        <w:tc>
          <w:tcPr>
            <w:tcW w:w="699" w:type="dxa"/>
            <w:noWrap w:val="0"/>
            <w:vAlign w:val="center"/>
          </w:tcPr>
          <w:p w14:paraId="3AF9A74C">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10分</w:t>
            </w:r>
          </w:p>
        </w:tc>
        <w:tc>
          <w:tcPr>
            <w:tcW w:w="7409" w:type="dxa"/>
            <w:noWrap w:val="0"/>
            <w:vAlign w:val="center"/>
          </w:tcPr>
          <w:p w14:paraId="6B4A7AE6">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lang w:val="en-US" w:eastAsia="zh-CN"/>
              </w:rPr>
              <w:t>投标人具有10名</w:t>
            </w:r>
            <w:r>
              <w:rPr>
                <w:rFonts w:hint="eastAsia" w:ascii="宋体" w:hAnsi="宋体" w:cs="宋体"/>
                <w:color w:val="auto"/>
                <w:sz w:val="21"/>
                <w:szCs w:val="21"/>
                <w:highlight w:val="none"/>
                <w:lang w:val="en-US" w:eastAsia="zh-CN"/>
              </w:rPr>
              <w:t>及</w:t>
            </w:r>
            <w:r>
              <w:rPr>
                <w:rFonts w:hint="eastAsia" w:ascii="宋体" w:hAnsi="宋体" w:eastAsia="宋体" w:cs="宋体"/>
                <w:color w:val="auto"/>
                <w:sz w:val="21"/>
                <w:szCs w:val="21"/>
                <w:highlight w:val="none"/>
                <w:lang w:val="en-US" w:eastAsia="zh-CN"/>
              </w:rPr>
              <w:t>以上在本单位注册的注册会计师</w:t>
            </w:r>
            <w:r>
              <w:rPr>
                <w:rFonts w:hint="eastAsia" w:ascii="宋体" w:hAnsi="宋体" w:cs="宋体"/>
                <w:color w:val="auto"/>
                <w:sz w:val="21"/>
                <w:szCs w:val="21"/>
                <w:highlight w:val="none"/>
                <w:lang w:val="en-US" w:eastAsia="zh-CN"/>
              </w:rPr>
              <w:t>得3</w:t>
            </w:r>
            <w:r>
              <w:rPr>
                <w:rFonts w:hint="eastAsia" w:ascii="宋体" w:hAnsi="宋体" w:eastAsia="宋体" w:cs="宋体"/>
                <w:color w:val="auto"/>
                <w:sz w:val="21"/>
                <w:szCs w:val="21"/>
                <w:highlight w:val="none"/>
                <w:lang w:val="en-US" w:eastAsia="zh-CN"/>
              </w:rPr>
              <w:t>分</w:t>
            </w:r>
            <w:r>
              <w:rPr>
                <w:rFonts w:hint="eastAsia" w:ascii="宋体" w:hAnsi="宋体" w:cs="宋体"/>
                <w:color w:val="auto"/>
                <w:sz w:val="21"/>
                <w:szCs w:val="21"/>
                <w:highlight w:val="none"/>
                <w:lang w:val="en-US" w:eastAsia="zh-CN"/>
              </w:rPr>
              <w:t>。</w:t>
            </w:r>
          </w:p>
          <w:p w14:paraId="3FD66F1F">
            <w:pPr>
              <w:pStyle w:val="36"/>
              <w:keepNext w:val="0"/>
              <w:keepLines w:val="0"/>
              <w:pageBreakBefore w:val="0"/>
              <w:widowControl w:val="0"/>
              <w:numPr>
                <w:ilvl w:val="0"/>
                <w:numId w:val="0"/>
              </w:numPr>
              <w:kinsoku/>
              <w:wordWrap/>
              <w:overflowPunct/>
              <w:topLinePunct w:val="0"/>
              <w:autoSpaceDE/>
              <w:autoSpaceDN/>
              <w:bidi w:val="0"/>
              <w:adjustRightInd/>
              <w:snapToGrid/>
              <w:spacing w:after="0" w:line="440" w:lineRule="exact"/>
              <w:textAlignment w:val="auto"/>
              <w:rPr>
                <w:rFonts w:hint="eastAsia"/>
                <w:color w:val="auto"/>
                <w:highlight w:val="none"/>
                <w:lang w:val="en-US" w:eastAsia="zh-CN"/>
              </w:rPr>
            </w:pPr>
            <w:r>
              <w:rPr>
                <w:rFonts w:hint="eastAsia" w:ascii="宋体" w:hAnsi="宋体" w:eastAsia="宋体" w:cs="宋体"/>
                <w:b/>
                <w:bCs/>
                <w:color w:val="auto"/>
                <w:sz w:val="21"/>
                <w:szCs w:val="21"/>
                <w:highlight w:val="none"/>
                <w:lang w:val="en-US" w:eastAsia="zh-CN"/>
              </w:rPr>
              <w:t>【</w:t>
            </w:r>
            <w:r>
              <w:rPr>
                <w:rFonts w:hint="eastAsia" w:ascii="宋体" w:hAnsi="宋体" w:cs="宋体"/>
                <w:b/>
                <w:bCs/>
                <w:color w:val="auto"/>
                <w:sz w:val="21"/>
                <w:szCs w:val="21"/>
                <w:highlight w:val="none"/>
                <w:lang w:val="en-US" w:eastAsia="zh-CN"/>
              </w:rPr>
              <w:t>投标文件中须须同时提供注册证书和近3个月内（任意一个月即可）投标人为其购买的社保缴纳证明扫描件</w:t>
            </w:r>
            <w:r>
              <w:rPr>
                <w:rFonts w:hint="eastAsia" w:ascii="宋体" w:hAnsi="宋体" w:eastAsia="宋体" w:cs="宋体"/>
                <w:b/>
                <w:bCs/>
                <w:color w:val="auto"/>
                <w:sz w:val="21"/>
                <w:szCs w:val="21"/>
                <w:highlight w:val="none"/>
                <w:lang w:val="en-US" w:eastAsia="zh-CN"/>
              </w:rPr>
              <w:t>】</w:t>
            </w:r>
          </w:p>
          <w:p w14:paraId="11CBA42D">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项目负责人在</w:t>
            </w:r>
            <w:r>
              <w:rPr>
                <w:rFonts w:hint="eastAsia" w:ascii="宋体" w:hAnsi="宋体" w:cs="宋体"/>
                <w:color w:val="auto"/>
                <w:sz w:val="21"/>
                <w:szCs w:val="21"/>
                <w:highlight w:val="none"/>
                <w:lang w:val="en-US" w:eastAsia="zh-CN"/>
              </w:rPr>
              <w:t>满足资质要求的情况下，具有</w:t>
            </w:r>
            <w:r>
              <w:rPr>
                <w:rFonts w:hint="eastAsia" w:ascii="宋体" w:hAnsi="宋体" w:eastAsia="宋体" w:cs="宋体"/>
                <w:color w:val="auto"/>
                <w:sz w:val="21"/>
                <w:szCs w:val="21"/>
                <w:highlight w:val="none"/>
                <w:lang w:val="en-US" w:eastAsia="zh-CN"/>
              </w:rPr>
              <w:t>高级会计师</w:t>
            </w:r>
            <w:r>
              <w:rPr>
                <w:rFonts w:hint="eastAsia" w:ascii="宋体" w:hAnsi="宋体" w:cs="宋体"/>
                <w:color w:val="auto"/>
                <w:sz w:val="21"/>
                <w:szCs w:val="21"/>
                <w:highlight w:val="none"/>
                <w:lang w:val="en-US" w:eastAsia="zh-CN"/>
              </w:rPr>
              <w:t>职称或一级造价工程师或资产评估师证书</w:t>
            </w:r>
            <w:r>
              <w:rPr>
                <w:rFonts w:hint="eastAsia" w:ascii="宋体" w:hAnsi="宋体" w:eastAsia="宋体" w:cs="宋体"/>
                <w:color w:val="auto"/>
                <w:sz w:val="21"/>
                <w:szCs w:val="21"/>
                <w:highlight w:val="none"/>
                <w:lang w:val="en-US" w:eastAsia="zh-CN"/>
              </w:rPr>
              <w:t>的</w:t>
            </w:r>
            <w:r>
              <w:rPr>
                <w:rFonts w:hint="eastAsia" w:ascii="宋体" w:hAnsi="宋体" w:cs="宋体"/>
                <w:color w:val="auto"/>
                <w:sz w:val="21"/>
                <w:szCs w:val="21"/>
                <w:highlight w:val="none"/>
                <w:lang w:val="en-US" w:eastAsia="zh-CN"/>
              </w:rPr>
              <w:t>得1</w:t>
            </w:r>
            <w:r>
              <w:rPr>
                <w:rFonts w:hint="eastAsia" w:ascii="宋体" w:hAnsi="宋体" w:eastAsia="宋体" w:cs="宋体"/>
                <w:color w:val="auto"/>
                <w:sz w:val="21"/>
                <w:szCs w:val="21"/>
                <w:highlight w:val="none"/>
                <w:lang w:val="en-US" w:eastAsia="zh-CN"/>
              </w:rPr>
              <w:t>分</w:t>
            </w:r>
            <w:r>
              <w:rPr>
                <w:rFonts w:hint="eastAsia" w:ascii="宋体" w:hAnsi="宋体" w:cs="宋体"/>
                <w:color w:val="auto"/>
                <w:sz w:val="21"/>
                <w:szCs w:val="21"/>
                <w:highlight w:val="none"/>
                <w:lang w:val="en-US" w:eastAsia="zh-CN"/>
              </w:rPr>
              <w:t>，具有多个证书的分数可以累加，本项满分最高3分</w:t>
            </w:r>
            <w:r>
              <w:rPr>
                <w:rFonts w:hint="eastAsia" w:ascii="宋体" w:hAnsi="宋体" w:eastAsia="宋体" w:cs="宋体"/>
                <w:color w:val="auto"/>
                <w:sz w:val="21"/>
                <w:szCs w:val="21"/>
                <w:highlight w:val="none"/>
                <w:lang w:val="en-US" w:eastAsia="zh-CN"/>
              </w:rPr>
              <w:t>；</w:t>
            </w:r>
          </w:p>
          <w:p w14:paraId="1A9FD6E5">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【投标文件中须提供证书</w:t>
            </w:r>
            <w:r>
              <w:rPr>
                <w:rFonts w:hint="eastAsia" w:ascii="宋体" w:hAnsi="宋体" w:cs="宋体"/>
                <w:b/>
                <w:bCs/>
                <w:color w:val="auto"/>
                <w:sz w:val="21"/>
                <w:szCs w:val="21"/>
                <w:highlight w:val="none"/>
                <w:lang w:val="en-US" w:eastAsia="zh-CN"/>
              </w:rPr>
              <w:t>和近3个月内（任意一个月即可）投标人为其购买的社保缴纳证明扫描件，其中一级造价工程师和资产评估师证书提供资格证书或注册证书均予以认可。</w:t>
            </w:r>
            <w:r>
              <w:rPr>
                <w:rFonts w:hint="eastAsia" w:ascii="宋体" w:hAnsi="宋体" w:eastAsia="宋体" w:cs="宋体"/>
                <w:b/>
                <w:bCs/>
                <w:color w:val="auto"/>
                <w:sz w:val="21"/>
                <w:szCs w:val="21"/>
                <w:highlight w:val="none"/>
                <w:lang w:val="en-US" w:eastAsia="zh-CN"/>
              </w:rPr>
              <w:t>】</w:t>
            </w:r>
          </w:p>
          <w:p w14:paraId="52F74D09">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本项目的人员配备中，除项目负责人外，项目组其他人员在满足资质要求的情况下</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具有在投标单位注册的注册会计师证书</w:t>
            </w:r>
            <w:r>
              <w:rPr>
                <w:rFonts w:hint="eastAsia" w:ascii="宋体" w:hAnsi="宋体" w:cs="宋体"/>
                <w:color w:val="auto"/>
                <w:sz w:val="21"/>
                <w:szCs w:val="21"/>
                <w:highlight w:val="none"/>
                <w:lang w:val="en-US" w:eastAsia="zh-CN"/>
              </w:rPr>
              <w:t>或</w:t>
            </w:r>
            <w:r>
              <w:rPr>
                <w:rFonts w:hint="eastAsia" w:ascii="宋体" w:hAnsi="宋体" w:eastAsia="宋体" w:cs="宋体"/>
                <w:color w:val="auto"/>
                <w:sz w:val="21"/>
                <w:szCs w:val="21"/>
                <w:highlight w:val="none"/>
                <w:lang w:val="en-US" w:eastAsia="zh-CN"/>
              </w:rPr>
              <w:t>高级会计师职称证书</w:t>
            </w:r>
            <w:r>
              <w:rPr>
                <w:rFonts w:hint="eastAsia" w:ascii="宋体" w:hAnsi="宋体" w:cs="宋体"/>
                <w:color w:val="auto"/>
                <w:sz w:val="21"/>
                <w:szCs w:val="21"/>
                <w:highlight w:val="none"/>
                <w:lang w:val="en-US" w:eastAsia="zh-CN"/>
              </w:rPr>
              <w:t>或</w:t>
            </w:r>
            <w:r>
              <w:rPr>
                <w:rFonts w:hint="eastAsia" w:ascii="宋体" w:hAnsi="宋体" w:eastAsia="宋体" w:cs="宋体"/>
                <w:color w:val="auto"/>
                <w:sz w:val="21"/>
                <w:szCs w:val="21"/>
                <w:highlight w:val="none"/>
                <w:lang w:val="en-US" w:eastAsia="zh-CN"/>
              </w:rPr>
              <w:t>一级造价工程师</w:t>
            </w:r>
            <w:r>
              <w:rPr>
                <w:rFonts w:hint="eastAsia" w:ascii="宋体" w:hAnsi="宋体" w:cs="宋体"/>
                <w:color w:val="auto"/>
                <w:sz w:val="21"/>
                <w:szCs w:val="21"/>
                <w:highlight w:val="none"/>
                <w:lang w:val="en-US" w:eastAsia="zh-CN"/>
              </w:rPr>
              <w:t>证书或资产评估师证书得1</w:t>
            </w:r>
            <w:r>
              <w:rPr>
                <w:rFonts w:hint="eastAsia" w:ascii="宋体" w:hAnsi="宋体" w:eastAsia="宋体" w:cs="宋体"/>
                <w:color w:val="auto"/>
                <w:sz w:val="21"/>
                <w:szCs w:val="21"/>
                <w:highlight w:val="none"/>
                <w:lang w:val="en-US" w:eastAsia="zh-CN"/>
              </w:rPr>
              <w:t>分</w:t>
            </w:r>
            <w:r>
              <w:rPr>
                <w:rFonts w:hint="eastAsia" w:ascii="宋体" w:hAnsi="宋体" w:cs="宋体"/>
                <w:color w:val="auto"/>
                <w:sz w:val="21"/>
                <w:szCs w:val="21"/>
                <w:highlight w:val="none"/>
                <w:lang w:val="en-US" w:eastAsia="zh-CN"/>
              </w:rPr>
              <w:t>，具有多个证书的分数可以累加，本项满分</w:t>
            </w:r>
            <w:r>
              <w:rPr>
                <w:rFonts w:hint="eastAsia" w:ascii="宋体" w:hAnsi="宋体" w:eastAsia="宋体" w:cs="宋体"/>
                <w:color w:val="auto"/>
                <w:sz w:val="21"/>
                <w:szCs w:val="21"/>
                <w:highlight w:val="none"/>
                <w:lang w:val="en-US" w:eastAsia="zh-CN"/>
              </w:rPr>
              <w:t>最高</w:t>
            </w: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lang w:val="en-US" w:eastAsia="zh-CN"/>
              </w:rPr>
              <w:t>分。</w:t>
            </w:r>
          </w:p>
          <w:p w14:paraId="3BD8F4D3">
            <w:pPr>
              <w:pStyle w:val="36"/>
              <w:keepNext w:val="0"/>
              <w:keepLines w:val="0"/>
              <w:pageBreakBefore w:val="0"/>
              <w:widowControl w:val="0"/>
              <w:kinsoku/>
              <w:wordWrap/>
              <w:overflowPunct/>
              <w:topLinePunct w:val="0"/>
              <w:autoSpaceDE/>
              <w:autoSpaceDN/>
              <w:bidi w:val="0"/>
              <w:adjustRightInd/>
              <w:snapToGrid/>
              <w:spacing w:after="0" w:line="440" w:lineRule="exact"/>
              <w:ind w:left="0" w:leftChars="0" w:firstLine="0" w:firstLineChars="0"/>
              <w:textAlignment w:val="auto"/>
              <w:rPr>
                <w:rFonts w:hint="default"/>
                <w:color w:val="auto"/>
                <w:highlight w:val="none"/>
                <w:lang w:val="en-US" w:eastAsia="zh-CN"/>
              </w:rPr>
            </w:pPr>
            <w:r>
              <w:rPr>
                <w:rFonts w:hint="eastAsia" w:ascii="宋体" w:hAnsi="宋体" w:eastAsia="宋体" w:cs="宋体"/>
                <w:b/>
                <w:bCs/>
                <w:color w:val="auto"/>
                <w:kern w:val="2"/>
                <w:sz w:val="21"/>
                <w:szCs w:val="21"/>
                <w:highlight w:val="none"/>
                <w:lang w:val="en-US" w:eastAsia="zh-CN" w:bidi="ar-SA"/>
              </w:rPr>
              <w:t>【投标文件中须同时提供证书和</w:t>
            </w:r>
            <w:r>
              <w:rPr>
                <w:rFonts w:hint="eastAsia" w:ascii="宋体" w:hAnsi="宋体" w:eastAsia="宋体" w:cs="宋体"/>
                <w:b/>
                <w:bCs/>
                <w:color w:val="auto"/>
                <w:kern w:val="2"/>
                <w:sz w:val="21"/>
                <w:szCs w:val="21"/>
                <w:highlight w:val="none"/>
                <w:lang w:val="zh-CN" w:eastAsia="zh-CN" w:bidi="ar-SA"/>
              </w:rPr>
              <w:t>近3个月内（任意一个月即可）投标</w:t>
            </w:r>
            <w:r>
              <w:rPr>
                <w:rFonts w:hint="eastAsia" w:ascii="宋体" w:hAnsi="宋体" w:cs="宋体"/>
                <w:b/>
                <w:bCs/>
                <w:color w:val="auto"/>
                <w:kern w:val="2"/>
                <w:sz w:val="21"/>
                <w:szCs w:val="21"/>
                <w:highlight w:val="none"/>
                <w:lang w:val="en-US" w:eastAsia="zh-CN" w:bidi="ar-SA"/>
              </w:rPr>
              <w:t>人</w:t>
            </w:r>
            <w:r>
              <w:rPr>
                <w:rFonts w:hint="eastAsia" w:ascii="宋体" w:hAnsi="宋体" w:eastAsia="宋体" w:cs="宋体"/>
                <w:b/>
                <w:bCs/>
                <w:color w:val="auto"/>
                <w:kern w:val="2"/>
                <w:sz w:val="21"/>
                <w:szCs w:val="21"/>
                <w:highlight w:val="none"/>
                <w:lang w:val="zh-CN" w:eastAsia="zh-CN" w:bidi="ar-SA"/>
              </w:rPr>
              <w:t>为其购买的社保缴纳</w:t>
            </w:r>
            <w:r>
              <w:rPr>
                <w:rFonts w:hint="eastAsia" w:ascii="宋体" w:hAnsi="宋体" w:cs="宋体"/>
                <w:b/>
                <w:bCs/>
                <w:color w:val="auto"/>
                <w:kern w:val="2"/>
                <w:sz w:val="21"/>
                <w:szCs w:val="21"/>
                <w:highlight w:val="none"/>
                <w:lang w:val="en-US" w:eastAsia="zh-CN" w:bidi="ar-SA"/>
              </w:rPr>
              <w:t>证明扫描件</w:t>
            </w:r>
            <w:r>
              <w:rPr>
                <w:rFonts w:hint="eastAsia" w:ascii="宋体" w:hAnsi="宋体" w:eastAsia="宋体" w:cs="宋体"/>
                <w:b/>
                <w:bCs/>
                <w:color w:val="auto"/>
                <w:kern w:val="2"/>
                <w:sz w:val="21"/>
                <w:szCs w:val="21"/>
                <w:highlight w:val="none"/>
                <w:lang w:val="en-US" w:eastAsia="zh-CN" w:bidi="ar-SA"/>
              </w:rPr>
              <w:t>】</w:t>
            </w:r>
          </w:p>
        </w:tc>
      </w:tr>
      <w:tr w14:paraId="74BEA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983" w:type="dxa"/>
            <w:gridSpan w:val="4"/>
            <w:noWrap w:val="0"/>
            <w:vAlign w:val="center"/>
          </w:tcPr>
          <w:p w14:paraId="18C624E4">
            <w:pPr>
              <w:keepNext w:val="0"/>
              <w:keepLines w:val="0"/>
              <w:pageBreakBefore w:val="0"/>
              <w:widowControl w:val="0"/>
              <w:kinsoku/>
              <w:overflowPunct/>
              <w:topLinePunct w:val="0"/>
              <w:autoSpaceDE/>
              <w:autoSpaceDN/>
              <w:bidi w:val="0"/>
              <w:spacing w:line="440" w:lineRule="exact"/>
              <w:textAlignment w:val="auto"/>
              <w:rPr>
                <w:rFonts w:hint="eastAsia" w:ascii="宋体" w:hAnsi="宋体" w:eastAsia="宋体" w:cs="宋体"/>
                <w:color w:val="auto"/>
                <w:spacing w:val="-2"/>
                <w:sz w:val="21"/>
                <w:szCs w:val="21"/>
                <w:highlight w:val="none"/>
              </w:rPr>
            </w:pPr>
            <w:r>
              <w:rPr>
                <w:rFonts w:hint="eastAsia" w:ascii="宋体" w:hAnsi="宋体" w:eastAsia="宋体" w:cs="宋体"/>
                <w:b/>
                <w:color w:val="auto"/>
                <w:sz w:val="21"/>
                <w:szCs w:val="21"/>
                <w:highlight w:val="none"/>
              </w:rPr>
              <w:t>注：各评委得分的平均值为投标人资信标得分，分值保留两位小数点。</w:t>
            </w:r>
          </w:p>
        </w:tc>
      </w:tr>
    </w:tbl>
    <w:p w14:paraId="5BFA9C9E">
      <w:pPr>
        <w:keepNext w:val="0"/>
        <w:keepLines w:val="0"/>
        <w:pageBreakBefore w:val="0"/>
        <w:widowControl w:val="0"/>
        <w:kinsoku/>
        <w:overflowPunct/>
        <w:topLinePunct w:val="0"/>
        <w:autoSpaceDE/>
        <w:autoSpaceDN/>
        <w:bidi w:val="0"/>
        <w:spacing w:line="440" w:lineRule="exact"/>
        <w:ind w:firstLine="210" w:firstLineChars="10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6.2技术标评审细则（70分）</w:t>
      </w:r>
    </w:p>
    <w:tbl>
      <w:tblPr>
        <w:tblStyle w:val="37"/>
        <w:tblW w:w="99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230"/>
        <w:gridCol w:w="699"/>
        <w:gridCol w:w="7409"/>
      </w:tblGrid>
      <w:tr w14:paraId="04E08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645" w:type="dxa"/>
            <w:noWrap w:val="0"/>
            <w:vAlign w:val="center"/>
          </w:tcPr>
          <w:p w14:paraId="44D55A80">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1230" w:type="dxa"/>
            <w:noWrap w:val="0"/>
            <w:vAlign w:val="center"/>
          </w:tcPr>
          <w:p w14:paraId="75B3E692">
            <w:pPr>
              <w:keepNext w:val="0"/>
              <w:keepLines w:val="0"/>
              <w:pageBreakBefore w:val="0"/>
              <w:widowControl w:val="0"/>
              <w:kinsoku/>
              <w:overflowPunct/>
              <w:topLinePunct w:val="0"/>
              <w:autoSpaceDE/>
              <w:autoSpaceDN/>
              <w:bidi w:val="0"/>
              <w:spacing w:line="440" w:lineRule="exac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评分因素</w:t>
            </w:r>
          </w:p>
        </w:tc>
        <w:tc>
          <w:tcPr>
            <w:tcW w:w="699" w:type="dxa"/>
            <w:noWrap w:val="0"/>
            <w:vAlign w:val="center"/>
          </w:tcPr>
          <w:p w14:paraId="722070DC">
            <w:pPr>
              <w:keepNext w:val="0"/>
              <w:keepLines w:val="0"/>
              <w:pageBreakBefore w:val="0"/>
              <w:widowControl w:val="0"/>
              <w:kinsoku/>
              <w:overflowPunct/>
              <w:topLinePunct w:val="0"/>
              <w:autoSpaceDE/>
              <w:autoSpaceDN/>
              <w:bidi w:val="0"/>
              <w:spacing w:line="440" w:lineRule="exac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分值</w:t>
            </w:r>
          </w:p>
        </w:tc>
        <w:tc>
          <w:tcPr>
            <w:tcW w:w="7409" w:type="dxa"/>
            <w:noWrap w:val="0"/>
            <w:vAlign w:val="center"/>
          </w:tcPr>
          <w:p w14:paraId="0B2C2924">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评审细则</w:t>
            </w:r>
          </w:p>
        </w:tc>
      </w:tr>
      <w:tr w14:paraId="62A00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645" w:type="dxa"/>
            <w:noWrap w:val="0"/>
            <w:vAlign w:val="center"/>
          </w:tcPr>
          <w:p w14:paraId="37E43F9F">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1230" w:type="dxa"/>
            <w:noWrap w:val="0"/>
            <w:vAlign w:val="center"/>
          </w:tcPr>
          <w:p w14:paraId="3B504829">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服务方案</w:t>
            </w:r>
          </w:p>
        </w:tc>
        <w:tc>
          <w:tcPr>
            <w:tcW w:w="699" w:type="dxa"/>
            <w:noWrap w:val="0"/>
            <w:vAlign w:val="center"/>
          </w:tcPr>
          <w:p w14:paraId="55DA28B8">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分</w:t>
            </w:r>
          </w:p>
        </w:tc>
        <w:tc>
          <w:tcPr>
            <w:tcW w:w="7409" w:type="dxa"/>
            <w:noWrap w:val="0"/>
            <w:vAlign w:val="center"/>
          </w:tcPr>
          <w:p w14:paraId="7A1E48CC">
            <w:pPr>
              <w:keepNext w:val="0"/>
              <w:keepLines w:val="0"/>
              <w:pageBreakBefore w:val="0"/>
              <w:widowControl w:val="0"/>
              <w:kinsoku/>
              <w:overflowPunct/>
              <w:topLinePunct w:val="0"/>
              <w:autoSpaceDE/>
              <w:autoSpaceDN/>
              <w:bidi w:val="0"/>
              <w:spacing w:line="440" w:lineRule="exact"/>
              <w:jc w:val="left"/>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Cs w:val="21"/>
                <w:highlight w:val="none"/>
                <w:lang w:val="en-US" w:eastAsia="zh-CN"/>
              </w:rPr>
              <w:t>评审小组根据</w:t>
            </w:r>
            <w:r>
              <w:rPr>
                <w:rFonts w:hint="eastAsia" w:ascii="宋体" w:hAnsi="宋体" w:cs="宋体"/>
                <w:color w:val="auto"/>
                <w:szCs w:val="21"/>
                <w:highlight w:val="none"/>
              </w:rPr>
              <w:t>服务方案内容的全面性、可操作性、工作地点的便捷性；审计程序、审计方法的科学性、有效性、合理性；服务的难点、要点阐述</w:t>
            </w:r>
            <w:r>
              <w:rPr>
                <w:rFonts w:hint="eastAsia" w:ascii="宋体" w:hAnsi="宋体" w:cs="宋体"/>
                <w:color w:val="auto"/>
                <w:szCs w:val="21"/>
                <w:highlight w:val="none"/>
                <w:lang w:val="en-US" w:eastAsia="zh-CN"/>
              </w:rPr>
              <w:t>等</w:t>
            </w:r>
            <w:r>
              <w:rPr>
                <w:rFonts w:hint="eastAsia" w:ascii="宋体" w:hAnsi="宋体" w:cs="宋体"/>
                <w:color w:val="auto"/>
                <w:szCs w:val="21"/>
                <w:highlight w:val="none"/>
              </w:rPr>
              <w:t>方面进行综合对比</w:t>
            </w:r>
            <w:r>
              <w:rPr>
                <w:rFonts w:hint="eastAsia" w:ascii="宋体" w:hAnsi="宋体" w:cs="宋体"/>
                <w:color w:val="auto"/>
                <w:szCs w:val="21"/>
                <w:highlight w:val="none"/>
                <w:lang w:val="en-US" w:eastAsia="zh-CN"/>
              </w:rPr>
              <w:t>评审</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服务方案中包含人员安排，包括参与项目的人员清单。</w:t>
            </w:r>
            <w:r>
              <w:rPr>
                <w:rFonts w:hint="eastAsia" w:ascii="宋体" w:hAnsi="宋体" w:cs="宋体"/>
                <w:color w:val="auto"/>
                <w:szCs w:val="21"/>
                <w:highlight w:val="none"/>
              </w:rPr>
              <w:t>优秀的得</w:t>
            </w:r>
            <w:r>
              <w:rPr>
                <w:rFonts w:hint="eastAsia" w:ascii="宋体" w:hAnsi="宋体" w:cs="宋体"/>
                <w:color w:val="auto"/>
                <w:szCs w:val="21"/>
                <w:highlight w:val="none"/>
                <w:lang w:val="en-US" w:eastAsia="zh-CN"/>
              </w:rPr>
              <w:t>25分，良好的得22.5分，一般的得20分，合格的得17.5分，不合格或未提供的不得分。</w:t>
            </w:r>
          </w:p>
        </w:tc>
      </w:tr>
      <w:tr w14:paraId="76266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645" w:type="dxa"/>
            <w:noWrap w:val="0"/>
            <w:vAlign w:val="center"/>
          </w:tcPr>
          <w:p w14:paraId="52D827DB">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230" w:type="dxa"/>
            <w:noWrap w:val="0"/>
            <w:vAlign w:val="center"/>
          </w:tcPr>
          <w:p w14:paraId="22E9A5BF">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质量管理方案</w:t>
            </w:r>
          </w:p>
        </w:tc>
        <w:tc>
          <w:tcPr>
            <w:tcW w:w="699" w:type="dxa"/>
            <w:noWrap w:val="0"/>
            <w:vAlign w:val="center"/>
          </w:tcPr>
          <w:p w14:paraId="6AF674CA">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40分</w:t>
            </w:r>
          </w:p>
        </w:tc>
        <w:tc>
          <w:tcPr>
            <w:tcW w:w="7409" w:type="dxa"/>
            <w:noWrap w:val="0"/>
            <w:vAlign w:val="center"/>
          </w:tcPr>
          <w:p w14:paraId="507F116F">
            <w:pPr>
              <w:keepNext w:val="0"/>
              <w:keepLines w:val="0"/>
              <w:pageBreakBefore w:val="0"/>
              <w:widowControl w:val="0"/>
              <w:kinsoku/>
              <w:overflowPunct/>
              <w:topLinePunct w:val="0"/>
              <w:autoSpaceDE/>
              <w:autoSpaceDN/>
              <w:bidi w:val="0"/>
              <w:spacing w:line="440" w:lineRule="exact"/>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评审小组根据质量管理方案从项目咨询、意见分歧解决、项目质量复核、项目质量检查、质量管理缺陷识别与整改等方面的政策和程序。组织计划能力、协调能力、管理能力，会计业务水平、账务规范、内控管理、流程管理、权限设置等多维度根据全面性、可科学性、有效性、可行性等进行综合对比评审，</w:t>
            </w:r>
            <w:r>
              <w:rPr>
                <w:rFonts w:hint="eastAsia" w:ascii="宋体" w:hAnsi="宋体" w:cs="宋体"/>
                <w:color w:val="auto"/>
                <w:szCs w:val="21"/>
                <w:highlight w:val="none"/>
              </w:rPr>
              <w:t>优秀的得</w:t>
            </w:r>
            <w:r>
              <w:rPr>
                <w:rFonts w:hint="eastAsia" w:ascii="宋体" w:hAnsi="宋体" w:cs="宋体"/>
                <w:color w:val="auto"/>
                <w:szCs w:val="21"/>
                <w:highlight w:val="none"/>
                <w:lang w:val="en-US" w:eastAsia="zh-CN"/>
              </w:rPr>
              <w:t>40分、良好的得36分，一般的得32分，合格的得28分，不合格或未提供的不得分。</w:t>
            </w:r>
          </w:p>
        </w:tc>
      </w:tr>
      <w:tr w14:paraId="51695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645" w:type="dxa"/>
            <w:noWrap w:val="0"/>
            <w:vAlign w:val="center"/>
          </w:tcPr>
          <w:p w14:paraId="502C394A">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230" w:type="dxa"/>
            <w:noWrap w:val="0"/>
            <w:vAlign w:val="center"/>
          </w:tcPr>
          <w:p w14:paraId="59D730E6">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信息安全管理</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风险承担能力</w:t>
            </w:r>
          </w:p>
        </w:tc>
        <w:tc>
          <w:tcPr>
            <w:tcW w:w="699" w:type="dxa"/>
            <w:noWrap w:val="0"/>
            <w:vAlign w:val="center"/>
          </w:tcPr>
          <w:p w14:paraId="6C283E9D">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5分</w:t>
            </w:r>
          </w:p>
        </w:tc>
        <w:tc>
          <w:tcPr>
            <w:tcW w:w="7409" w:type="dxa"/>
            <w:noWrap w:val="0"/>
            <w:vAlign w:val="center"/>
          </w:tcPr>
          <w:p w14:paraId="30753D9A">
            <w:pPr>
              <w:keepNext w:val="0"/>
              <w:keepLines w:val="0"/>
              <w:pageBreakBefore w:val="0"/>
              <w:widowControl w:val="0"/>
              <w:kinsoku/>
              <w:overflowPunct/>
              <w:topLinePunct w:val="0"/>
              <w:autoSpaceDE/>
              <w:autoSpaceDN/>
              <w:bidi w:val="0"/>
              <w:spacing w:line="440" w:lineRule="exact"/>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评审小组根据信息安全管理方案的科学性、有效性、可行性等</w:t>
            </w:r>
            <w:r>
              <w:rPr>
                <w:rFonts w:hint="eastAsia" w:ascii="宋体" w:hAnsi="宋体" w:cs="宋体"/>
                <w:color w:val="auto"/>
                <w:sz w:val="21"/>
                <w:szCs w:val="21"/>
                <w:highlight w:val="none"/>
                <w:lang w:val="en-US" w:eastAsia="zh-CN"/>
              </w:rPr>
              <w:t>及风险承担的应对方案等</w:t>
            </w:r>
            <w:r>
              <w:rPr>
                <w:rFonts w:hint="eastAsia" w:ascii="宋体" w:hAnsi="宋体" w:eastAsia="宋体" w:cs="宋体"/>
                <w:color w:val="auto"/>
                <w:sz w:val="21"/>
                <w:szCs w:val="21"/>
                <w:highlight w:val="none"/>
                <w:lang w:val="en-US" w:eastAsia="zh-CN"/>
              </w:rPr>
              <w:t>进行综合对比评审，</w:t>
            </w:r>
            <w:r>
              <w:rPr>
                <w:rFonts w:hint="eastAsia" w:ascii="宋体" w:hAnsi="宋体" w:cs="宋体"/>
                <w:color w:val="auto"/>
                <w:szCs w:val="21"/>
                <w:highlight w:val="none"/>
              </w:rPr>
              <w:t>优秀的得</w:t>
            </w:r>
            <w:r>
              <w:rPr>
                <w:rFonts w:hint="eastAsia" w:ascii="宋体" w:hAnsi="宋体" w:cs="宋体"/>
                <w:color w:val="auto"/>
                <w:szCs w:val="21"/>
                <w:highlight w:val="none"/>
                <w:lang w:val="en-US" w:eastAsia="zh-CN"/>
              </w:rPr>
              <w:t>5分、良好的得4.5分，一般的得4分，合格的得3.5分，不合格或未提供的不得分。</w:t>
            </w:r>
          </w:p>
        </w:tc>
      </w:tr>
      <w:tr w14:paraId="5E2E2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983" w:type="dxa"/>
            <w:gridSpan w:val="4"/>
            <w:noWrap w:val="0"/>
            <w:vAlign w:val="center"/>
          </w:tcPr>
          <w:p w14:paraId="43C04DA1">
            <w:pPr>
              <w:keepNext w:val="0"/>
              <w:keepLines w:val="0"/>
              <w:pageBreakBefore w:val="0"/>
              <w:widowControl w:val="0"/>
              <w:kinsoku/>
              <w:overflowPunct/>
              <w:topLinePunct w:val="0"/>
              <w:autoSpaceDE/>
              <w:autoSpaceDN/>
              <w:bidi w:val="0"/>
              <w:spacing w:line="440" w:lineRule="exact"/>
              <w:textAlignment w:val="auto"/>
              <w:rPr>
                <w:rFonts w:hint="eastAsia" w:ascii="宋体" w:hAnsi="宋体" w:eastAsia="宋体" w:cs="宋体"/>
                <w:color w:val="auto"/>
                <w:spacing w:val="-2"/>
                <w:sz w:val="21"/>
                <w:szCs w:val="21"/>
                <w:highlight w:val="none"/>
              </w:rPr>
            </w:pPr>
            <w:r>
              <w:rPr>
                <w:rFonts w:hint="eastAsia" w:ascii="宋体" w:hAnsi="宋体" w:eastAsia="宋体" w:cs="宋体"/>
                <w:b/>
                <w:color w:val="auto"/>
                <w:sz w:val="21"/>
                <w:szCs w:val="21"/>
                <w:highlight w:val="none"/>
              </w:rPr>
              <w:t>注：各评委得分的平均值为投标人</w:t>
            </w:r>
            <w:r>
              <w:rPr>
                <w:rFonts w:hint="eastAsia" w:ascii="宋体" w:hAnsi="宋体" w:eastAsia="宋体" w:cs="宋体"/>
                <w:b/>
                <w:color w:val="auto"/>
                <w:sz w:val="21"/>
                <w:szCs w:val="21"/>
                <w:highlight w:val="none"/>
                <w:lang w:val="en-US" w:eastAsia="zh-CN"/>
              </w:rPr>
              <w:t>技术</w:t>
            </w:r>
            <w:r>
              <w:rPr>
                <w:rFonts w:hint="eastAsia" w:ascii="宋体" w:hAnsi="宋体" w:eastAsia="宋体" w:cs="宋体"/>
                <w:b/>
                <w:color w:val="auto"/>
                <w:sz w:val="21"/>
                <w:szCs w:val="21"/>
                <w:highlight w:val="none"/>
              </w:rPr>
              <w:t>标得分，分值保留两位小数点。</w:t>
            </w:r>
          </w:p>
        </w:tc>
      </w:tr>
    </w:tbl>
    <w:p w14:paraId="32DE88BD">
      <w:pPr>
        <w:keepNext w:val="0"/>
        <w:keepLines w:val="0"/>
        <w:pageBreakBefore w:val="0"/>
        <w:widowControl w:val="0"/>
        <w:kinsoku/>
        <w:overflowPunct/>
        <w:topLinePunct w:val="0"/>
        <w:autoSpaceDE/>
        <w:autoSpaceDN/>
        <w:bidi w:val="0"/>
        <w:spacing w:line="440" w:lineRule="exact"/>
        <w:ind w:firstLine="210" w:firstLineChars="100"/>
        <w:textAlignment w:val="auto"/>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rPr>
        <w:t>6.</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商务标评审细则</w:t>
      </w:r>
      <w:r>
        <w:rPr>
          <w:rFonts w:hint="eastAsia" w:ascii="宋体" w:hAnsi="宋体" w:eastAsia="宋体" w:cs="宋体"/>
          <w:bCs/>
          <w:color w:val="auto"/>
          <w:sz w:val="21"/>
          <w:szCs w:val="21"/>
          <w:highlight w:val="none"/>
        </w:rPr>
        <w:t>（</w:t>
      </w:r>
      <w:r>
        <w:rPr>
          <w:rFonts w:hint="eastAsia" w:ascii="宋体" w:hAnsi="宋体" w:eastAsia="宋体" w:cs="宋体"/>
          <w:bCs/>
          <w:color w:val="auto"/>
          <w:sz w:val="21"/>
          <w:szCs w:val="21"/>
          <w:highlight w:val="none"/>
          <w:lang w:val="en-US" w:eastAsia="zh-CN"/>
        </w:rPr>
        <w:t>15</w:t>
      </w:r>
      <w:r>
        <w:rPr>
          <w:rFonts w:hint="eastAsia" w:ascii="宋体" w:hAnsi="宋体" w:eastAsia="宋体" w:cs="宋体"/>
          <w:bCs/>
          <w:color w:val="auto"/>
          <w:sz w:val="21"/>
          <w:szCs w:val="21"/>
          <w:highlight w:val="none"/>
        </w:rPr>
        <w:t>分）</w:t>
      </w:r>
    </w:p>
    <w:tbl>
      <w:tblPr>
        <w:tblStyle w:val="3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1273"/>
        <w:gridCol w:w="675"/>
        <w:gridCol w:w="7375"/>
      </w:tblGrid>
      <w:tr w14:paraId="350FD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15" w:type="dxa"/>
            <w:noWrap w:val="0"/>
            <w:vAlign w:val="center"/>
          </w:tcPr>
          <w:p w14:paraId="47BACDA1">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1273" w:type="dxa"/>
            <w:noWrap w:val="0"/>
            <w:vAlign w:val="center"/>
          </w:tcPr>
          <w:p w14:paraId="118FF166">
            <w:pPr>
              <w:keepNext w:val="0"/>
              <w:keepLines w:val="0"/>
              <w:pageBreakBefore w:val="0"/>
              <w:widowControl w:val="0"/>
              <w:kinsoku/>
              <w:overflowPunct/>
              <w:topLinePunct w:val="0"/>
              <w:autoSpaceDE/>
              <w:autoSpaceDN/>
              <w:bidi w:val="0"/>
              <w:spacing w:line="440" w:lineRule="exac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评分因素</w:t>
            </w:r>
          </w:p>
        </w:tc>
        <w:tc>
          <w:tcPr>
            <w:tcW w:w="675" w:type="dxa"/>
            <w:noWrap w:val="0"/>
            <w:vAlign w:val="center"/>
          </w:tcPr>
          <w:p w14:paraId="062B538B">
            <w:pPr>
              <w:keepNext w:val="0"/>
              <w:keepLines w:val="0"/>
              <w:pageBreakBefore w:val="0"/>
              <w:widowControl w:val="0"/>
              <w:kinsoku/>
              <w:overflowPunct/>
              <w:topLinePunct w:val="0"/>
              <w:autoSpaceDE/>
              <w:autoSpaceDN/>
              <w:bidi w:val="0"/>
              <w:spacing w:line="440" w:lineRule="exac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分值</w:t>
            </w:r>
          </w:p>
        </w:tc>
        <w:tc>
          <w:tcPr>
            <w:tcW w:w="7375" w:type="dxa"/>
            <w:noWrap w:val="0"/>
            <w:vAlign w:val="center"/>
          </w:tcPr>
          <w:p w14:paraId="11B1F11F">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评审细则</w:t>
            </w:r>
          </w:p>
        </w:tc>
      </w:tr>
      <w:tr w14:paraId="2DA40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715" w:type="dxa"/>
            <w:noWrap w:val="0"/>
            <w:vAlign w:val="center"/>
          </w:tcPr>
          <w:p w14:paraId="3A074C60">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273" w:type="dxa"/>
            <w:noWrap w:val="0"/>
            <w:vAlign w:val="center"/>
          </w:tcPr>
          <w:p w14:paraId="4EAA2590">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报价</w:t>
            </w:r>
          </w:p>
        </w:tc>
        <w:tc>
          <w:tcPr>
            <w:tcW w:w="675" w:type="dxa"/>
            <w:noWrap w:val="0"/>
            <w:vAlign w:val="center"/>
          </w:tcPr>
          <w:p w14:paraId="704DCE09">
            <w:pPr>
              <w:keepNext w:val="0"/>
              <w:keepLines w:val="0"/>
              <w:pageBreakBefore w:val="0"/>
              <w:widowControl w:val="0"/>
              <w:kinsoku/>
              <w:overflowPunct/>
              <w:topLinePunct w:val="0"/>
              <w:autoSpaceDE/>
              <w:autoSpaceDN/>
              <w:bidi w:val="0"/>
              <w:adjustRightInd w:val="0"/>
              <w:snapToGrid w:val="0"/>
              <w:spacing w:line="440" w:lineRule="exact"/>
              <w:jc w:val="center"/>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15</w:t>
            </w:r>
            <w:r>
              <w:rPr>
                <w:rFonts w:hint="eastAsia" w:ascii="宋体" w:hAnsi="宋体" w:eastAsia="宋体" w:cs="宋体"/>
                <w:bCs/>
                <w:color w:val="auto"/>
                <w:sz w:val="21"/>
                <w:szCs w:val="21"/>
                <w:highlight w:val="none"/>
              </w:rPr>
              <w:t>分</w:t>
            </w:r>
          </w:p>
        </w:tc>
        <w:tc>
          <w:tcPr>
            <w:tcW w:w="7375" w:type="dxa"/>
            <w:noWrap w:val="0"/>
            <w:vAlign w:val="center"/>
          </w:tcPr>
          <w:p w14:paraId="2CC042A9">
            <w:pPr>
              <w:keepNext w:val="0"/>
              <w:keepLines w:val="0"/>
              <w:pageBreakBefore w:val="0"/>
              <w:widowControl w:val="0"/>
              <w:tabs>
                <w:tab w:val="left" w:pos="1080"/>
              </w:tabs>
              <w:kinsoku/>
              <w:wordWrap w:val="0"/>
              <w:overflowPunct/>
              <w:topLinePunct w:val="0"/>
              <w:autoSpaceDE/>
              <w:autoSpaceDN/>
              <w:bidi w:val="0"/>
              <w:spacing w:line="440" w:lineRule="exact"/>
              <w:ind w:right="105" w:firstLine="21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r>
              <w:rPr>
                <w:rFonts w:hint="eastAsia" w:ascii="宋体" w:hAnsi="宋体" w:cs="宋体"/>
                <w:color w:val="auto"/>
                <w:sz w:val="21"/>
                <w:szCs w:val="21"/>
                <w:highlight w:val="none"/>
                <w:lang w:eastAsia="zh-CN"/>
              </w:rPr>
              <w:t>招标人</w:t>
            </w:r>
            <w:r>
              <w:rPr>
                <w:rFonts w:hint="eastAsia" w:ascii="宋体" w:hAnsi="宋体" w:eastAsia="宋体" w:cs="宋体"/>
                <w:color w:val="auto"/>
                <w:sz w:val="21"/>
                <w:szCs w:val="21"/>
                <w:highlight w:val="none"/>
              </w:rPr>
              <w:t>设置投标报价最高限价，各投标人有效报价不得高于最高限价，否则，其投标文件按无效标处理。</w:t>
            </w:r>
          </w:p>
          <w:p w14:paraId="53BEB303">
            <w:pPr>
              <w:keepNext w:val="0"/>
              <w:keepLines w:val="0"/>
              <w:pageBreakBefore w:val="0"/>
              <w:widowControl w:val="0"/>
              <w:tabs>
                <w:tab w:val="left" w:pos="1080"/>
              </w:tabs>
              <w:kinsoku/>
              <w:overflowPunct/>
              <w:topLinePunct w:val="0"/>
              <w:autoSpaceDE/>
              <w:autoSpaceDN/>
              <w:bidi w:val="0"/>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选聘</w:t>
            </w:r>
            <w:r>
              <w:rPr>
                <w:rFonts w:hint="eastAsia" w:ascii="宋体" w:hAnsi="宋体" w:eastAsia="宋体" w:cs="宋体"/>
                <w:color w:val="auto"/>
                <w:sz w:val="21"/>
                <w:szCs w:val="21"/>
                <w:highlight w:val="none"/>
              </w:rPr>
              <w:t>基准价=</w:t>
            </w:r>
            <w:r>
              <w:rPr>
                <w:rFonts w:hint="eastAsia" w:ascii="宋体" w:hAnsi="宋体" w:eastAsia="宋体" w:cs="宋体"/>
                <w:color w:val="auto"/>
                <w:sz w:val="21"/>
                <w:szCs w:val="21"/>
                <w:highlight w:val="none"/>
                <w:lang w:val="en-US" w:eastAsia="zh-CN"/>
              </w:rPr>
              <w:t>满足招标文件要求的所有有效投标人报价的平均值</w:t>
            </w:r>
            <w:r>
              <w:rPr>
                <w:rFonts w:hint="eastAsia" w:ascii="宋体" w:hAnsi="宋体" w:eastAsia="宋体" w:cs="宋体"/>
                <w:color w:val="auto"/>
                <w:sz w:val="21"/>
                <w:szCs w:val="21"/>
                <w:highlight w:val="none"/>
              </w:rPr>
              <w:t>；</w:t>
            </w:r>
          </w:p>
          <w:p w14:paraId="3511037F">
            <w:pPr>
              <w:keepNext w:val="0"/>
              <w:keepLines w:val="0"/>
              <w:pageBreakBefore w:val="0"/>
              <w:widowControl w:val="0"/>
              <w:tabs>
                <w:tab w:val="left" w:pos="1080"/>
              </w:tabs>
              <w:kinsoku/>
              <w:overflowPunct/>
              <w:topLinePunct w:val="0"/>
              <w:autoSpaceDE/>
              <w:autoSpaceDN/>
              <w:bidi w:val="0"/>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.其它报价得分=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1-∣选聘基准价-审计费用报价∣/选聘基准价）*15</w:t>
            </w:r>
          </w:p>
          <w:p w14:paraId="69A63545">
            <w:pPr>
              <w:keepNext w:val="0"/>
              <w:keepLines w:val="0"/>
              <w:pageBreakBefore w:val="0"/>
              <w:widowControl w:val="0"/>
              <w:tabs>
                <w:tab w:val="left" w:pos="1080"/>
              </w:tabs>
              <w:kinsoku/>
              <w:overflowPunct/>
              <w:topLinePunct w:val="0"/>
              <w:autoSpaceDE/>
              <w:autoSpaceDN/>
              <w:bidi w:val="0"/>
              <w:spacing w:line="44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.本项分值由评标委员会负责组织计算。分数保留两位小数点，第三位四舍五</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入。</w:t>
            </w:r>
          </w:p>
        </w:tc>
      </w:tr>
    </w:tbl>
    <w:p w14:paraId="2EC28E16">
      <w:pPr>
        <w:spacing w:line="440" w:lineRule="exact"/>
        <w:ind w:firstLine="422" w:firstLineChars="200"/>
        <w:jc w:val="left"/>
        <w:rPr>
          <w:rFonts w:hint="eastAsia" w:ascii="宋体" w:cs="宋体"/>
          <w:b/>
          <w:color w:val="auto"/>
          <w:szCs w:val="21"/>
          <w:highlight w:val="none"/>
        </w:rPr>
      </w:pPr>
      <w:r>
        <w:rPr>
          <w:rFonts w:hint="eastAsia" w:ascii="宋体" w:cs="宋体"/>
          <w:b/>
          <w:color w:val="auto"/>
          <w:szCs w:val="21"/>
          <w:highlight w:val="none"/>
        </w:rPr>
        <w:t>特别说明：</w:t>
      </w:r>
    </w:p>
    <w:p w14:paraId="50008BB2">
      <w:pPr>
        <w:pStyle w:val="2"/>
        <w:rPr>
          <w:rFonts w:hint="eastAsia"/>
          <w:color w:val="auto"/>
          <w:highlight w:val="none"/>
        </w:rPr>
      </w:pPr>
    </w:p>
    <w:p w14:paraId="52B0B41F">
      <w:pPr>
        <w:spacing w:line="440" w:lineRule="exact"/>
        <w:ind w:left="-420" w:leftChars="-200" w:firstLine="420" w:firstLineChars="200"/>
        <w:jc w:val="left"/>
        <w:rPr>
          <w:rFonts w:hint="eastAsia"/>
          <w:b w:val="0"/>
          <w:bCs/>
          <w:color w:val="auto"/>
          <w:szCs w:val="21"/>
          <w:highlight w:val="none"/>
        </w:rPr>
      </w:pPr>
      <w:r>
        <w:rPr>
          <w:rFonts w:hint="eastAsia"/>
          <w:b w:val="0"/>
          <w:bCs/>
          <w:color w:val="auto"/>
          <w:szCs w:val="21"/>
          <w:highlight w:val="none"/>
          <w:lang w:val="en-US" w:eastAsia="zh-CN"/>
        </w:rPr>
        <w:t>1、</w:t>
      </w:r>
      <w:r>
        <w:rPr>
          <w:rFonts w:hint="eastAsia"/>
          <w:b w:val="0"/>
          <w:bCs/>
          <w:color w:val="auto"/>
          <w:szCs w:val="21"/>
          <w:highlight w:val="none"/>
        </w:rPr>
        <w:t>评标专家检验电子投标文件的上述材料，如果由于投标人自身原因导致评标专家无法查看并检验电子投标文件中以上相关资料的，后果由投标人自行承担。</w:t>
      </w:r>
    </w:p>
    <w:p w14:paraId="114C68E2">
      <w:pPr>
        <w:spacing w:line="440" w:lineRule="exact"/>
        <w:ind w:left="-420" w:leftChars="-200" w:firstLine="420" w:firstLineChars="200"/>
        <w:jc w:val="left"/>
        <w:rPr>
          <w:rFonts w:hint="eastAsia"/>
          <w:b w:val="0"/>
          <w:bCs/>
          <w:color w:val="auto"/>
          <w:szCs w:val="21"/>
          <w:highlight w:val="none"/>
        </w:rPr>
      </w:pPr>
      <w:r>
        <w:rPr>
          <w:rFonts w:hint="eastAsia"/>
          <w:b w:val="0"/>
          <w:bCs/>
          <w:color w:val="auto"/>
          <w:szCs w:val="21"/>
          <w:highlight w:val="none"/>
          <w:lang w:val="en-US" w:eastAsia="zh-CN"/>
        </w:rPr>
        <w:t>2、</w:t>
      </w:r>
      <w:r>
        <w:rPr>
          <w:rFonts w:hint="eastAsia"/>
          <w:b w:val="0"/>
          <w:bCs/>
          <w:color w:val="auto"/>
          <w:szCs w:val="21"/>
          <w:highlight w:val="none"/>
        </w:rPr>
        <w:t>以上分值均保留二位小数，小数点后第三位四舍五入。</w:t>
      </w:r>
      <w:bookmarkStart w:id="60" w:name="_Toc449028881"/>
    </w:p>
    <w:p w14:paraId="0205976C">
      <w:pPr>
        <w:jc w:val="center"/>
        <w:outlineLvl w:val="1"/>
        <w:rPr>
          <w:rFonts w:hint="eastAsia" w:ascii="宋体" w:hAnsi="Times New Roman" w:eastAsia="宋体" w:cs="Times New Roman"/>
          <w:b/>
          <w:color w:val="auto"/>
          <w:sz w:val="28"/>
          <w:szCs w:val="28"/>
          <w:highlight w:val="none"/>
        </w:rPr>
      </w:pPr>
      <w:bookmarkStart w:id="61" w:name="_Toc58430321"/>
      <w:r>
        <w:rPr>
          <w:rFonts w:hint="eastAsia" w:ascii="宋体" w:hAnsi="Times New Roman" w:eastAsia="宋体" w:cs="Times New Roman"/>
          <w:b/>
          <w:color w:val="auto"/>
          <w:sz w:val="28"/>
          <w:szCs w:val="28"/>
          <w:highlight w:val="none"/>
        </w:rPr>
        <w:t>五、推荐中标候选人</w:t>
      </w:r>
      <w:bookmarkEnd w:id="59"/>
      <w:bookmarkEnd w:id="60"/>
      <w:bookmarkEnd w:id="61"/>
    </w:p>
    <w:bookmarkEnd w:id="49"/>
    <w:p w14:paraId="2B852E1E">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7.评标委员会按资信</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技术</w:t>
      </w:r>
      <w:r>
        <w:rPr>
          <w:rFonts w:hint="eastAsia" w:ascii="宋体" w:hAnsi="宋体" w:cs="宋体"/>
          <w:color w:val="auto"/>
          <w:szCs w:val="21"/>
          <w:highlight w:val="none"/>
        </w:rPr>
        <w:t>和商务得分之和，从高到低按顺序，根据第二章投标人须知及前附表的规定数量推荐中标候选人。</w:t>
      </w:r>
    </w:p>
    <w:p w14:paraId="380C4B3B">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7.1得分相同的，按投标报价由低到高顺序排列。得分且报价相同的并列，由</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现场采取随机摇号的方式确定中标候选人。</w:t>
      </w:r>
    </w:p>
    <w:p w14:paraId="4657B1EE">
      <w:pPr>
        <w:snapToGrid w:val="0"/>
        <w:spacing w:line="440" w:lineRule="exact"/>
        <w:ind w:left="0" w:leftChars="0" w:firstLine="0" w:firstLineChars="0"/>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8. </w:t>
      </w:r>
      <w:bookmarkStart w:id="62" w:name="_Hlk61815781"/>
      <w:r>
        <w:rPr>
          <w:rFonts w:hint="eastAsia" w:ascii="宋体" w:hAnsi="宋体" w:cs="宋体"/>
          <w:b/>
          <w:color w:val="auto"/>
          <w:szCs w:val="21"/>
          <w:highlight w:val="none"/>
        </w:rPr>
        <w:t>无效投标条款</w:t>
      </w:r>
    </w:p>
    <w:p w14:paraId="2EDF0DDD">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8.1投标文件有下列情形之一的,其投标文件拒收:</w:t>
      </w:r>
    </w:p>
    <w:p w14:paraId="323FBB3B">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 xml:space="preserve"> (1) 未在开标截止时间前递交有效投标文件的，投标将被拒绝。</w:t>
      </w:r>
    </w:p>
    <w:p w14:paraId="2B16E415">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8.2投标人有下列情形之一的,资格审查后其投标作无效投标处理：</w:t>
      </w:r>
    </w:p>
    <w:p w14:paraId="763108BE">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(1)投标人为本项目提供招标代理服务的；</w:t>
      </w:r>
    </w:p>
    <w:p w14:paraId="0B9AA11C">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(2)投标人与在本项目代理机构存在相互任职或工作的；</w:t>
      </w:r>
    </w:p>
    <w:p w14:paraId="28A264ED">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 评标专家无法查看并检验投标文件中相关资料的；</w:t>
      </w:r>
    </w:p>
    <w:p w14:paraId="6886830C">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)被暂停营业的；</w:t>
      </w:r>
    </w:p>
    <w:p w14:paraId="35B213EC">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)被暂停或取消投标资格的；</w:t>
      </w:r>
    </w:p>
    <w:p w14:paraId="0C3211BA">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)投标人单位负责人为同一人或者存在</w:t>
      </w:r>
      <w:r>
        <w:rPr>
          <w:rFonts w:hint="eastAsia" w:ascii="宋体" w:hAnsi="宋体" w:cs="宋体"/>
          <w:color w:val="auto"/>
          <w:szCs w:val="21"/>
          <w:highlight w:val="none"/>
          <w:lang w:val="en-US" w:eastAsia="zh-CN"/>
        </w:rPr>
        <w:t>直接</w:t>
      </w:r>
      <w:r>
        <w:rPr>
          <w:rFonts w:hint="eastAsia" w:ascii="宋体" w:hAnsi="宋体" w:cs="宋体"/>
          <w:color w:val="auto"/>
          <w:szCs w:val="21"/>
          <w:highlight w:val="none"/>
        </w:rPr>
        <w:t>控股、管理关系的不同单位的；</w:t>
      </w:r>
    </w:p>
    <w:p w14:paraId="36FB25C3">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)投标人基本资格条件和特定资格条件中有一项及以上不符合要求的；</w:t>
      </w:r>
    </w:p>
    <w:p w14:paraId="163A074D">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)其它情形，经评标委员会委提出按无效投标处理的；</w:t>
      </w:r>
    </w:p>
    <w:p w14:paraId="51F06073">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（9</w:t>
      </w:r>
      <w:r>
        <w:rPr>
          <w:rFonts w:hint="eastAsia" w:ascii="宋体" w:hAnsi="宋体" w:cs="宋体"/>
          <w:color w:val="auto"/>
          <w:szCs w:val="21"/>
          <w:highlight w:val="none"/>
        </w:rPr>
        <w:t>)招标文件规定的其它无效投标情形。</w:t>
      </w:r>
    </w:p>
    <w:p w14:paraId="3321C713">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 xml:space="preserve"> 8.3 投标人有下列情形之一的,符合性审查后其投标按无效投标处理：</w:t>
      </w:r>
    </w:p>
    <w:p w14:paraId="649CDCFB">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(1)投标文件签字、盖章不全，经评标委员会一致认定对开评标内容有实质性影响的；</w:t>
      </w:r>
    </w:p>
    <w:p w14:paraId="04529FDF">
      <w:pPr>
        <w:snapToGrid w:val="0"/>
        <w:spacing w:line="440" w:lineRule="exact"/>
        <w:ind w:left="0" w:leftChars="0" w:firstLine="0" w:firstLineChars="0"/>
        <w:jc w:val="left"/>
        <w:rPr>
          <w:rFonts w:hint="eastAsia" w:ascii="宋体"/>
          <w:color w:val="auto"/>
          <w:szCs w:val="21"/>
          <w:highlight w:val="none"/>
        </w:rPr>
      </w:pPr>
      <w:r>
        <w:rPr>
          <w:rFonts w:hint="eastAsia" w:ascii="宋体" w:hAnsi="宋体" w:cs="宋体"/>
          <w:color w:val="auto"/>
          <w:szCs w:val="21"/>
          <w:highlight w:val="none"/>
        </w:rPr>
        <w:t>(2)</w:t>
      </w:r>
      <w:r>
        <w:rPr>
          <w:rFonts w:hint="eastAsia" w:ascii="宋体"/>
          <w:color w:val="auto"/>
          <w:szCs w:val="21"/>
          <w:highlight w:val="none"/>
        </w:rPr>
        <w:t>未按规定的格式填写导致实质性内容不全以及实质上不响应，或者关键字迹模糊、无法辨认；</w:t>
      </w:r>
    </w:p>
    <w:p w14:paraId="1C87FB3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(3)同一投标人提交两个以上不同的投标文件或者投标报价，但招标文件规定提交备选方案的除外；</w:t>
      </w:r>
    </w:p>
    <w:p w14:paraId="0FD8188E">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(4)投标文件没有对招标文件的实质性要求和条件作出响应;</w:t>
      </w:r>
    </w:p>
    <w:p w14:paraId="0294CCB4">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(5)投标报价超出规定的投标限价或公布的采购预算的；</w:t>
      </w:r>
    </w:p>
    <w:p w14:paraId="7400BC72">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(6)不按评标委员会要求澄清、说明或补正的，或者评标委员会根据招标文件的规定对招标文件的计算错误进行修正后，投标人不接受修正的投标报价的。</w:t>
      </w:r>
    </w:p>
    <w:p w14:paraId="758FFADC">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(7)其它情形，经评标委员会委提出按无效投标处理的；</w:t>
      </w:r>
    </w:p>
    <w:p w14:paraId="7634DFEF">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(8)投标文件含有</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不能接受的附加条件的；</w:t>
      </w:r>
    </w:p>
    <w:p w14:paraId="25CA932A">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(9)招标文件规定的其它无效投标情形。</w:t>
      </w:r>
    </w:p>
    <w:p w14:paraId="4A95908E">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8.4 投标人有下列情形之一的, 详细评审后其投标按无效投标处理：</w:t>
      </w:r>
    </w:p>
    <w:p w14:paraId="7B68CF4F">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(1)投标产品不符合必须强制执行的国家标准的；</w:t>
      </w:r>
    </w:p>
    <w:p w14:paraId="56AC25A4">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(2)投标人有串通投标、弄虚作假、行贿等违法行为；</w:t>
      </w:r>
    </w:p>
    <w:p w14:paraId="6E467EB1">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(3)投标文件含有违反国家法律、法规的内容，或附有</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不能接受的条件的；</w:t>
      </w:r>
    </w:p>
    <w:p w14:paraId="77E4555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)报价明显低于其他投标人，且不能证明报价合理性的投标无效；</w:t>
      </w:r>
    </w:p>
    <w:p w14:paraId="26736D0F">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)拒不确认评标委员会评审修正的投标无效；</w:t>
      </w:r>
    </w:p>
    <w:p w14:paraId="7E0681CA">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)其它情形，经评标委员会委提出按无效投标处理的；</w:t>
      </w:r>
    </w:p>
    <w:p w14:paraId="6716A221">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)招标文件规定的其它无效投标情形。</w:t>
      </w:r>
    </w:p>
    <w:bookmarkEnd w:id="62"/>
    <w:p w14:paraId="7E8B1677">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jc w:val="center"/>
        <w:textAlignment w:val="auto"/>
        <w:rPr>
          <w:rFonts w:hint="eastAsia" w:ascii="宋体"/>
          <w:b/>
          <w:color w:val="auto"/>
          <w:sz w:val="32"/>
          <w:szCs w:val="32"/>
          <w:highlight w:val="none"/>
        </w:rPr>
      </w:pPr>
      <w:bookmarkStart w:id="63" w:name="_Toc58430328"/>
      <w:r>
        <w:rPr>
          <w:rFonts w:hint="eastAsia" w:ascii="宋体"/>
          <w:b/>
          <w:color w:val="auto"/>
          <w:sz w:val="32"/>
          <w:szCs w:val="32"/>
          <w:highlight w:val="none"/>
        </w:rPr>
        <w:br w:type="page"/>
      </w:r>
      <w:r>
        <w:rPr>
          <w:rFonts w:hint="eastAsia" w:ascii="宋体" w:hAnsi="Times New Roman" w:eastAsia="宋体" w:cs="Times New Roman"/>
          <w:b/>
          <w:color w:val="auto"/>
          <w:sz w:val="32"/>
          <w:szCs w:val="32"/>
          <w:highlight w:val="none"/>
        </w:rPr>
        <w:t>第四章  采购需求</w:t>
      </w:r>
    </w:p>
    <w:bookmarkEnd w:id="50"/>
    <w:bookmarkEnd w:id="63"/>
    <w:p w14:paraId="5E89E09F">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default" w:ascii="宋体" w:hAnsi="Times New Roman" w:cs="Times New Roman"/>
          <w:b w:val="0"/>
          <w:bCs/>
          <w:color w:val="auto"/>
          <w:sz w:val="24"/>
          <w:szCs w:val="24"/>
          <w:highlight w:val="none"/>
          <w:lang w:val="en-US" w:eastAsia="zh-CN"/>
        </w:rPr>
      </w:pPr>
      <w:bookmarkStart w:id="64" w:name="_Toc449028945"/>
      <w:bookmarkStart w:id="65" w:name="_Toc58430329"/>
      <w:r>
        <w:rPr>
          <w:rFonts w:hint="eastAsia" w:ascii="宋体" w:hAnsi="Times New Roman" w:cs="Times New Roman"/>
          <w:b w:val="0"/>
          <w:bCs/>
          <w:color w:val="auto"/>
          <w:sz w:val="24"/>
          <w:szCs w:val="24"/>
          <w:highlight w:val="none"/>
          <w:lang w:val="en-US" w:eastAsia="zh-CN"/>
        </w:rPr>
        <w:t>对招标人参股企业开展审计，参股企业明细如下，具体财务数据待中标后以招标人及被审计单位提供数据为准。</w:t>
      </w:r>
    </w:p>
    <w:tbl>
      <w:tblPr>
        <w:tblStyle w:val="37"/>
        <w:tblW w:w="10305" w:type="dxa"/>
        <w:tblInd w:w="-86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461"/>
        <w:gridCol w:w="2310"/>
        <w:gridCol w:w="2895"/>
        <w:gridCol w:w="2639"/>
      </w:tblGrid>
      <w:tr w14:paraId="6CCF34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3ACCD">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审计主体</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3EDB1">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经营情况</w:t>
            </w:r>
          </w:p>
        </w:tc>
        <w:tc>
          <w:tcPr>
            <w:tcW w:w="2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AEFB1">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财务概况</w:t>
            </w:r>
          </w:p>
        </w:tc>
        <w:tc>
          <w:tcPr>
            <w:tcW w:w="2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E41F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审计重点</w:t>
            </w:r>
          </w:p>
        </w:tc>
      </w:tr>
      <w:tr w14:paraId="488B2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2461" w:type="dxa"/>
            <w:tcBorders>
              <w:top w:val="single" w:color="000000" w:sz="4" w:space="0"/>
              <w:left w:val="single" w:color="000000" w:sz="4" w:space="0"/>
              <w:right w:val="single" w:color="000000" w:sz="4" w:space="0"/>
            </w:tcBorders>
            <w:shd w:val="clear" w:color="auto" w:fill="auto"/>
            <w:noWrap/>
            <w:vAlign w:val="center"/>
          </w:tcPr>
          <w:p w14:paraId="246130AC">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滁州滁能热电有限公司及其子公司滁州洁能热力有限公司</w:t>
            </w:r>
          </w:p>
        </w:tc>
        <w:tc>
          <w:tcPr>
            <w:tcW w:w="2310" w:type="dxa"/>
            <w:tcBorders>
              <w:top w:val="single" w:color="000000" w:sz="4" w:space="0"/>
              <w:left w:val="single" w:color="000000" w:sz="4" w:space="0"/>
              <w:right w:val="single" w:color="000000" w:sz="4" w:space="0"/>
            </w:tcBorders>
            <w:shd w:val="clear" w:color="auto" w:fill="auto"/>
            <w:noWrap/>
            <w:vAlign w:val="center"/>
          </w:tcPr>
          <w:p w14:paraId="7BD23A6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正常运营</w:t>
            </w:r>
          </w:p>
        </w:tc>
        <w:tc>
          <w:tcPr>
            <w:tcW w:w="2895" w:type="dxa"/>
            <w:tcBorders>
              <w:top w:val="single" w:color="000000" w:sz="4" w:space="0"/>
              <w:left w:val="single" w:color="000000" w:sz="4" w:space="0"/>
              <w:right w:val="single" w:color="000000" w:sz="4" w:space="0"/>
            </w:tcBorders>
            <w:shd w:val="clear" w:color="auto" w:fill="auto"/>
            <w:vAlign w:val="center"/>
          </w:tcPr>
          <w:p w14:paraId="08DFF5C4">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滁能热电公司2024年收入约4.3亿元</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每月约80本凭证</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洁能热力</w:t>
            </w:r>
            <w:r>
              <w:rPr>
                <w:rFonts w:hint="eastAsia" w:ascii="宋体" w:hAnsi="宋体" w:cs="宋体"/>
                <w:i w:val="0"/>
                <w:iCs w:val="0"/>
                <w:color w:val="auto"/>
                <w:kern w:val="0"/>
                <w:sz w:val="21"/>
                <w:szCs w:val="21"/>
                <w:highlight w:val="none"/>
                <w:u w:val="none"/>
                <w:lang w:val="en-US" w:eastAsia="zh-CN" w:bidi="ar"/>
              </w:rPr>
              <w:t>公司</w:t>
            </w:r>
            <w:r>
              <w:rPr>
                <w:rFonts w:hint="eastAsia" w:ascii="宋体" w:hAnsi="宋体" w:eastAsia="宋体" w:cs="宋体"/>
                <w:i w:val="0"/>
                <w:iCs w:val="0"/>
                <w:color w:val="auto"/>
                <w:kern w:val="0"/>
                <w:sz w:val="21"/>
                <w:szCs w:val="21"/>
                <w:highlight w:val="none"/>
                <w:u w:val="none"/>
                <w:lang w:val="en-US" w:eastAsia="zh-CN" w:bidi="ar"/>
              </w:rPr>
              <w:t>2024年收入</w:t>
            </w:r>
            <w:r>
              <w:rPr>
                <w:rFonts w:hint="eastAsia" w:ascii="宋体" w:hAnsi="宋体" w:cs="宋体"/>
                <w:i w:val="0"/>
                <w:iCs w:val="0"/>
                <w:color w:val="auto"/>
                <w:kern w:val="0"/>
                <w:sz w:val="21"/>
                <w:szCs w:val="21"/>
                <w:highlight w:val="none"/>
                <w:u w:val="none"/>
                <w:lang w:val="en-US" w:eastAsia="zh-CN" w:bidi="ar"/>
              </w:rPr>
              <w:t>约</w:t>
            </w:r>
            <w:r>
              <w:rPr>
                <w:rFonts w:hint="eastAsia" w:ascii="宋体" w:hAnsi="宋体" w:eastAsia="宋体" w:cs="宋体"/>
                <w:i w:val="0"/>
                <w:iCs w:val="0"/>
                <w:color w:val="auto"/>
                <w:kern w:val="0"/>
                <w:sz w:val="21"/>
                <w:szCs w:val="21"/>
                <w:highlight w:val="none"/>
                <w:u w:val="none"/>
                <w:lang w:val="en-US" w:eastAsia="zh-CN" w:bidi="ar"/>
              </w:rPr>
              <w:t>7500万元</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每月约1本凭证</w:t>
            </w:r>
            <w:r>
              <w:rPr>
                <w:rFonts w:hint="eastAsia" w:ascii="宋体" w:hAnsi="宋体" w:cs="宋体"/>
                <w:i w:val="0"/>
                <w:iCs w:val="0"/>
                <w:color w:val="auto"/>
                <w:kern w:val="0"/>
                <w:sz w:val="21"/>
                <w:szCs w:val="21"/>
                <w:highlight w:val="none"/>
                <w:u w:val="none"/>
                <w:lang w:val="en-US" w:eastAsia="zh-CN" w:bidi="ar"/>
              </w:rPr>
              <w:t>。</w:t>
            </w:r>
          </w:p>
        </w:tc>
        <w:tc>
          <w:tcPr>
            <w:tcW w:w="2639" w:type="dxa"/>
            <w:vMerge w:val="restart"/>
            <w:tcBorders>
              <w:top w:val="single" w:color="000000" w:sz="4" w:space="0"/>
              <w:left w:val="single" w:color="000000" w:sz="4" w:space="0"/>
              <w:right w:val="single" w:color="000000" w:sz="4" w:space="0"/>
            </w:tcBorders>
            <w:shd w:val="clear" w:color="auto" w:fill="auto"/>
            <w:vAlign w:val="center"/>
          </w:tcPr>
          <w:p w14:paraId="31D4EE74">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一、关注</w:t>
            </w:r>
            <w:r>
              <w:rPr>
                <w:rFonts w:hint="eastAsia" w:ascii="宋体" w:hAnsi="宋体" w:cs="宋体"/>
                <w:i w:val="0"/>
                <w:iCs w:val="0"/>
                <w:color w:val="auto"/>
                <w:kern w:val="0"/>
                <w:sz w:val="21"/>
                <w:szCs w:val="21"/>
                <w:highlight w:val="none"/>
                <w:u w:val="none"/>
                <w:lang w:val="en-US" w:eastAsia="zh-CN" w:bidi="ar"/>
              </w:rPr>
              <w:t>被审计单位</w:t>
            </w:r>
            <w:r>
              <w:rPr>
                <w:rFonts w:hint="eastAsia" w:ascii="宋体" w:hAnsi="宋体" w:eastAsia="宋体" w:cs="宋体"/>
                <w:i w:val="0"/>
                <w:iCs w:val="0"/>
                <w:color w:val="auto"/>
                <w:kern w:val="0"/>
                <w:sz w:val="21"/>
                <w:szCs w:val="21"/>
                <w:highlight w:val="none"/>
                <w:u w:val="none"/>
                <w:lang w:val="en-US" w:eastAsia="zh-CN" w:bidi="ar"/>
              </w:rPr>
              <w:t>重要固定资产投资的情况，</w:t>
            </w:r>
            <w:r>
              <w:rPr>
                <w:rFonts w:hint="eastAsia" w:ascii="宋体" w:hAnsi="宋体" w:cs="宋体"/>
                <w:i w:val="0"/>
                <w:iCs w:val="0"/>
                <w:color w:val="auto"/>
                <w:kern w:val="0"/>
                <w:sz w:val="21"/>
                <w:szCs w:val="21"/>
                <w:highlight w:val="none"/>
                <w:u w:val="none"/>
                <w:lang w:val="en-US" w:eastAsia="zh-CN" w:bidi="ar"/>
              </w:rPr>
              <w:t>招标采购</w:t>
            </w:r>
            <w:r>
              <w:rPr>
                <w:rFonts w:hint="eastAsia" w:ascii="宋体" w:hAnsi="宋体" w:eastAsia="宋体" w:cs="宋体"/>
                <w:i w:val="0"/>
                <w:iCs w:val="0"/>
                <w:color w:val="auto"/>
                <w:kern w:val="0"/>
                <w:sz w:val="21"/>
                <w:szCs w:val="21"/>
                <w:highlight w:val="none"/>
                <w:u w:val="none"/>
                <w:lang w:val="en-US" w:eastAsia="zh-CN" w:bidi="ar"/>
              </w:rPr>
              <w:t>情况及入账的</w:t>
            </w:r>
            <w:r>
              <w:rPr>
                <w:rFonts w:hint="eastAsia" w:ascii="宋体" w:hAnsi="宋体" w:cs="宋体"/>
                <w:i w:val="0"/>
                <w:iCs w:val="0"/>
                <w:color w:val="auto"/>
                <w:kern w:val="0"/>
                <w:sz w:val="21"/>
                <w:szCs w:val="21"/>
                <w:highlight w:val="none"/>
                <w:u w:val="none"/>
                <w:lang w:val="en-US" w:eastAsia="zh-CN" w:bidi="ar"/>
              </w:rPr>
              <w:t>及时性、</w:t>
            </w:r>
            <w:r>
              <w:rPr>
                <w:rFonts w:hint="eastAsia" w:ascii="宋体" w:hAnsi="宋体" w:eastAsia="宋体" w:cs="宋体"/>
                <w:i w:val="0"/>
                <w:iCs w:val="0"/>
                <w:color w:val="auto"/>
                <w:kern w:val="0"/>
                <w:sz w:val="21"/>
                <w:szCs w:val="21"/>
                <w:highlight w:val="none"/>
                <w:u w:val="none"/>
                <w:lang w:val="en-US" w:eastAsia="zh-CN" w:bidi="ar"/>
              </w:rPr>
              <w:t>真实性；二、关注</w:t>
            </w:r>
            <w:r>
              <w:rPr>
                <w:rFonts w:hint="eastAsia" w:ascii="宋体" w:hAnsi="宋体" w:cs="宋体"/>
                <w:i w:val="0"/>
                <w:iCs w:val="0"/>
                <w:color w:val="auto"/>
                <w:kern w:val="0"/>
                <w:sz w:val="21"/>
                <w:szCs w:val="21"/>
                <w:highlight w:val="none"/>
                <w:u w:val="none"/>
                <w:lang w:val="en-US" w:eastAsia="zh-CN" w:bidi="ar"/>
              </w:rPr>
              <w:t>被审计单位收入</w:t>
            </w:r>
            <w:r>
              <w:rPr>
                <w:rFonts w:hint="eastAsia" w:ascii="宋体" w:hAnsi="宋体" w:eastAsia="宋体" w:cs="宋体"/>
                <w:i w:val="0"/>
                <w:iCs w:val="0"/>
                <w:color w:val="auto"/>
                <w:kern w:val="0"/>
                <w:sz w:val="21"/>
                <w:szCs w:val="21"/>
                <w:highlight w:val="none"/>
                <w:u w:val="none"/>
                <w:lang w:val="en-US" w:eastAsia="zh-CN" w:bidi="ar"/>
              </w:rPr>
              <w:t>成本</w:t>
            </w:r>
            <w:r>
              <w:rPr>
                <w:rFonts w:hint="eastAsia" w:ascii="宋体" w:hAnsi="宋体" w:cs="宋体"/>
                <w:i w:val="0"/>
                <w:iCs w:val="0"/>
                <w:color w:val="auto"/>
                <w:kern w:val="0"/>
                <w:sz w:val="21"/>
                <w:szCs w:val="21"/>
                <w:highlight w:val="none"/>
                <w:u w:val="none"/>
                <w:lang w:val="en-US" w:eastAsia="zh-CN" w:bidi="ar"/>
              </w:rPr>
              <w:t>的</w:t>
            </w:r>
            <w:r>
              <w:rPr>
                <w:rFonts w:hint="eastAsia" w:ascii="宋体" w:hAnsi="宋体" w:eastAsia="宋体" w:cs="宋体"/>
                <w:i w:val="0"/>
                <w:iCs w:val="0"/>
                <w:color w:val="auto"/>
                <w:kern w:val="0"/>
                <w:sz w:val="21"/>
                <w:szCs w:val="21"/>
                <w:highlight w:val="none"/>
                <w:u w:val="none"/>
                <w:lang w:val="en-US" w:eastAsia="zh-CN" w:bidi="ar"/>
              </w:rPr>
              <w:t>真实性</w:t>
            </w:r>
            <w:r>
              <w:rPr>
                <w:rFonts w:hint="eastAsia" w:ascii="宋体" w:hAnsi="宋体" w:cs="宋体"/>
                <w:i w:val="0"/>
                <w:iCs w:val="0"/>
                <w:color w:val="auto"/>
                <w:kern w:val="0"/>
                <w:sz w:val="21"/>
                <w:szCs w:val="21"/>
                <w:highlight w:val="none"/>
                <w:u w:val="none"/>
                <w:lang w:val="en-US" w:eastAsia="zh-CN" w:bidi="ar"/>
              </w:rPr>
              <w:t>和完整性，关注毛利率波动、关注</w:t>
            </w:r>
            <w:r>
              <w:rPr>
                <w:rFonts w:hint="eastAsia" w:ascii="宋体" w:hAnsi="宋体" w:eastAsia="宋体" w:cs="宋体"/>
                <w:i w:val="0"/>
                <w:iCs w:val="0"/>
                <w:color w:val="auto"/>
                <w:kern w:val="0"/>
                <w:sz w:val="21"/>
                <w:szCs w:val="21"/>
                <w:highlight w:val="none"/>
                <w:u w:val="none"/>
                <w:lang w:val="en-US" w:eastAsia="zh-CN" w:bidi="ar"/>
              </w:rPr>
              <w:t>原料采购价格及波动；</w:t>
            </w:r>
            <w:r>
              <w:rPr>
                <w:rFonts w:hint="eastAsia" w:ascii="宋体" w:hAnsi="宋体" w:cs="宋体"/>
                <w:i w:val="0"/>
                <w:iCs w:val="0"/>
                <w:color w:val="auto"/>
                <w:kern w:val="0"/>
                <w:sz w:val="21"/>
                <w:szCs w:val="21"/>
                <w:highlight w:val="none"/>
                <w:u w:val="none"/>
                <w:lang w:val="en-US" w:eastAsia="zh-CN" w:bidi="ar"/>
              </w:rPr>
              <w:t>三</w:t>
            </w:r>
            <w:r>
              <w:rPr>
                <w:rFonts w:hint="eastAsia" w:ascii="宋体" w:hAnsi="宋体" w:eastAsia="宋体" w:cs="宋体"/>
                <w:i w:val="0"/>
                <w:iCs w:val="0"/>
                <w:color w:val="auto"/>
                <w:kern w:val="0"/>
                <w:sz w:val="21"/>
                <w:szCs w:val="21"/>
                <w:highlight w:val="none"/>
                <w:u w:val="none"/>
                <w:lang w:val="en-US" w:eastAsia="zh-CN" w:bidi="ar"/>
              </w:rPr>
              <w:t>、关注</w:t>
            </w:r>
            <w:r>
              <w:rPr>
                <w:rFonts w:hint="eastAsia" w:ascii="宋体" w:hAnsi="宋体" w:cs="宋体"/>
                <w:i w:val="0"/>
                <w:iCs w:val="0"/>
                <w:color w:val="auto"/>
                <w:kern w:val="0"/>
                <w:sz w:val="21"/>
                <w:szCs w:val="21"/>
                <w:highlight w:val="none"/>
                <w:u w:val="none"/>
                <w:lang w:val="en-US" w:eastAsia="zh-CN" w:bidi="ar"/>
              </w:rPr>
              <w:t>被审计单位</w:t>
            </w:r>
            <w:r>
              <w:rPr>
                <w:rFonts w:hint="eastAsia" w:ascii="宋体" w:hAnsi="宋体" w:eastAsia="宋体" w:cs="宋体"/>
                <w:i w:val="0"/>
                <w:iCs w:val="0"/>
                <w:color w:val="auto"/>
                <w:kern w:val="0"/>
                <w:sz w:val="21"/>
                <w:szCs w:val="21"/>
                <w:highlight w:val="none"/>
                <w:u w:val="none"/>
                <w:lang w:val="en-US" w:eastAsia="zh-CN" w:bidi="ar"/>
              </w:rPr>
              <w:t>往来款真实性；</w:t>
            </w:r>
            <w:r>
              <w:rPr>
                <w:rFonts w:hint="eastAsia" w:ascii="宋体" w:hAnsi="宋体" w:cs="宋体"/>
                <w:i w:val="0"/>
                <w:iCs w:val="0"/>
                <w:color w:val="auto"/>
                <w:kern w:val="0"/>
                <w:sz w:val="21"/>
                <w:szCs w:val="21"/>
                <w:highlight w:val="none"/>
                <w:u w:val="none"/>
                <w:lang w:val="en-US" w:eastAsia="zh-CN" w:bidi="ar"/>
              </w:rPr>
              <w:t>五</w:t>
            </w:r>
            <w:r>
              <w:rPr>
                <w:rFonts w:hint="eastAsia" w:ascii="宋体" w:hAnsi="宋体" w:eastAsia="宋体" w:cs="宋体"/>
                <w:i w:val="0"/>
                <w:iCs w:val="0"/>
                <w:color w:val="auto"/>
                <w:kern w:val="0"/>
                <w:sz w:val="21"/>
                <w:szCs w:val="21"/>
                <w:highlight w:val="none"/>
                <w:u w:val="none"/>
                <w:lang w:val="en-US" w:eastAsia="zh-CN" w:bidi="ar"/>
              </w:rPr>
              <w:t>、关注</w:t>
            </w:r>
            <w:r>
              <w:rPr>
                <w:rFonts w:hint="eastAsia" w:ascii="宋体" w:hAnsi="宋体" w:cs="宋体"/>
                <w:i w:val="0"/>
                <w:iCs w:val="0"/>
                <w:color w:val="auto"/>
                <w:kern w:val="0"/>
                <w:sz w:val="21"/>
                <w:szCs w:val="21"/>
                <w:highlight w:val="none"/>
                <w:u w:val="none"/>
                <w:lang w:val="en-US" w:eastAsia="zh-CN" w:bidi="ar"/>
              </w:rPr>
              <w:t>被审计单位</w:t>
            </w:r>
            <w:r>
              <w:rPr>
                <w:rFonts w:hint="eastAsia" w:ascii="宋体" w:hAnsi="宋体" w:eastAsia="宋体" w:cs="宋体"/>
                <w:i w:val="0"/>
                <w:iCs w:val="0"/>
                <w:color w:val="auto"/>
                <w:kern w:val="0"/>
                <w:sz w:val="21"/>
                <w:szCs w:val="21"/>
                <w:highlight w:val="none"/>
                <w:u w:val="none"/>
                <w:lang w:val="en-US" w:eastAsia="zh-CN" w:bidi="ar"/>
              </w:rPr>
              <w:t>重大的资金支出；</w:t>
            </w:r>
            <w:r>
              <w:rPr>
                <w:rFonts w:hint="eastAsia" w:ascii="宋体" w:hAnsi="宋体" w:cs="宋体"/>
                <w:i w:val="0"/>
                <w:iCs w:val="0"/>
                <w:color w:val="auto"/>
                <w:kern w:val="0"/>
                <w:sz w:val="21"/>
                <w:szCs w:val="21"/>
                <w:highlight w:val="none"/>
                <w:u w:val="none"/>
                <w:lang w:val="en-US" w:eastAsia="zh-CN" w:bidi="ar"/>
              </w:rPr>
              <w:t>六</w:t>
            </w:r>
            <w:r>
              <w:rPr>
                <w:rFonts w:hint="eastAsia" w:ascii="宋体" w:hAnsi="宋体" w:eastAsia="宋体" w:cs="宋体"/>
                <w:i w:val="0"/>
                <w:iCs w:val="0"/>
                <w:color w:val="auto"/>
                <w:kern w:val="0"/>
                <w:sz w:val="21"/>
                <w:szCs w:val="21"/>
                <w:highlight w:val="none"/>
                <w:u w:val="none"/>
                <w:lang w:val="en-US" w:eastAsia="zh-CN" w:bidi="ar"/>
              </w:rPr>
              <w:t>、关注</w:t>
            </w:r>
            <w:r>
              <w:rPr>
                <w:rFonts w:hint="eastAsia" w:ascii="宋体" w:hAnsi="宋体" w:cs="宋体"/>
                <w:i w:val="0"/>
                <w:iCs w:val="0"/>
                <w:color w:val="auto"/>
                <w:kern w:val="0"/>
                <w:sz w:val="21"/>
                <w:szCs w:val="21"/>
                <w:highlight w:val="none"/>
                <w:u w:val="none"/>
                <w:lang w:val="en-US" w:eastAsia="zh-CN" w:bidi="ar"/>
              </w:rPr>
              <w:t>被审计单位</w:t>
            </w:r>
            <w:r>
              <w:rPr>
                <w:rFonts w:hint="eastAsia" w:ascii="宋体" w:hAnsi="宋体" w:eastAsia="宋体" w:cs="宋体"/>
                <w:i w:val="0"/>
                <w:iCs w:val="0"/>
                <w:color w:val="auto"/>
                <w:kern w:val="0"/>
                <w:sz w:val="21"/>
                <w:szCs w:val="21"/>
                <w:highlight w:val="none"/>
                <w:u w:val="none"/>
                <w:lang w:val="en-US" w:eastAsia="zh-CN" w:bidi="ar"/>
              </w:rPr>
              <w:t>内控制度及风险防范的情况。</w:t>
            </w:r>
          </w:p>
        </w:tc>
      </w:tr>
      <w:tr w14:paraId="296361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20" w:hRule="atLeast"/>
        </w:trPr>
        <w:tc>
          <w:tcPr>
            <w:tcW w:w="2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0D3E1">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滁能热电(全椒)有限公司及其子公司全椒滁能碳宝科技有限公司</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全椒滁能生物质能源有限公司</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定远滁能生物质能源有限公司</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明光滁能沼气发电有限公司</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EFD8A">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滁能热电全椒公司、明光滁能沼气发电公司正常运营；全椒滁能生物质公司与滁能热电全椒公司有少量业务</w:t>
            </w:r>
            <w:r>
              <w:rPr>
                <w:rFonts w:hint="eastAsia" w:ascii="宋体" w:hAnsi="宋体" w:cs="宋体"/>
                <w:i w:val="0"/>
                <w:iCs w:val="0"/>
                <w:color w:val="auto"/>
                <w:kern w:val="0"/>
                <w:sz w:val="21"/>
                <w:szCs w:val="21"/>
                <w:highlight w:val="none"/>
                <w:u w:val="none"/>
                <w:lang w:val="en-US" w:eastAsia="zh-CN" w:bidi="ar"/>
              </w:rPr>
              <w:t>往来</w:t>
            </w:r>
            <w:r>
              <w:rPr>
                <w:rFonts w:hint="eastAsia" w:ascii="宋体" w:hAnsi="宋体" w:eastAsia="宋体" w:cs="宋体"/>
                <w:i w:val="0"/>
                <w:iCs w:val="0"/>
                <w:color w:val="auto"/>
                <w:kern w:val="0"/>
                <w:sz w:val="21"/>
                <w:szCs w:val="21"/>
                <w:highlight w:val="none"/>
                <w:u w:val="none"/>
                <w:lang w:val="en-US" w:eastAsia="zh-CN" w:bidi="ar"/>
              </w:rPr>
              <w:t>；全椒滁能碳宝公司未实际运营</w:t>
            </w:r>
            <w:r>
              <w:rPr>
                <w:rFonts w:hint="eastAsia" w:ascii="宋体" w:hAnsi="宋体" w:cs="宋体"/>
                <w:i w:val="0"/>
                <w:iCs w:val="0"/>
                <w:color w:val="auto"/>
                <w:kern w:val="0"/>
                <w:sz w:val="21"/>
                <w:szCs w:val="21"/>
                <w:highlight w:val="none"/>
                <w:u w:val="none"/>
                <w:lang w:val="en-US" w:eastAsia="zh-CN" w:bidi="ar"/>
              </w:rPr>
              <w:t>；定远滁能生物质公司未开展业务。</w:t>
            </w:r>
          </w:p>
        </w:tc>
        <w:tc>
          <w:tcPr>
            <w:tcW w:w="2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145F5">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滁能热电全椒公司2024年收入约6627万元，每月约4本凭证；明光滁能沼气发电公司</w:t>
            </w:r>
            <w:r>
              <w:rPr>
                <w:rFonts w:hint="eastAsia" w:ascii="宋体" w:hAnsi="宋体" w:cs="宋体"/>
                <w:i w:val="0"/>
                <w:iCs w:val="0"/>
                <w:color w:val="auto"/>
                <w:kern w:val="0"/>
                <w:sz w:val="21"/>
                <w:szCs w:val="21"/>
                <w:highlight w:val="none"/>
                <w:u w:val="none"/>
                <w:lang w:val="en-US" w:eastAsia="zh-CN" w:bidi="ar"/>
              </w:rPr>
              <w:t>2</w:t>
            </w:r>
            <w:r>
              <w:rPr>
                <w:rFonts w:hint="eastAsia" w:ascii="宋体" w:hAnsi="宋体" w:eastAsia="宋体" w:cs="宋体"/>
                <w:i w:val="0"/>
                <w:iCs w:val="0"/>
                <w:color w:val="auto"/>
                <w:kern w:val="0"/>
                <w:sz w:val="21"/>
                <w:szCs w:val="21"/>
                <w:highlight w:val="none"/>
                <w:u w:val="none"/>
                <w:lang w:val="en-US" w:eastAsia="zh-CN" w:bidi="ar"/>
              </w:rPr>
              <w:t>024年收入约24.8万元</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每月约1本凭证</w:t>
            </w:r>
            <w:r>
              <w:rPr>
                <w:rFonts w:hint="eastAsia" w:ascii="宋体" w:hAnsi="宋体" w:cs="宋体"/>
                <w:i w:val="0"/>
                <w:iCs w:val="0"/>
                <w:color w:val="auto"/>
                <w:kern w:val="0"/>
                <w:sz w:val="21"/>
                <w:szCs w:val="21"/>
                <w:highlight w:val="none"/>
                <w:u w:val="none"/>
                <w:lang w:val="en-US" w:eastAsia="zh-CN" w:bidi="ar"/>
              </w:rPr>
              <w:t>。</w:t>
            </w:r>
          </w:p>
        </w:tc>
        <w:tc>
          <w:tcPr>
            <w:tcW w:w="2639" w:type="dxa"/>
            <w:vMerge w:val="continue"/>
            <w:tcBorders>
              <w:left w:val="single" w:color="000000" w:sz="4" w:space="0"/>
              <w:right w:val="single" w:color="000000" w:sz="4" w:space="0"/>
            </w:tcBorders>
            <w:shd w:val="clear" w:color="auto" w:fill="auto"/>
            <w:vAlign w:val="center"/>
          </w:tcPr>
          <w:p w14:paraId="5D225704">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14:paraId="624016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80" w:hRule="atLeast"/>
        </w:trPr>
        <w:tc>
          <w:tcPr>
            <w:tcW w:w="2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EA8CC">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宝湾产城科技发展(滁州)有限公司</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C173D">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处于产业园建设期</w:t>
            </w:r>
            <w:r>
              <w:rPr>
                <w:rFonts w:hint="eastAsia" w:ascii="宋体" w:hAnsi="宋体" w:cs="宋体"/>
                <w:i w:val="0"/>
                <w:iCs w:val="0"/>
                <w:color w:val="auto"/>
                <w:kern w:val="0"/>
                <w:sz w:val="21"/>
                <w:szCs w:val="21"/>
                <w:highlight w:val="none"/>
                <w:u w:val="none"/>
                <w:lang w:val="en-US" w:eastAsia="zh-CN" w:bidi="ar"/>
              </w:rPr>
              <w:t>，2025年已对外销售。</w:t>
            </w:r>
          </w:p>
        </w:tc>
        <w:tc>
          <w:tcPr>
            <w:tcW w:w="2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5195C">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bidi="ar"/>
              </w:rPr>
              <w:t>宝湾产城滁州公司</w:t>
            </w:r>
            <w:r>
              <w:rPr>
                <w:rFonts w:hint="eastAsia" w:ascii="宋体" w:hAnsi="宋体" w:eastAsia="宋体" w:cs="宋体"/>
                <w:i w:val="0"/>
                <w:iCs w:val="0"/>
                <w:color w:val="auto"/>
                <w:kern w:val="0"/>
                <w:sz w:val="21"/>
                <w:szCs w:val="21"/>
                <w:highlight w:val="none"/>
                <w:u w:val="none"/>
                <w:lang w:val="en-US" w:eastAsia="zh-CN" w:bidi="ar"/>
              </w:rPr>
              <w:t>2024年收入成本均为0万元</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每月约1本凭证</w:t>
            </w:r>
            <w:r>
              <w:rPr>
                <w:rFonts w:hint="eastAsia" w:ascii="宋体" w:hAnsi="宋体" w:cs="宋体"/>
                <w:i w:val="0"/>
                <w:iCs w:val="0"/>
                <w:color w:val="auto"/>
                <w:kern w:val="0"/>
                <w:sz w:val="21"/>
                <w:szCs w:val="21"/>
                <w:highlight w:val="none"/>
                <w:u w:val="none"/>
                <w:lang w:val="en-US" w:eastAsia="zh-CN" w:bidi="ar"/>
              </w:rPr>
              <w:t>。</w:t>
            </w: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2DCD0">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一、关注</w:t>
            </w:r>
            <w:r>
              <w:rPr>
                <w:rFonts w:hint="eastAsia" w:ascii="宋体" w:hAnsi="宋体" w:cs="宋体"/>
                <w:i w:val="0"/>
                <w:iCs w:val="0"/>
                <w:color w:val="auto"/>
                <w:kern w:val="0"/>
                <w:sz w:val="21"/>
                <w:szCs w:val="21"/>
                <w:highlight w:val="none"/>
                <w:u w:val="none"/>
                <w:lang w:val="en-US" w:eastAsia="zh-CN" w:bidi="ar"/>
              </w:rPr>
              <w:t>项目</w:t>
            </w:r>
            <w:r>
              <w:rPr>
                <w:rFonts w:hint="eastAsia" w:ascii="宋体" w:hAnsi="宋体" w:eastAsia="宋体" w:cs="宋体"/>
                <w:i w:val="0"/>
                <w:iCs w:val="0"/>
                <w:color w:val="auto"/>
                <w:kern w:val="0"/>
                <w:sz w:val="21"/>
                <w:szCs w:val="21"/>
                <w:highlight w:val="none"/>
                <w:u w:val="none"/>
                <w:lang w:val="en-US" w:eastAsia="zh-CN" w:bidi="ar"/>
              </w:rPr>
              <w:t>资金流水；二、关注</w:t>
            </w:r>
            <w:r>
              <w:rPr>
                <w:rFonts w:hint="eastAsia" w:ascii="宋体" w:hAnsi="宋体" w:cs="宋体"/>
                <w:i w:val="0"/>
                <w:iCs w:val="0"/>
                <w:color w:val="auto"/>
                <w:kern w:val="0"/>
                <w:sz w:val="21"/>
                <w:szCs w:val="21"/>
                <w:highlight w:val="none"/>
                <w:u w:val="none"/>
                <w:lang w:val="en-US" w:eastAsia="zh-CN" w:bidi="ar"/>
              </w:rPr>
              <w:t>项目</w:t>
            </w:r>
            <w:r>
              <w:rPr>
                <w:rFonts w:hint="eastAsia" w:ascii="宋体" w:hAnsi="宋体" w:eastAsia="宋体" w:cs="宋体"/>
                <w:i w:val="0"/>
                <w:iCs w:val="0"/>
                <w:color w:val="auto"/>
                <w:kern w:val="0"/>
                <w:sz w:val="21"/>
                <w:szCs w:val="21"/>
                <w:highlight w:val="none"/>
                <w:u w:val="none"/>
                <w:lang w:val="en-US" w:eastAsia="zh-CN" w:bidi="ar"/>
              </w:rPr>
              <w:t>建设进度；三、关注</w:t>
            </w:r>
            <w:r>
              <w:rPr>
                <w:rFonts w:hint="eastAsia" w:ascii="宋体" w:hAnsi="宋体" w:cs="宋体"/>
                <w:i w:val="0"/>
                <w:iCs w:val="0"/>
                <w:color w:val="auto"/>
                <w:kern w:val="0"/>
                <w:sz w:val="21"/>
                <w:szCs w:val="21"/>
                <w:highlight w:val="none"/>
                <w:u w:val="none"/>
                <w:lang w:val="en-US" w:eastAsia="zh-CN" w:bidi="ar"/>
              </w:rPr>
              <w:t>项目</w:t>
            </w:r>
            <w:r>
              <w:rPr>
                <w:rFonts w:hint="eastAsia" w:ascii="宋体" w:hAnsi="宋体" w:eastAsia="宋体" w:cs="宋体"/>
                <w:i w:val="0"/>
                <w:iCs w:val="0"/>
                <w:color w:val="auto"/>
                <w:kern w:val="0"/>
                <w:sz w:val="21"/>
                <w:szCs w:val="21"/>
                <w:highlight w:val="none"/>
                <w:u w:val="none"/>
                <w:lang w:val="en-US" w:eastAsia="zh-CN" w:bidi="ar"/>
              </w:rPr>
              <w:t>招商</w:t>
            </w:r>
            <w:r>
              <w:rPr>
                <w:rFonts w:hint="eastAsia" w:ascii="宋体" w:hAnsi="宋体" w:cs="宋体"/>
                <w:i w:val="0"/>
                <w:iCs w:val="0"/>
                <w:color w:val="auto"/>
                <w:kern w:val="0"/>
                <w:sz w:val="21"/>
                <w:szCs w:val="21"/>
                <w:highlight w:val="none"/>
                <w:u w:val="none"/>
                <w:lang w:val="en-US" w:eastAsia="zh-CN" w:bidi="ar"/>
              </w:rPr>
              <w:t>情况；四</w:t>
            </w:r>
            <w:r>
              <w:rPr>
                <w:rFonts w:hint="eastAsia" w:ascii="宋体" w:hAnsi="宋体" w:eastAsia="宋体" w:cs="宋体"/>
                <w:i w:val="0"/>
                <w:iCs w:val="0"/>
                <w:color w:val="auto"/>
                <w:kern w:val="0"/>
                <w:sz w:val="21"/>
                <w:szCs w:val="21"/>
                <w:highlight w:val="none"/>
                <w:u w:val="none"/>
                <w:lang w:val="en-US" w:eastAsia="zh-CN" w:bidi="ar"/>
              </w:rPr>
              <w:t>、关注费用支出真实性</w:t>
            </w:r>
            <w:r>
              <w:rPr>
                <w:rFonts w:hint="eastAsia" w:ascii="宋体" w:hAnsi="宋体" w:cs="宋体"/>
                <w:i w:val="0"/>
                <w:iCs w:val="0"/>
                <w:color w:val="auto"/>
                <w:kern w:val="0"/>
                <w:sz w:val="21"/>
                <w:szCs w:val="21"/>
                <w:highlight w:val="none"/>
                <w:u w:val="none"/>
                <w:lang w:val="en-US" w:eastAsia="zh-CN" w:bidi="ar"/>
              </w:rPr>
              <w:t>，如招商费用、人员工资等</w:t>
            </w:r>
            <w:r>
              <w:rPr>
                <w:rFonts w:hint="eastAsia" w:ascii="宋体" w:hAnsi="宋体" w:eastAsia="宋体" w:cs="宋体"/>
                <w:i w:val="0"/>
                <w:iCs w:val="0"/>
                <w:color w:val="auto"/>
                <w:kern w:val="0"/>
                <w:sz w:val="21"/>
                <w:szCs w:val="21"/>
                <w:highlight w:val="none"/>
                <w:u w:val="none"/>
                <w:lang w:val="en-US" w:eastAsia="zh-CN" w:bidi="ar"/>
              </w:rPr>
              <w:t>；</w:t>
            </w:r>
            <w:r>
              <w:rPr>
                <w:rFonts w:hint="eastAsia" w:ascii="宋体" w:hAnsi="宋体" w:cs="宋体"/>
                <w:i w:val="0"/>
                <w:iCs w:val="0"/>
                <w:color w:val="auto"/>
                <w:kern w:val="0"/>
                <w:sz w:val="21"/>
                <w:szCs w:val="21"/>
                <w:highlight w:val="none"/>
                <w:u w:val="none"/>
                <w:lang w:val="en-US" w:eastAsia="zh-CN" w:bidi="ar"/>
              </w:rPr>
              <w:t>五</w:t>
            </w:r>
            <w:r>
              <w:rPr>
                <w:rFonts w:hint="eastAsia" w:ascii="宋体" w:hAnsi="宋体" w:eastAsia="宋体" w:cs="宋体"/>
                <w:i w:val="0"/>
                <w:iCs w:val="0"/>
                <w:color w:val="auto"/>
                <w:kern w:val="0"/>
                <w:sz w:val="21"/>
                <w:szCs w:val="21"/>
                <w:highlight w:val="none"/>
                <w:u w:val="none"/>
                <w:lang w:val="en-US" w:eastAsia="zh-CN" w:bidi="ar"/>
              </w:rPr>
              <w:t>、关注建设招标</w:t>
            </w:r>
            <w:r>
              <w:rPr>
                <w:rFonts w:hint="eastAsia" w:ascii="宋体" w:hAnsi="宋体" w:cs="宋体"/>
                <w:i w:val="0"/>
                <w:iCs w:val="0"/>
                <w:color w:val="auto"/>
                <w:kern w:val="0"/>
                <w:sz w:val="21"/>
                <w:szCs w:val="21"/>
                <w:highlight w:val="none"/>
                <w:u w:val="none"/>
                <w:lang w:val="en-US" w:eastAsia="zh-CN" w:bidi="ar"/>
              </w:rPr>
              <w:t>采购</w:t>
            </w:r>
            <w:r>
              <w:rPr>
                <w:rFonts w:hint="eastAsia" w:ascii="宋体" w:hAnsi="宋体" w:eastAsia="宋体" w:cs="宋体"/>
                <w:i w:val="0"/>
                <w:iCs w:val="0"/>
                <w:color w:val="auto"/>
                <w:kern w:val="0"/>
                <w:sz w:val="21"/>
                <w:szCs w:val="21"/>
                <w:highlight w:val="none"/>
                <w:u w:val="none"/>
                <w:lang w:val="en-US" w:eastAsia="zh-CN" w:bidi="ar"/>
              </w:rPr>
              <w:t>及成本控制（含签证变更）的规范性</w:t>
            </w:r>
            <w:r>
              <w:rPr>
                <w:rFonts w:hint="eastAsia" w:ascii="宋体" w:hAnsi="宋体" w:cs="宋体"/>
                <w:i w:val="0"/>
                <w:iCs w:val="0"/>
                <w:color w:val="auto"/>
                <w:kern w:val="0"/>
                <w:sz w:val="21"/>
                <w:szCs w:val="21"/>
                <w:highlight w:val="none"/>
                <w:u w:val="none"/>
                <w:lang w:val="en-US" w:eastAsia="zh-CN" w:bidi="ar"/>
              </w:rPr>
              <w:t>；六</w:t>
            </w:r>
            <w:r>
              <w:rPr>
                <w:rFonts w:hint="eastAsia" w:ascii="宋体" w:hAnsi="宋体" w:eastAsia="宋体" w:cs="宋体"/>
                <w:i w:val="0"/>
                <w:iCs w:val="0"/>
                <w:color w:val="auto"/>
                <w:kern w:val="0"/>
                <w:sz w:val="21"/>
                <w:szCs w:val="21"/>
                <w:highlight w:val="none"/>
                <w:u w:val="none"/>
                <w:lang w:val="en-US" w:eastAsia="zh-CN" w:bidi="ar"/>
              </w:rPr>
              <w:t>、关注</w:t>
            </w:r>
            <w:r>
              <w:rPr>
                <w:rFonts w:hint="eastAsia" w:ascii="宋体" w:hAnsi="宋体" w:cs="宋体"/>
                <w:i w:val="0"/>
                <w:iCs w:val="0"/>
                <w:color w:val="auto"/>
                <w:kern w:val="0"/>
                <w:sz w:val="21"/>
                <w:szCs w:val="21"/>
                <w:highlight w:val="none"/>
                <w:u w:val="none"/>
                <w:lang w:val="en-US" w:eastAsia="zh-CN" w:bidi="ar"/>
              </w:rPr>
              <w:t>被审计单位</w:t>
            </w:r>
            <w:r>
              <w:rPr>
                <w:rFonts w:hint="eastAsia" w:ascii="宋体" w:hAnsi="宋体" w:eastAsia="宋体" w:cs="宋体"/>
                <w:i w:val="0"/>
                <w:iCs w:val="0"/>
                <w:color w:val="auto"/>
                <w:kern w:val="0"/>
                <w:sz w:val="21"/>
                <w:szCs w:val="21"/>
                <w:highlight w:val="none"/>
                <w:u w:val="none"/>
                <w:lang w:val="en-US" w:eastAsia="zh-CN" w:bidi="ar"/>
              </w:rPr>
              <w:t>内控制度及风险防范的情况</w:t>
            </w:r>
            <w:r>
              <w:rPr>
                <w:rFonts w:hint="eastAsia" w:ascii="宋体" w:hAnsi="宋体" w:cs="宋体"/>
                <w:i w:val="0"/>
                <w:iCs w:val="0"/>
                <w:color w:val="auto"/>
                <w:kern w:val="0"/>
                <w:sz w:val="21"/>
                <w:szCs w:val="21"/>
                <w:highlight w:val="none"/>
                <w:u w:val="none"/>
                <w:lang w:val="en-US" w:eastAsia="zh-CN" w:bidi="ar"/>
              </w:rPr>
              <w:t>。</w:t>
            </w:r>
          </w:p>
        </w:tc>
      </w:tr>
    </w:tbl>
    <w:p w14:paraId="5F863945">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b w:val="0"/>
          <w:bCs/>
          <w:color w:val="auto"/>
          <w:sz w:val="24"/>
          <w:szCs w:val="24"/>
          <w:highlight w:val="none"/>
          <w:lang w:val="en-US" w:eastAsia="zh-CN"/>
        </w:rPr>
      </w:pPr>
      <w:bookmarkStart w:id="205" w:name="_GoBack"/>
      <w:bookmarkEnd w:id="205"/>
      <w:r>
        <w:rPr>
          <w:rFonts w:hint="eastAsia" w:ascii="宋体"/>
          <w:b w:val="0"/>
          <w:bCs/>
          <w:color w:val="auto"/>
          <w:sz w:val="24"/>
          <w:szCs w:val="24"/>
          <w:highlight w:val="none"/>
          <w:lang w:val="en-US" w:eastAsia="zh-CN"/>
        </w:rPr>
        <w:t>1、除财务报表审计外，还需对招标人参股企业的审计重点进行针对性审计，审计重点包括但不限于表格中内容，中标人在每个服务期进场开展审计工作前应与招标人沟通审计重点，并制定符合招标人要求的审计计划；</w:t>
      </w:r>
    </w:p>
    <w:p w14:paraId="3AB5C0AC">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b w:val="0"/>
          <w:bCs/>
          <w:color w:val="auto"/>
          <w:sz w:val="24"/>
          <w:szCs w:val="24"/>
          <w:highlight w:val="none"/>
          <w:lang w:val="en-US" w:eastAsia="zh-CN"/>
        </w:rPr>
      </w:pPr>
      <w:r>
        <w:rPr>
          <w:rFonts w:hint="eastAsia" w:ascii="宋体"/>
          <w:b w:val="0"/>
          <w:bCs/>
          <w:color w:val="auto"/>
          <w:sz w:val="24"/>
          <w:szCs w:val="24"/>
          <w:highlight w:val="none"/>
          <w:lang w:val="en-US" w:eastAsia="zh-CN"/>
        </w:rPr>
        <w:t>2、滁州滁能热电有限公司2024年还持有黄山歙能热电有限公司51%股权，该股权已于2025年对外转让；滁州滁能热电有限公司持有的明光滁能沼气发电有限公司51%股权于2024年11月转让给滁能热电(全椒)有限公司；滁州滁能热电有限公司持有滁能热电(全椒)有限公司25%的股权。</w:t>
      </w:r>
    </w:p>
    <w:p w14:paraId="5C91A104">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default" w:ascii="宋体"/>
          <w:b w:val="0"/>
          <w:bCs/>
          <w:color w:val="auto"/>
          <w:sz w:val="24"/>
          <w:szCs w:val="24"/>
          <w:highlight w:val="none"/>
          <w:lang w:val="en-US" w:eastAsia="zh-CN"/>
        </w:rPr>
      </w:pPr>
      <w:r>
        <w:rPr>
          <w:rFonts w:hint="eastAsia" w:ascii="宋体"/>
          <w:b w:val="0"/>
          <w:bCs/>
          <w:color w:val="auto"/>
          <w:sz w:val="24"/>
          <w:szCs w:val="24"/>
          <w:highlight w:val="none"/>
          <w:lang w:val="en-US" w:eastAsia="zh-CN"/>
        </w:rPr>
        <w:t>3、宝湾产城科技发展(滁州)有限公司的产业园项目建设地点位于来安县汊河镇，财务办公地址位于南京市浦口区桥林街道。</w:t>
      </w:r>
    </w:p>
    <w:p w14:paraId="7FD459A0">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b w:val="0"/>
          <w:bCs/>
          <w:color w:val="auto"/>
          <w:sz w:val="24"/>
          <w:szCs w:val="24"/>
          <w:highlight w:val="none"/>
          <w:lang w:val="en-US" w:eastAsia="zh-CN"/>
        </w:rPr>
      </w:pPr>
      <w:r>
        <w:rPr>
          <w:rFonts w:hint="eastAsia" w:ascii="宋体"/>
          <w:b w:val="0"/>
          <w:bCs/>
          <w:color w:val="auto"/>
          <w:sz w:val="24"/>
          <w:szCs w:val="24"/>
          <w:highlight w:val="none"/>
          <w:lang w:val="en-US" w:eastAsia="zh-CN"/>
        </w:rPr>
        <w:t>4、项目负责人及项目组成员需全程为项目提供服务，应在项目现场阶段服务的需在被审计单位现场办公。</w:t>
      </w:r>
    </w:p>
    <w:p w14:paraId="27F2010C">
      <w:pPr>
        <w:pStyle w:val="2"/>
        <w:ind w:firstLine="480" w:firstLineChars="200"/>
        <w:rPr>
          <w:rFonts w:hint="default"/>
          <w:color w:val="auto"/>
          <w:highlight w:val="none"/>
          <w:lang w:val="en-US" w:eastAsia="zh-CN"/>
        </w:rPr>
      </w:pPr>
      <w:r>
        <w:rPr>
          <w:rFonts w:hint="eastAsia" w:ascii="宋体"/>
          <w:b w:val="0"/>
          <w:bCs/>
          <w:color w:val="auto"/>
          <w:sz w:val="24"/>
          <w:szCs w:val="24"/>
          <w:highlight w:val="none"/>
          <w:lang w:val="en-US" w:eastAsia="zh-CN"/>
        </w:rPr>
        <w:t>5、三家参股企业及其子公司的资产规模总计约在5.5亿元。</w:t>
      </w:r>
    </w:p>
    <w:p w14:paraId="5F693544">
      <w:pPr>
        <w:keepNext w:val="0"/>
        <w:keepLines w:val="0"/>
        <w:pageBreakBefore w:val="0"/>
        <w:widowControl w:val="0"/>
        <w:kinsoku/>
        <w:wordWrap/>
        <w:overflowPunct/>
        <w:topLinePunct w:val="0"/>
        <w:autoSpaceDE/>
        <w:autoSpaceDN/>
        <w:bidi w:val="0"/>
        <w:adjustRightInd/>
        <w:snapToGrid/>
        <w:spacing w:line="500" w:lineRule="exact"/>
        <w:ind w:firstLine="643" w:firstLineChars="200"/>
        <w:jc w:val="left"/>
        <w:textAlignment w:val="auto"/>
        <w:rPr>
          <w:rFonts w:hint="eastAsia" w:ascii="宋体"/>
          <w:b/>
          <w:color w:val="auto"/>
          <w:sz w:val="32"/>
          <w:szCs w:val="32"/>
          <w:highlight w:val="none"/>
        </w:rPr>
      </w:pPr>
      <w:r>
        <w:rPr>
          <w:rFonts w:hint="eastAsia" w:ascii="宋体"/>
          <w:b/>
          <w:color w:val="auto"/>
          <w:sz w:val="32"/>
          <w:szCs w:val="32"/>
          <w:highlight w:val="none"/>
        </w:rPr>
        <w:br w:type="page"/>
      </w:r>
    </w:p>
    <w:p w14:paraId="56FE0CB8">
      <w:pPr>
        <w:spacing w:before="156" w:beforeLines="50" w:after="156" w:afterLines="50"/>
        <w:jc w:val="center"/>
        <w:outlineLvl w:val="0"/>
        <w:rPr>
          <w:rFonts w:hint="default" w:ascii="宋体" w:eastAsia="宋体"/>
          <w:b/>
          <w:color w:val="auto"/>
          <w:sz w:val="32"/>
          <w:szCs w:val="32"/>
          <w:highlight w:val="none"/>
          <w:lang w:val="en-US" w:eastAsia="zh-CN"/>
        </w:rPr>
      </w:pPr>
      <w:r>
        <w:rPr>
          <w:rFonts w:hint="eastAsia" w:ascii="宋体"/>
          <w:b/>
          <w:color w:val="auto"/>
          <w:sz w:val="32"/>
          <w:szCs w:val="32"/>
          <w:highlight w:val="none"/>
          <w:lang w:val="en-US" w:eastAsia="zh-CN"/>
        </w:rPr>
        <w:t>第五章 合同格式（参考）</w:t>
      </w:r>
    </w:p>
    <w:p w14:paraId="799D3FFA">
      <w:pPr>
        <w:widowControl/>
        <w:spacing w:line="400" w:lineRule="exact"/>
        <w:ind w:left="360"/>
        <w:jc w:val="center"/>
        <w:textAlignment w:val="baseline"/>
        <w:outlineLvl w:val="1"/>
        <w:rPr>
          <w:rFonts w:hint="eastAsia" w:ascii="黑体" w:eastAsia="黑体"/>
          <w:b/>
          <w:color w:val="auto"/>
          <w:sz w:val="30"/>
          <w:szCs w:val="30"/>
          <w:highlight w:val="none"/>
        </w:rPr>
      </w:pPr>
      <w:r>
        <w:rPr>
          <w:rFonts w:hint="eastAsia" w:ascii="宋体"/>
          <w:b/>
          <w:color w:val="auto"/>
          <w:sz w:val="30"/>
          <w:szCs w:val="30"/>
          <w:highlight w:val="none"/>
        </w:rPr>
        <w:t>一</w:t>
      </w:r>
      <w:bookmarkStart w:id="66" w:name="_Toc449028946"/>
      <w:r>
        <w:rPr>
          <w:rFonts w:hint="eastAsia" w:ascii="宋体"/>
          <w:b/>
          <w:color w:val="auto"/>
          <w:sz w:val="30"/>
          <w:szCs w:val="30"/>
          <w:highlight w:val="none"/>
        </w:rPr>
        <w:t>、合同协议书（格式）</w:t>
      </w:r>
      <w:bookmarkEnd w:id="66"/>
    </w:p>
    <w:p w14:paraId="67841045">
      <w:pPr>
        <w:spacing w:before="120" w:line="480" w:lineRule="auto"/>
        <w:ind w:left="960"/>
        <w:rPr>
          <w:rFonts w:hint="eastAsia" w:ascii="宋体" w:hAnsi="宋体"/>
          <w:color w:val="auto"/>
          <w:sz w:val="24"/>
          <w:highlight w:val="none"/>
        </w:rPr>
      </w:pPr>
    </w:p>
    <w:p w14:paraId="2B1C14B9">
      <w:pPr>
        <w:spacing w:before="120" w:line="480" w:lineRule="auto"/>
        <w:ind w:left="960"/>
        <w:rPr>
          <w:rFonts w:hint="eastAsia" w:ascii="宋体" w:hAnsi="宋体"/>
          <w:color w:val="auto"/>
          <w:sz w:val="24"/>
          <w:highlight w:val="none"/>
        </w:rPr>
      </w:pPr>
    </w:p>
    <w:p w14:paraId="2FF2BCCD">
      <w:pPr>
        <w:spacing w:before="120" w:line="480" w:lineRule="auto"/>
        <w:ind w:left="960"/>
        <w:rPr>
          <w:rFonts w:hint="eastAsia" w:ascii="宋体" w:hAnsi="宋体"/>
          <w:color w:val="auto"/>
          <w:sz w:val="24"/>
          <w:highlight w:val="none"/>
        </w:rPr>
      </w:pPr>
    </w:p>
    <w:p w14:paraId="6C79C16B">
      <w:pPr>
        <w:spacing w:before="120" w:line="480" w:lineRule="auto"/>
        <w:ind w:left="960"/>
        <w:rPr>
          <w:rFonts w:hint="eastAsia" w:ascii="宋体" w:hAnsi="宋体"/>
          <w:color w:val="auto"/>
          <w:sz w:val="24"/>
          <w:highlight w:val="none"/>
        </w:rPr>
      </w:pPr>
    </w:p>
    <w:p w14:paraId="56C35466">
      <w:pPr>
        <w:spacing w:before="120" w:line="480" w:lineRule="auto"/>
        <w:ind w:left="960"/>
        <w:rPr>
          <w:rFonts w:hint="eastAsia" w:ascii="宋体" w:hAnsi="宋体"/>
          <w:color w:val="auto"/>
          <w:sz w:val="24"/>
          <w:highlight w:val="none"/>
        </w:rPr>
      </w:pPr>
    </w:p>
    <w:p w14:paraId="68250AFC">
      <w:pPr>
        <w:spacing w:before="120" w:line="480" w:lineRule="auto"/>
        <w:ind w:left="960"/>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项目名称：    </w:t>
      </w:r>
    </w:p>
    <w:p w14:paraId="4DDB39A7">
      <w:pPr>
        <w:spacing w:before="120" w:line="480" w:lineRule="auto"/>
        <w:ind w:left="960"/>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p>
    <w:p w14:paraId="3B19E704">
      <w:pPr>
        <w:spacing w:before="120" w:line="480" w:lineRule="auto"/>
        <w:ind w:left="96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甲方（</w:t>
      </w:r>
      <w:r>
        <w:rPr>
          <w:rFonts w:hint="eastAsia" w:ascii="宋体" w:hAnsi="宋体" w:eastAsia="宋体" w:cs="宋体"/>
          <w:color w:val="auto"/>
          <w:szCs w:val="21"/>
          <w:highlight w:val="none"/>
          <w:lang w:val="en-US" w:eastAsia="zh-CN"/>
        </w:rPr>
        <w:t>招标人</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u w:val="single"/>
        </w:rPr>
        <w:t xml:space="preserve">                              </w:t>
      </w:r>
    </w:p>
    <w:p w14:paraId="4B11751A">
      <w:pPr>
        <w:spacing w:before="120" w:line="480" w:lineRule="auto"/>
        <w:ind w:left="96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乙方（中标人）：</w:t>
      </w:r>
      <w:r>
        <w:rPr>
          <w:rFonts w:hint="eastAsia" w:ascii="宋体" w:hAnsi="宋体" w:eastAsia="宋体" w:cs="宋体"/>
          <w:color w:val="auto"/>
          <w:szCs w:val="21"/>
          <w:highlight w:val="none"/>
          <w:u w:val="single"/>
        </w:rPr>
        <w:t xml:space="preserve">                              </w:t>
      </w:r>
    </w:p>
    <w:p w14:paraId="61F31DD2">
      <w:pPr>
        <w:spacing w:before="120" w:line="480" w:lineRule="auto"/>
        <w:ind w:firstLine="840" w:firstLineChars="40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签订地：</w:t>
      </w:r>
      <w:r>
        <w:rPr>
          <w:rFonts w:hint="eastAsia" w:ascii="宋体" w:hAnsi="宋体" w:eastAsia="宋体" w:cs="宋体"/>
          <w:color w:val="auto"/>
          <w:szCs w:val="21"/>
          <w:highlight w:val="none"/>
          <w:u w:val="single"/>
        </w:rPr>
        <w:t xml:space="preserve">                                     </w:t>
      </w:r>
    </w:p>
    <w:p w14:paraId="6ABD70CC">
      <w:pPr>
        <w:spacing w:before="120" w:line="480" w:lineRule="auto"/>
        <w:ind w:firstLine="840" w:firstLineChars="400"/>
        <w:rPr>
          <w:rFonts w:hint="eastAsia" w:ascii="宋体" w:hAnsi="宋体" w:eastAsia="宋体" w:cs="宋体"/>
          <w:color w:val="auto"/>
          <w:szCs w:val="21"/>
          <w:highlight w:val="none"/>
        </w:rPr>
      </w:pPr>
      <w:r>
        <w:rPr>
          <w:rFonts w:hint="eastAsia" w:ascii="宋体" w:hAnsi="宋体" w:eastAsia="宋体" w:cs="宋体"/>
          <w:color w:val="auto"/>
          <w:szCs w:val="21"/>
          <w:highlight w:val="none"/>
        </w:rPr>
        <w:t>签订日期：</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年</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月</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日</w:t>
      </w:r>
    </w:p>
    <w:p w14:paraId="665F7C5D">
      <w:pPr>
        <w:widowControl/>
        <w:jc w:val="left"/>
        <w:rPr>
          <w:rFonts w:ascii="宋体" w:hAnsi="宋体"/>
          <w:color w:val="auto"/>
          <w:szCs w:val="21"/>
          <w:highlight w:val="none"/>
        </w:rPr>
      </w:pPr>
      <w:r>
        <w:rPr>
          <w:rFonts w:ascii="宋体" w:hAnsi="宋体"/>
          <w:color w:val="auto"/>
          <w:szCs w:val="21"/>
          <w:highlight w:val="none"/>
        </w:rPr>
        <w:br w:type="page"/>
      </w:r>
    </w:p>
    <w:p w14:paraId="37CDE593">
      <w:pPr>
        <w:keepNext w:val="0"/>
        <w:keepLines w:val="0"/>
        <w:pageBreakBefore w:val="0"/>
        <w:kinsoku/>
        <w:wordWrap/>
        <w:overflowPunct/>
        <w:topLinePunct w:val="0"/>
        <w:bidi w:val="0"/>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i/>
          <w:iCs/>
          <w:color w:val="auto"/>
          <w:szCs w:val="21"/>
          <w:highlight w:val="none"/>
          <w:u w:val="single"/>
        </w:rPr>
        <w:t>（采购人名称）</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zh-CN"/>
        </w:rPr>
        <w:t>以下简称：甲方</w:t>
      </w:r>
      <w:r>
        <w:rPr>
          <w:rFonts w:hint="eastAsia" w:ascii="宋体" w:hAnsi="宋体" w:eastAsia="宋体" w:cs="宋体"/>
          <w:color w:val="auto"/>
          <w:szCs w:val="21"/>
          <w:highlight w:val="none"/>
        </w:rPr>
        <w:t>）通过公开招标，经评标委员会评定，确定</w:t>
      </w:r>
      <w:r>
        <w:rPr>
          <w:rFonts w:hint="eastAsia" w:ascii="宋体" w:hAnsi="宋体" w:eastAsia="宋体" w:cs="宋体"/>
          <w:i/>
          <w:iCs/>
          <w:color w:val="auto"/>
          <w:szCs w:val="21"/>
          <w:highlight w:val="none"/>
          <w:u w:val="single"/>
        </w:rPr>
        <w:t>（中标人名称）</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zh-CN"/>
        </w:rPr>
        <w:t>以下简称：乙方</w:t>
      </w:r>
      <w:r>
        <w:rPr>
          <w:rFonts w:hint="eastAsia" w:ascii="宋体" w:hAnsi="宋体" w:eastAsia="宋体" w:cs="宋体"/>
          <w:color w:val="auto"/>
          <w:szCs w:val="21"/>
          <w:highlight w:val="none"/>
        </w:rPr>
        <w:t>）为本项目中标人，现按照</w:t>
      </w:r>
      <w:r>
        <w:rPr>
          <w:rFonts w:hint="eastAsia" w:ascii="宋体" w:hAnsi="宋体" w:eastAsia="宋体" w:cs="宋体"/>
          <w:color w:val="auto"/>
          <w:szCs w:val="21"/>
          <w:highlight w:val="none"/>
          <w:lang w:val="en-US" w:eastAsia="zh-CN"/>
        </w:rPr>
        <w:t>招标</w:t>
      </w:r>
      <w:r>
        <w:rPr>
          <w:rFonts w:hint="eastAsia" w:ascii="宋体" w:hAnsi="宋体" w:eastAsia="宋体" w:cs="宋体"/>
          <w:color w:val="auto"/>
          <w:szCs w:val="21"/>
          <w:highlight w:val="none"/>
        </w:rPr>
        <w:t>文件确定的事项签订本合同。</w:t>
      </w:r>
    </w:p>
    <w:p w14:paraId="6B7E9221">
      <w:pPr>
        <w:keepNext w:val="0"/>
        <w:keepLines w:val="0"/>
        <w:pageBreakBefore w:val="0"/>
        <w:kinsoku/>
        <w:wordWrap/>
        <w:overflowPunct/>
        <w:topLinePunct w:val="0"/>
        <w:bidi w:val="0"/>
        <w:snapToGrid/>
        <w:spacing w:line="500" w:lineRule="exact"/>
        <w:ind w:firstLine="435"/>
        <w:textAlignment w:val="auto"/>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rPr>
        <w:t>根据《中华人民共和国民法典》等相关法律法规之规定，按照平等、自愿、公平和诚实信用的原则，经甲方和乙方协商一致，约定以下合同条款，以兹共同遵守、全面履行。</w:t>
      </w:r>
    </w:p>
    <w:p w14:paraId="0E3D4ADB">
      <w:pPr>
        <w:keepNext w:val="0"/>
        <w:keepLines w:val="0"/>
        <w:pageBreakBefore w:val="0"/>
        <w:kinsoku/>
        <w:wordWrap/>
        <w:overflowPunct/>
        <w:topLinePunct w:val="0"/>
        <w:bidi w:val="0"/>
        <w:snapToGrid/>
        <w:spacing w:line="500" w:lineRule="exact"/>
        <w:ind w:firstLine="437"/>
        <w:textAlignment w:val="auto"/>
        <w:outlineLvl w:val="3"/>
        <w:rPr>
          <w:rFonts w:hint="eastAsia" w:ascii="宋体" w:hAnsi="宋体" w:eastAsia="宋体" w:cs="宋体"/>
          <w:b/>
          <w:bCs/>
          <w:color w:val="auto"/>
          <w:szCs w:val="21"/>
          <w:highlight w:val="none"/>
          <w:lang w:val="zh-CN"/>
        </w:rPr>
      </w:pPr>
      <w:bookmarkStart w:id="67" w:name="_Toc3029"/>
      <w:bookmarkStart w:id="68" w:name="_Toc24059"/>
      <w:bookmarkStart w:id="69" w:name="_Toc2232"/>
      <w:r>
        <w:rPr>
          <w:rFonts w:hint="eastAsia" w:ascii="宋体" w:hAnsi="宋体" w:eastAsia="宋体" w:cs="宋体"/>
          <w:b/>
          <w:bCs/>
          <w:color w:val="auto"/>
          <w:szCs w:val="21"/>
          <w:highlight w:val="none"/>
          <w:lang w:val="zh-CN"/>
        </w:rPr>
        <w:t>1.1 合同组成部分</w:t>
      </w:r>
      <w:bookmarkEnd w:id="67"/>
      <w:bookmarkEnd w:id="68"/>
      <w:bookmarkEnd w:id="69"/>
    </w:p>
    <w:p w14:paraId="61366D7B">
      <w:pPr>
        <w:keepNext w:val="0"/>
        <w:keepLines w:val="0"/>
        <w:pageBreakBefore w:val="0"/>
        <w:kinsoku/>
        <w:wordWrap/>
        <w:overflowPunct/>
        <w:topLinePunct w:val="0"/>
        <w:bidi w:val="0"/>
        <w:snapToGrid/>
        <w:spacing w:line="500" w:lineRule="exact"/>
        <w:ind w:firstLine="435"/>
        <w:textAlignment w:val="auto"/>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下列文件为本合同的组成部分，并构成一个整体，需综合解释、相互补充。如果下列文件内容出现不一致的情形，那么在保证按照</w:t>
      </w:r>
      <w:r>
        <w:rPr>
          <w:rFonts w:hint="eastAsia" w:ascii="宋体" w:hAnsi="宋体" w:eastAsia="宋体" w:cs="宋体"/>
          <w:color w:val="auto"/>
          <w:szCs w:val="21"/>
          <w:highlight w:val="none"/>
          <w:lang w:val="en-US" w:eastAsia="zh-CN"/>
        </w:rPr>
        <w:t>招标</w:t>
      </w:r>
      <w:r>
        <w:rPr>
          <w:rFonts w:hint="eastAsia" w:ascii="宋体" w:hAnsi="宋体" w:eastAsia="宋体" w:cs="宋体"/>
          <w:color w:val="auto"/>
          <w:szCs w:val="21"/>
          <w:highlight w:val="none"/>
          <w:lang w:val="zh-CN"/>
        </w:rPr>
        <w:t>文件确定的事项前提下，组成本合同的多个文件的优先适用顺序如下：</w:t>
      </w:r>
    </w:p>
    <w:p w14:paraId="2A933906">
      <w:pPr>
        <w:keepNext w:val="0"/>
        <w:keepLines w:val="0"/>
        <w:pageBreakBefore w:val="0"/>
        <w:kinsoku/>
        <w:wordWrap/>
        <w:overflowPunct/>
        <w:topLinePunct w:val="0"/>
        <w:bidi w:val="0"/>
        <w:snapToGrid/>
        <w:spacing w:line="500" w:lineRule="exact"/>
        <w:ind w:firstLine="435"/>
        <w:textAlignment w:val="auto"/>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1.1.1本合同及其补充合同、变更协议；</w:t>
      </w:r>
    </w:p>
    <w:p w14:paraId="0B4A7E27">
      <w:pPr>
        <w:keepNext w:val="0"/>
        <w:keepLines w:val="0"/>
        <w:pageBreakBefore w:val="0"/>
        <w:kinsoku/>
        <w:wordWrap/>
        <w:overflowPunct/>
        <w:topLinePunct w:val="0"/>
        <w:bidi w:val="0"/>
        <w:snapToGrid/>
        <w:spacing w:line="500" w:lineRule="exact"/>
        <w:ind w:firstLine="435"/>
        <w:textAlignment w:val="auto"/>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1.1.2中标通知书；</w:t>
      </w:r>
    </w:p>
    <w:p w14:paraId="6CC60EB3">
      <w:pPr>
        <w:keepNext w:val="0"/>
        <w:keepLines w:val="0"/>
        <w:pageBreakBefore w:val="0"/>
        <w:kinsoku/>
        <w:wordWrap/>
        <w:overflowPunct/>
        <w:topLinePunct w:val="0"/>
        <w:bidi w:val="0"/>
        <w:snapToGrid/>
        <w:spacing w:line="500" w:lineRule="exact"/>
        <w:ind w:firstLine="435"/>
        <w:textAlignment w:val="auto"/>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1.1.3投标文件（含澄清或者说明文件）；</w:t>
      </w:r>
    </w:p>
    <w:p w14:paraId="3F06DC6A">
      <w:pPr>
        <w:keepNext w:val="0"/>
        <w:keepLines w:val="0"/>
        <w:pageBreakBefore w:val="0"/>
        <w:kinsoku/>
        <w:wordWrap/>
        <w:overflowPunct/>
        <w:topLinePunct w:val="0"/>
        <w:bidi w:val="0"/>
        <w:snapToGrid/>
        <w:spacing w:line="500" w:lineRule="exact"/>
        <w:ind w:firstLine="435"/>
        <w:textAlignment w:val="auto"/>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1.1.4招标文件（含澄清或者修改文件）；</w:t>
      </w:r>
    </w:p>
    <w:p w14:paraId="3FA10051">
      <w:pPr>
        <w:keepNext w:val="0"/>
        <w:keepLines w:val="0"/>
        <w:pageBreakBefore w:val="0"/>
        <w:kinsoku/>
        <w:wordWrap/>
        <w:overflowPunct/>
        <w:topLinePunct w:val="0"/>
        <w:bidi w:val="0"/>
        <w:snapToGrid/>
        <w:spacing w:line="500" w:lineRule="exact"/>
        <w:ind w:firstLine="435"/>
        <w:textAlignment w:val="auto"/>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1.1.5其他相关采购文件。</w:t>
      </w:r>
    </w:p>
    <w:p w14:paraId="67BF5AF3">
      <w:pPr>
        <w:keepNext w:val="0"/>
        <w:keepLines w:val="0"/>
        <w:pageBreakBefore w:val="0"/>
        <w:kinsoku/>
        <w:wordWrap/>
        <w:overflowPunct/>
        <w:topLinePunct w:val="0"/>
        <w:bidi w:val="0"/>
        <w:snapToGrid/>
        <w:spacing w:line="500" w:lineRule="exact"/>
        <w:ind w:firstLine="437"/>
        <w:textAlignment w:val="auto"/>
        <w:outlineLvl w:val="3"/>
        <w:rPr>
          <w:rFonts w:hint="eastAsia" w:ascii="宋体" w:hAnsi="宋体" w:eastAsia="宋体" w:cs="宋体"/>
          <w:b/>
          <w:bCs/>
          <w:color w:val="auto"/>
          <w:szCs w:val="21"/>
          <w:highlight w:val="none"/>
          <w:lang w:val="zh-CN"/>
        </w:rPr>
      </w:pPr>
      <w:bookmarkStart w:id="70" w:name="_Toc6311"/>
      <w:bookmarkStart w:id="71" w:name="_Toc2918"/>
      <w:bookmarkStart w:id="72" w:name="_Toc18585"/>
      <w:bookmarkStart w:id="73" w:name="_Toc6773"/>
      <w:bookmarkStart w:id="74" w:name="_Toc22185"/>
      <w:r>
        <w:rPr>
          <w:rFonts w:hint="eastAsia" w:ascii="宋体" w:hAnsi="宋体" w:eastAsia="宋体" w:cs="宋体"/>
          <w:b/>
          <w:bCs/>
          <w:color w:val="auto"/>
          <w:szCs w:val="21"/>
          <w:highlight w:val="none"/>
          <w:lang w:val="zh-CN"/>
        </w:rPr>
        <w:t xml:space="preserve">1.2 </w:t>
      </w:r>
      <w:bookmarkEnd w:id="70"/>
      <w:bookmarkEnd w:id="71"/>
      <w:bookmarkEnd w:id="72"/>
      <w:bookmarkEnd w:id="73"/>
      <w:bookmarkEnd w:id="74"/>
      <w:r>
        <w:rPr>
          <w:rFonts w:hint="eastAsia" w:ascii="宋体" w:hAnsi="宋体" w:eastAsia="宋体" w:cs="宋体"/>
          <w:b/>
          <w:bCs/>
          <w:color w:val="auto"/>
          <w:szCs w:val="21"/>
          <w:highlight w:val="none"/>
          <w:lang w:val="zh-CN"/>
        </w:rPr>
        <w:t>服务</w:t>
      </w:r>
    </w:p>
    <w:p w14:paraId="23620A41">
      <w:pPr>
        <w:keepNext w:val="0"/>
        <w:keepLines w:val="0"/>
        <w:pageBreakBefore w:val="0"/>
        <w:kinsoku/>
        <w:wordWrap/>
        <w:overflowPunct/>
        <w:topLinePunct w:val="0"/>
        <w:bidi w:val="0"/>
        <w:snapToGrid/>
        <w:spacing w:line="500" w:lineRule="exact"/>
        <w:ind w:firstLine="435"/>
        <w:textAlignment w:val="auto"/>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1.2.1服务名称：</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w:t>
      </w:r>
    </w:p>
    <w:p w14:paraId="5DF8ADA3">
      <w:pPr>
        <w:keepNext w:val="0"/>
        <w:keepLines w:val="0"/>
        <w:pageBreakBefore w:val="0"/>
        <w:kinsoku/>
        <w:wordWrap/>
        <w:overflowPunct/>
        <w:topLinePunct w:val="0"/>
        <w:bidi w:val="0"/>
        <w:snapToGrid/>
        <w:spacing w:line="500" w:lineRule="exact"/>
        <w:ind w:firstLine="435"/>
        <w:textAlignment w:val="auto"/>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1.2.2服务内容：</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w:t>
      </w:r>
    </w:p>
    <w:p w14:paraId="32B4442C">
      <w:pPr>
        <w:keepNext w:val="0"/>
        <w:keepLines w:val="0"/>
        <w:pageBreakBefore w:val="0"/>
        <w:kinsoku/>
        <w:wordWrap/>
        <w:overflowPunct/>
        <w:topLinePunct w:val="0"/>
        <w:bidi w:val="0"/>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1.2.3服务质量：</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w:t>
      </w:r>
    </w:p>
    <w:p w14:paraId="3A8687D2">
      <w:pPr>
        <w:keepNext w:val="0"/>
        <w:keepLines w:val="0"/>
        <w:pageBreakBefore w:val="0"/>
        <w:kinsoku/>
        <w:wordWrap/>
        <w:overflowPunct/>
        <w:topLinePunct w:val="0"/>
        <w:bidi w:val="0"/>
        <w:snapToGrid/>
        <w:spacing w:line="500" w:lineRule="exact"/>
        <w:ind w:firstLine="437"/>
        <w:textAlignment w:val="auto"/>
        <w:outlineLvl w:val="3"/>
        <w:rPr>
          <w:rFonts w:hint="eastAsia" w:ascii="宋体" w:hAnsi="宋体" w:eastAsia="宋体" w:cs="宋体"/>
          <w:b/>
          <w:bCs/>
          <w:color w:val="auto"/>
          <w:szCs w:val="21"/>
          <w:highlight w:val="none"/>
          <w:lang w:val="zh-CN"/>
        </w:rPr>
      </w:pPr>
      <w:bookmarkStart w:id="75" w:name="_Toc21551"/>
      <w:bookmarkStart w:id="76" w:name="_Toc21631"/>
      <w:bookmarkStart w:id="77" w:name="_Toc23292"/>
      <w:r>
        <w:rPr>
          <w:rFonts w:hint="eastAsia" w:ascii="宋体" w:hAnsi="宋体" w:eastAsia="宋体" w:cs="宋体"/>
          <w:b/>
          <w:bCs/>
          <w:color w:val="auto"/>
          <w:szCs w:val="21"/>
          <w:highlight w:val="none"/>
          <w:lang w:val="zh-CN"/>
        </w:rPr>
        <w:t>1.3 价款</w:t>
      </w:r>
      <w:bookmarkEnd w:id="75"/>
      <w:bookmarkEnd w:id="76"/>
      <w:bookmarkEnd w:id="77"/>
    </w:p>
    <w:p w14:paraId="576C773B">
      <w:pPr>
        <w:keepNext w:val="0"/>
        <w:keepLines w:val="0"/>
        <w:pageBreakBefore w:val="0"/>
        <w:kinsoku/>
        <w:wordWrap/>
        <w:overflowPunct/>
        <w:topLinePunct w:val="0"/>
        <w:bidi w:val="0"/>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本合同总价为：￥</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元（大写：人民币</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元）。</w:t>
      </w:r>
    </w:p>
    <w:p w14:paraId="3C2ABDC7">
      <w:pPr>
        <w:keepNext w:val="0"/>
        <w:keepLines w:val="0"/>
        <w:pageBreakBefore w:val="0"/>
        <w:kinsoku/>
        <w:wordWrap/>
        <w:overflowPunct/>
        <w:topLinePunct w:val="0"/>
        <w:bidi w:val="0"/>
        <w:snapToGrid/>
        <w:spacing w:line="500" w:lineRule="exact"/>
        <w:ind w:firstLine="437"/>
        <w:textAlignment w:val="auto"/>
        <w:outlineLvl w:val="3"/>
        <w:rPr>
          <w:rFonts w:hint="eastAsia" w:ascii="宋体" w:hAnsi="宋体" w:eastAsia="宋体" w:cs="宋体"/>
          <w:b/>
          <w:bCs/>
          <w:color w:val="auto"/>
          <w:szCs w:val="21"/>
          <w:highlight w:val="none"/>
          <w:lang w:val="zh-CN"/>
        </w:rPr>
      </w:pPr>
      <w:bookmarkStart w:id="78" w:name="_Toc22618"/>
      <w:bookmarkStart w:id="79" w:name="_Toc1814"/>
      <w:bookmarkStart w:id="80" w:name="_Toc10340"/>
      <w:r>
        <w:rPr>
          <w:rFonts w:hint="eastAsia" w:ascii="宋体" w:hAnsi="宋体" w:eastAsia="宋体" w:cs="宋体"/>
          <w:b/>
          <w:bCs/>
          <w:color w:val="auto"/>
          <w:szCs w:val="21"/>
          <w:highlight w:val="none"/>
          <w:lang w:val="zh-CN"/>
        </w:rPr>
        <w:t>1.4 付款方式和发票开具方式</w:t>
      </w:r>
      <w:bookmarkEnd w:id="78"/>
      <w:bookmarkEnd w:id="79"/>
      <w:bookmarkEnd w:id="80"/>
    </w:p>
    <w:p w14:paraId="610A152E">
      <w:pPr>
        <w:pStyle w:val="103"/>
        <w:keepNext w:val="0"/>
        <w:keepLines w:val="0"/>
        <w:pageBreakBefore w:val="0"/>
        <w:kinsoku/>
        <w:wordWrap/>
        <w:overflowPunct/>
        <w:topLinePunct w:val="0"/>
        <w:bidi w:val="0"/>
        <w:snapToGrid/>
        <w:spacing w:before="0" w:beforeAutospacing="0" w:after="0" w:afterAutospacing="0" w:line="500" w:lineRule="exact"/>
        <w:ind w:firstLine="420" w:firstLineChars="200"/>
        <w:jc w:val="both"/>
        <w:textAlignment w:val="auto"/>
        <w:rPr>
          <w:rFonts w:hint="default"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rPr>
        <w:t>1.4.1付款方式：</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w:t>
      </w:r>
      <w:r>
        <w:rPr>
          <w:rFonts w:hint="eastAsia" w:ascii="宋体" w:hAnsi="宋体" w:eastAsia="宋体" w:cs="宋体"/>
          <w:b/>
          <w:bCs/>
          <w:color w:val="auto"/>
          <w:sz w:val="21"/>
          <w:szCs w:val="21"/>
          <w:highlight w:val="none"/>
          <w:u w:val="single"/>
          <w:lang w:val="en-US" w:eastAsia="zh-CN"/>
        </w:rPr>
        <w:t xml:space="preserve">          </w:t>
      </w:r>
    </w:p>
    <w:p w14:paraId="7C173B91">
      <w:pPr>
        <w:keepNext w:val="0"/>
        <w:keepLines w:val="0"/>
        <w:pageBreakBefore w:val="0"/>
        <w:kinsoku/>
        <w:wordWrap/>
        <w:overflowPunct/>
        <w:topLinePunct w:val="0"/>
        <w:bidi w:val="0"/>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1.4.2发票开具方式：</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w:t>
      </w:r>
    </w:p>
    <w:p w14:paraId="34802035">
      <w:pPr>
        <w:keepNext w:val="0"/>
        <w:keepLines w:val="0"/>
        <w:pageBreakBefore w:val="0"/>
        <w:kinsoku/>
        <w:wordWrap/>
        <w:overflowPunct/>
        <w:topLinePunct w:val="0"/>
        <w:bidi w:val="0"/>
        <w:snapToGrid/>
        <w:spacing w:line="500" w:lineRule="exact"/>
        <w:ind w:firstLine="437"/>
        <w:textAlignment w:val="auto"/>
        <w:outlineLvl w:val="3"/>
        <w:rPr>
          <w:rFonts w:hint="eastAsia" w:ascii="宋体" w:hAnsi="宋体" w:eastAsia="宋体" w:cs="宋体"/>
          <w:b/>
          <w:bCs/>
          <w:color w:val="auto"/>
          <w:szCs w:val="21"/>
          <w:highlight w:val="none"/>
          <w:lang w:val="zh-CN"/>
        </w:rPr>
      </w:pPr>
      <w:bookmarkStart w:id="81" w:name="_Toc32071"/>
      <w:bookmarkStart w:id="82" w:name="_Toc19304"/>
      <w:bookmarkStart w:id="83" w:name="_Toc2846"/>
      <w:r>
        <w:rPr>
          <w:rFonts w:hint="eastAsia" w:ascii="宋体" w:hAnsi="宋体" w:eastAsia="宋体" w:cs="宋体"/>
          <w:b/>
          <w:bCs/>
          <w:color w:val="auto"/>
          <w:szCs w:val="21"/>
          <w:highlight w:val="none"/>
          <w:lang w:val="zh-CN"/>
        </w:rPr>
        <w:t>1.5 服务期限、地点和方式</w:t>
      </w:r>
      <w:bookmarkEnd w:id="81"/>
      <w:bookmarkEnd w:id="82"/>
      <w:bookmarkEnd w:id="83"/>
    </w:p>
    <w:p w14:paraId="746C09C6">
      <w:pPr>
        <w:keepNext w:val="0"/>
        <w:keepLines w:val="0"/>
        <w:pageBreakBefore w:val="0"/>
        <w:kinsoku/>
        <w:wordWrap/>
        <w:overflowPunct/>
        <w:topLinePunct w:val="0"/>
        <w:bidi w:val="0"/>
        <w:snapToGrid/>
        <w:spacing w:line="500" w:lineRule="exact"/>
        <w:ind w:firstLine="435"/>
        <w:textAlignment w:val="auto"/>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1.5.1服务期限：</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w:t>
      </w:r>
    </w:p>
    <w:p w14:paraId="71ABA01A">
      <w:pPr>
        <w:keepNext w:val="0"/>
        <w:keepLines w:val="0"/>
        <w:pageBreakBefore w:val="0"/>
        <w:kinsoku/>
        <w:wordWrap/>
        <w:overflowPunct/>
        <w:topLinePunct w:val="0"/>
        <w:bidi w:val="0"/>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1.5.2服务地点：</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w:t>
      </w:r>
    </w:p>
    <w:p w14:paraId="04900036">
      <w:pPr>
        <w:keepNext w:val="0"/>
        <w:keepLines w:val="0"/>
        <w:pageBreakBefore w:val="0"/>
        <w:kinsoku/>
        <w:wordWrap/>
        <w:overflowPunct/>
        <w:topLinePunct w:val="0"/>
        <w:bidi w:val="0"/>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1.5.3服务方式：</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w:t>
      </w:r>
    </w:p>
    <w:p w14:paraId="398210C5">
      <w:pPr>
        <w:keepNext w:val="0"/>
        <w:keepLines w:val="0"/>
        <w:pageBreakBefore w:val="0"/>
        <w:kinsoku/>
        <w:wordWrap/>
        <w:overflowPunct/>
        <w:topLinePunct w:val="0"/>
        <w:bidi w:val="0"/>
        <w:snapToGrid/>
        <w:spacing w:line="500" w:lineRule="exact"/>
        <w:ind w:firstLine="437"/>
        <w:textAlignment w:val="auto"/>
        <w:outlineLvl w:val="3"/>
        <w:rPr>
          <w:rFonts w:hint="eastAsia" w:ascii="宋体" w:hAnsi="宋体" w:eastAsia="宋体" w:cs="宋体"/>
          <w:b/>
          <w:bCs/>
          <w:color w:val="auto"/>
          <w:szCs w:val="21"/>
          <w:highlight w:val="none"/>
          <w:lang w:val="zh-CN"/>
        </w:rPr>
      </w:pPr>
      <w:bookmarkStart w:id="84" w:name="_Toc27250"/>
      <w:bookmarkStart w:id="85" w:name="_Toc21423"/>
      <w:bookmarkStart w:id="86" w:name="_Toc19554"/>
      <w:r>
        <w:rPr>
          <w:rFonts w:hint="eastAsia" w:ascii="宋体" w:hAnsi="宋体" w:eastAsia="宋体" w:cs="宋体"/>
          <w:b/>
          <w:bCs/>
          <w:color w:val="auto"/>
          <w:szCs w:val="21"/>
          <w:highlight w:val="none"/>
          <w:lang w:val="zh-CN"/>
        </w:rPr>
        <w:t>1.6 违约责任</w:t>
      </w:r>
      <w:bookmarkEnd w:id="84"/>
      <w:bookmarkEnd w:id="85"/>
      <w:bookmarkEnd w:id="86"/>
    </w:p>
    <w:p w14:paraId="15571591">
      <w:pPr>
        <w:keepNext w:val="0"/>
        <w:keepLines w:val="0"/>
        <w:pageBreakBefore w:val="0"/>
        <w:kinsoku/>
        <w:wordWrap/>
        <w:overflowPunct/>
        <w:topLinePunct w:val="0"/>
        <w:bidi w:val="0"/>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1.6.1除不可抗力外，如果乙方没有按照本合同约定的期限、地点和方式履行，那么甲方可要求乙方支付违约金，违约金按每迟延履行一日的应提供而未提供服务价格的</w:t>
      </w:r>
      <w:r>
        <w:rPr>
          <w:rFonts w:hint="eastAsia" w:ascii="宋体" w:hAnsi="宋体" w:eastAsia="宋体" w:cs="宋体"/>
          <w:color w:val="auto"/>
          <w:szCs w:val="21"/>
          <w:highlight w:val="none"/>
          <w:u w:val="single"/>
        </w:rPr>
        <w:t xml:space="preserve"> 0.1 </w:t>
      </w:r>
      <w:r>
        <w:rPr>
          <w:rFonts w:hint="eastAsia" w:ascii="宋体" w:hAnsi="宋体" w:eastAsia="宋体" w:cs="宋体"/>
          <w:color w:val="auto"/>
          <w:szCs w:val="21"/>
          <w:highlight w:val="none"/>
        </w:rPr>
        <w:t>%计算，最高限额为本合同总价的</w:t>
      </w:r>
      <w:r>
        <w:rPr>
          <w:rFonts w:hint="eastAsia" w:ascii="宋体" w:hAnsi="宋体" w:eastAsia="宋体" w:cs="宋体"/>
          <w:color w:val="auto"/>
          <w:szCs w:val="21"/>
          <w:highlight w:val="none"/>
          <w:u w:val="single"/>
        </w:rPr>
        <w:t xml:space="preserve"> 10 </w:t>
      </w:r>
      <w:r>
        <w:rPr>
          <w:rFonts w:hint="eastAsia" w:ascii="宋体" w:hAnsi="宋体" w:eastAsia="宋体" w:cs="宋体"/>
          <w:color w:val="auto"/>
          <w:szCs w:val="21"/>
          <w:highlight w:val="none"/>
        </w:rPr>
        <w:t>%；迟延履行的违约金计算数额达到前述最高限额之日起，甲方有权在要求乙方支付违约金的同时，书面通知乙方解除本合同；</w:t>
      </w:r>
    </w:p>
    <w:p w14:paraId="5125CD3C">
      <w:pPr>
        <w:keepNext w:val="0"/>
        <w:keepLines w:val="0"/>
        <w:pageBreakBefore w:val="0"/>
        <w:kinsoku/>
        <w:wordWrap/>
        <w:overflowPunct/>
        <w:topLinePunct w:val="0"/>
        <w:bidi w:val="0"/>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1.6.2除不可抗力外，如果甲方没有按照本合同约定的付款方式付款，那么乙方可要求甲方支付违约金，违约金按每迟延付款一日的应付而未付款的</w:t>
      </w:r>
      <w:r>
        <w:rPr>
          <w:rFonts w:hint="eastAsia" w:ascii="宋体" w:hAnsi="宋体" w:eastAsia="宋体" w:cs="宋体"/>
          <w:color w:val="auto"/>
          <w:szCs w:val="21"/>
          <w:highlight w:val="none"/>
          <w:u w:val="single"/>
        </w:rPr>
        <w:t xml:space="preserve">  /  </w:t>
      </w:r>
      <w:r>
        <w:rPr>
          <w:rFonts w:hint="eastAsia" w:ascii="宋体" w:hAnsi="宋体" w:eastAsia="宋体" w:cs="宋体"/>
          <w:color w:val="auto"/>
          <w:szCs w:val="21"/>
          <w:highlight w:val="none"/>
        </w:rPr>
        <w:t>%计算，最高限额为本合同总价的</w:t>
      </w:r>
      <w:r>
        <w:rPr>
          <w:rFonts w:hint="eastAsia" w:ascii="宋体" w:hAnsi="宋体" w:eastAsia="宋体" w:cs="宋体"/>
          <w:color w:val="auto"/>
          <w:szCs w:val="21"/>
          <w:highlight w:val="none"/>
          <w:u w:val="single"/>
        </w:rPr>
        <w:t xml:space="preserve"> / </w:t>
      </w:r>
      <w:r>
        <w:rPr>
          <w:rFonts w:hint="eastAsia" w:ascii="宋体" w:hAnsi="宋体" w:eastAsia="宋体" w:cs="宋体"/>
          <w:color w:val="auto"/>
          <w:szCs w:val="21"/>
          <w:highlight w:val="none"/>
        </w:rPr>
        <w:t>%；迟延付款的违约金计算数额达到前述最高限额之日起，乙方有权在要求甲方支付违约金的同时，书面通知甲方解除本合同；</w:t>
      </w:r>
    </w:p>
    <w:p w14:paraId="6733CFD2">
      <w:pPr>
        <w:keepNext w:val="0"/>
        <w:keepLines w:val="0"/>
        <w:pageBreakBefore w:val="0"/>
        <w:kinsoku/>
        <w:wordWrap/>
        <w:overflowPunct/>
        <w:topLinePunct w:val="0"/>
        <w:bidi w:val="0"/>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6F481705">
      <w:pPr>
        <w:keepNext w:val="0"/>
        <w:keepLines w:val="0"/>
        <w:pageBreakBefore w:val="0"/>
        <w:kinsoku/>
        <w:wordWrap/>
        <w:overflowPunct/>
        <w:topLinePunct w:val="0"/>
        <w:bidi w:val="0"/>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7390F054">
      <w:pPr>
        <w:keepNext w:val="0"/>
        <w:keepLines w:val="0"/>
        <w:pageBreakBefore w:val="0"/>
        <w:kinsoku/>
        <w:wordWrap/>
        <w:overflowPunct/>
        <w:topLinePunct w:val="0"/>
        <w:bidi w:val="0"/>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3ACF3CA6">
      <w:pPr>
        <w:keepNext w:val="0"/>
        <w:keepLines w:val="0"/>
        <w:pageBreakBefore w:val="0"/>
        <w:kinsoku/>
        <w:wordWrap/>
        <w:overflowPunct/>
        <w:topLinePunct w:val="0"/>
        <w:bidi w:val="0"/>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1.6.6如果出现政府采购监督管理部门在处理投诉事项期间，书面通知甲方暂停采购活动的情形，或者询问或质疑事项可能影响中标结果的，导致甲方中止履行合同的情形，均不视为甲方违约。</w:t>
      </w:r>
    </w:p>
    <w:p w14:paraId="5FBD2776">
      <w:pPr>
        <w:keepNext w:val="0"/>
        <w:keepLines w:val="0"/>
        <w:pageBreakBefore w:val="0"/>
        <w:kinsoku/>
        <w:wordWrap/>
        <w:overflowPunct/>
        <w:topLinePunct w:val="0"/>
        <w:bidi w:val="0"/>
        <w:snapToGrid/>
        <w:spacing w:line="500" w:lineRule="exact"/>
        <w:ind w:firstLine="437"/>
        <w:textAlignment w:val="auto"/>
        <w:outlineLvl w:val="3"/>
        <w:rPr>
          <w:rFonts w:hint="eastAsia" w:ascii="宋体" w:hAnsi="宋体" w:eastAsia="宋体" w:cs="宋体"/>
          <w:b/>
          <w:bCs/>
          <w:color w:val="auto"/>
          <w:szCs w:val="21"/>
          <w:highlight w:val="none"/>
          <w:lang w:val="zh-CN"/>
        </w:rPr>
      </w:pPr>
      <w:bookmarkStart w:id="87" w:name="_Toc16021"/>
      <w:bookmarkStart w:id="88" w:name="_Toc15583"/>
      <w:bookmarkStart w:id="89" w:name="_Toc28375"/>
      <w:r>
        <w:rPr>
          <w:rFonts w:hint="eastAsia" w:ascii="宋体" w:hAnsi="宋体" w:eastAsia="宋体" w:cs="宋体"/>
          <w:b/>
          <w:bCs/>
          <w:color w:val="auto"/>
          <w:szCs w:val="21"/>
          <w:highlight w:val="none"/>
          <w:lang w:val="zh-CN"/>
        </w:rPr>
        <w:t>1.7 合同争议的解决</w:t>
      </w:r>
      <w:bookmarkEnd w:id="87"/>
      <w:bookmarkEnd w:id="88"/>
      <w:bookmarkEnd w:id="89"/>
    </w:p>
    <w:p w14:paraId="51B97A60">
      <w:pPr>
        <w:keepNext w:val="0"/>
        <w:keepLines w:val="0"/>
        <w:pageBreakBefore w:val="0"/>
        <w:kinsoku/>
        <w:wordWrap/>
        <w:overflowPunct/>
        <w:topLinePunct w:val="0"/>
        <w:bidi w:val="0"/>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本合同履行过程中发生的任何争议，双方当事人均可通过和解或者调解解决；不愿和解、调解或者和解、调解不成的，可以选择下列第</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种方式解决：</w:t>
      </w:r>
    </w:p>
    <w:p w14:paraId="0B4B4F55">
      <w:pPr>
        <w:keepNext w:val="0"/>
        <w:keepLines w:val="0"/>
        <w:pageBreakBefore w:val="0"/>
        <w:kinsoku/>
        <w:wordWrap/>
        <w:overflowPunct/>
        <w:topLinePunct w:val="0"/>
        <w:bidi w:val="0"/>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1.7.1将争议提交滁州仲裁委员会依申请仲裁时其现行有效的仲裁规则裁决；</w:t>
      </w:r>
    </w:p>
    <w:p w14:paraId="671015FB">
      <w:pPr>
        <w:keepNext w:val="0"/>
        <w:keepLines w:val="0"/>
        <w:pageBreakBefore w:val="0"/>
        <w:kinsoku/>
        <w:wordWrap/>
        <w:overflowPunct/>
        <w:topLinePunct w:val="0"/>
        <w:bidi w:val="0"/>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1.7.2向甲方（</w:t>
      </w:r>
      <w:r>
        <w:rPr>
          <w:rFonts w:hint="eastAsia" w:ascii="宋体" w:hAnsi="宋体" w:eastAsia="宋体" w:cs="宋体"/>
          <w:color w:val="auto"/>
          <w:szCs w:val="21"/>
          <w:highlight w:val="none"/>
          <w:lang w:val="en-US" w:eastAsia="zh-CN"/>
        </w:rPr>
        <w:t>招标人</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u w:val="none" w:color="000000"/>
        </w:rPr>
        <w:t>所在地</w:t>
      </w:r>
      <w:r>
        <w:rPr>
          <w:rFonts w:hint="eastAsia" w:ascii="宋体" w:hAnsi="宋体" w:eastAsia="宋体" w:cs="宋体"/>
          <w:color w:val="auto"/>
          <w:szCs w:val="21"/>
          <w:highlight w:val="none"/>
        </w:rPr>
        <w:t>人民法院起诉。</w:t>
      </w:r>
    </w:p>
    <w:p w14:paraId="70B06587">
      <w:pPr>
        <w:keepNext w:val="0"/>
        <w:keepLines w:val="0"/>
        <w:pageBreakBefore w:val="0"/>
        <w:kinsoku/>
        <w:wordWrap/>
        <w:overflowPunct/>
        <w:topLinePunct w:val="0"/>
        <w:bidi w:val="0"/>
        <w:snapToGrid/>
        <w:spacing w:line="500" w:lineRule="exact"/>
        <w:ind w:firstLine="437"/>
        <w:textAlignment w:val="auto"/>
        <w:outlineLvl w:val="3"/>
        <w:rPr>
          <w:rFonts w:hint="eastAsia" w:ascii="宋体" w:hAnsi="宋体" w:eastAsia="宋体" w:cs="宋体"/>
          <w:b/>
          <w:bCs/>
          <w:color w:val="auto"/>
          <w:szCs w:val="21"/>
          <w:highlight w:val="none"/>
          <w:lang w:val="zh-CN"/>
        </w:rPr>
      </w:pPr>
      <w:bookmarkStart w:id="90" w:name="_Toc11173"/>
      <w:bookmarkStart w:id="91" w:name="_Toc15322"/>
      <w:bookmarkStart w:id="92" w:name="_Toc7245"/>
      <w:r>
        <w:rPr>
          <w:rFonts w:hint="eastAsia" w:ascii="宋体" w:hAnsi="宋体" w:eastAsia="宋体" w:cs="宋体"/>
          <w:b/>
          <w:bCs/>
          <w:color w:val="auto"/>
          <w:szCs w:val="21"/>
          <w:highlight w:val="none"/>
          <w:lang w:val="zh-CN"/>
        </w:rPr>
        <w:t>1.8 合同生效</w:t>
      </w:r>
      <w:bookmarkEnd w:id="90"/>
      <w:bookmarkEnd w:id="91"/>
      <w:bookmarkEnd w:id="92"/>
    </w:p>
    <w:p w14:paraId="564E57EF">
      <w:pPr>
        <w:keepNext w:val="0"/>
        <w:keepLines w:val="0"/>
        <w:pageBreakBefore w:val="0"/>
        <w:kinsoku/>
        <w:wordWrap/>
        <w:overflowPunct/>
        <w:topLinePunct w:val="0"/>
        <w:bidi w:val="0"/>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本合同自双方当事人盖章时生效。</w:t>
      </w:r>
    </w:p>
    <w:p w14:paraId="28D5E136">
      <w:pPr>
        <w:keepNext w:val="0"/>
        <w:keepLines w:val="0"/>
        <w:pageBreakBefore w:val="0"/>
        <w:kinsoku/>
        <w:wordWrap/>
        <w:overflowPunct/>
        <w:topLinePunct w:val="0"/>
        <w:autoSpaceDE w:val="0"/>
        <w:autoSpaceDN w:val="0"/>
        <w:bidi w:val="0"/>
        <w:adjustRightInd w:val="0"/>
        <w:snapToGrid/>
        <w:spacing w:line="500" w:lineRule="exact"/>
        <w:textAlignment w:val="auto"/>
        <w:rPr>
          <w:rFonts w:hint="eastAsia" w:ascii="宋体" w:hAnsi="宋体" w:eastAsia="宋体" w:cs="宋体"/>
          <w:color w:val="auto"/>
          <w:szCs w:val="21"/>
          <w:highlight w:val="none"/>
          <w:lang w:val="zh-CN"/>
        </w:rPr>
      </w:pPr>
    </w:p>
    <w:p w14:paraId="75C64292">
      <w:pPr>
        <w:keepNext w:val="0"/>
        <w:keepLines w:val="0"/>
        <w:pageBreakBefore w:val="0"/>
        <w:kinsoku/>
        <w:wordWrap/>
        <w:overflowPunct/>
        <w:topLinePunct w:val="0"/>
        <w:autoSpaceDE w:val="0"/>
        <w:autoSpaceDN w:val="0"/>
        <w:bidi w:val="0"/>
        <w:adjustRightInd w:val="0"/>
        <w:snapToGrid/>
        <w:spacing w:line="500" w:lineRule="exact"/>
        <w:textAlignment w:val="auto"/>
        <w:rPr>
          <w:rFonts w:hint="eastAsia" w:ascii="宋体" w:hAnsi="宋体" w:eastAsia="宋体" w:cs="宋体"/>
          <w:color w:val="auto"/>
          <w:szCs w:val="21"/>
          <w:highlight w:val="none"/>
          <w:lang w:val="zh-CN"/>
        </w:rPr>
      </w:pPr>
    </w:p>
    <w:p w14:paraId="02FC7D8F">
      <w:pPr>
        <w:keepNext w:val="0"/>
        <w:keepLines w:val="0"/>
        <w:pageBreakBefore w:val="0"/>
        <w:kinsoku/>
        <w:wordWrap/>
        <w:overflowPunct/>
        <w:topLinePunct w:val="0"/>
        <w:autoSpaceDE w:val="0"/>
        <w:autoSpaceDN w:val="0"/>
        <w:bidi w:val="0"/>
        <w:adjustRightInd w:val="0"/>
        <w:snapToGrid/>
        <w:spacing w:line="500" w:lineRule="exact"/>
        <w:textAlignment w:val="auto"/>
        <w:rPr>
          <w:rFonts w:hint="eastAsia" w:ascii="宋体" w:hAnsi="宋体" w:eastAsia="宋体" w:cs="宋体"/>
          <w:bCs/>
          <w:color w:val="auto"/>
          <w:szCs w:val="21"/>
          <w:highlight w:val="none"/>
          <w:lang w:val="zh-CN"/>
        </w:rPr>
      </w:pPr>
      <w:r>
        <w:rPr>
          <w:rFonts w:hint="eastAsia" w:ascii="宋体" w:hAnsi="宋体" w:eastAsia="宋体" w:cs="宋体"/>
          <w:bCs/>
          <w:color w:val="auto"/>
          <w:szCs w:val="21"/>
          <w:highlight w:val="none"/>
          <w:lang w:val="zh-CN"/>
        </w:rPr>
        <w:t>甲    方：</w:t>
      </w:r>
      <w:r>
        <w:rPr>
          <w:rFonts w:hint="eastAsia" w:ascii="宋体" w:hAnsi="宋体" w:eastAsia="宋体" w:cs="宋体"/>
          <w:bCs/>
          <w:color w:val="auto"/>
          <w:szCs w:val="21"/>
          <w:highlight w:val="none"/>
          <w:u w:val="single"/>
          <w:lang w:val="zh-CN"/>
        </w:rPr>
        <w:t xml:space="preserve">    （单位盖章）     </w:t>
      </w:r>
      <w:r>
        <w:rPr>
          <w:rFonts w:hint="eastAsia" w:ascii="宋体" w:hAnsi="宋体" w:eastAsia="宋体" w:cs="宋体"/>
          <w:bCs/>
          <w:color w:val="auto"/>
          <w:szCs w:val="21"/>
          <w:highlight w:val="none"/>
          <w:lang w:val="zh-CN"/>
        </w:rPr>
        <w:t xml:space="preserve">          乙</w:t>
      </w:r>
      <w:r>
        <w:rPr>
          <w:rFonts w:hint="eastAsia" w:ascii="宋体" w:hAnsi="宋体" w:eastAsia="宋体" w:cs="宋体"/>
          <w:bCs/>
          <w:color w:val="auto"/>
          <w:szCs w:val="21"/>
          <w:highlight w:val="none"/>
        </w:rPr>
        <w:t xml:space="preserve">    </w:t>
      </w:r>
      <w:r>
        <w:rPr>
          <w:rFonts w:hint="eastAsia" w:ascii="宋体" w:hAnsi="宋体" w:eastAsia="宋体" w:cs="宋体"/>
          <w:bCs/>
          <w:color w:val="auto"/>
          <w:szCs w:val="21"/>
          <w:highlight w:val="none"/>
          <w:lang w:val="zh-CN"/>
        </w:rPr>
        <w:t>方：</w:t>
      </w:r>
      <w:r>
        <w:rPr>
          <w:rFonts w:hint="eastAsia" w:ascii="宋体" w:hAnsi="宋体" w:eastAsia="宋体" w:cs="宋体"/>
          <w:bCs/>
          <w:color w:val="auto"/>
          <w:szCs w:val="21"/>
          <w:highlight w:val="none"/>
          <w:u w:val="single"/>
          <w:lang w:val="zh-CN"/>
        </w:rPr>
        <w:t xml:space="preserve">    （单位盖章）     </w:t>
      </w:r>
    </w:p>
    <w:p w14:paraId="6F5B0C69">
      <w:pPr>
        <w:keepNext w:val="0"/>
        <w:keepLines w:val="0"/>
        <w:pageBreakBefore w:val="0"/>
        <w:kinsoku/>
        <w:wordWrap/>
        <w:overflowPunct/>
        <w:topLinePunct w:val="0"/>
        <w:autoSpaceDE w:val="0"/>
        <w:autoSpaceDN w:val="0"/>
        <w:bidi w:val="0"/>
        <w:adjustRightInd w:val="0"/>
        <w:snapToGrid/>
        <w:spacing w:line="500" w:lineRule="exact"/>
        <w:textAlignment w:val="auto"/>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法定代表人                               法定代表人</w:t>
      </w:r>
    </w:p>
    <w:p w14:paraId="3722D560">
      <w:pPr>
        <w:keepNext w:val="0"/>
        <w:keepLines w:val="0"/>
        <w:pageBreakBefore w:val="0"/>
        <w:kinsoku/>
        <w:wordWrap/>
        <w:overflowPunct/>
        <w:topLinePunct w:val="0"/>
        <w:autoSpaceDE w:val="0"/>
        <w:autoSpaceDN w:val="0"/>
        <w:bidi w:val="0"/>
        <w:adjustRightInd w:val="0"/>
        <w:snapToGrid/>
        <w:spacing w:line="500" w:lineRule="exact"/>
        <w:textAlignment w:val="auto"/>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或授权代表（签字）：                     或授权代表（签字）：</w:t>
      </w:r>
    </w:p>
    <w:p w14:paraId="0547555A">
      <w:pPr>
        <w:keepNext w:val="0"/>
        <w:keepLines w:val="0"/>
        <w:pageBreakBefore w:val="0"/>
        <w:widowControl/>
        <w:kinsoku/>
        <w:wordWrap/>
        <w:overflowPunct/>
        <w:topLinePunct w:val="0"/>
        <w:bidi w:val="0"/>
        <w:snapToGrid/>
        <w:spacing w:line="500" w:lineRule="exact"/>
        <w:jc w:val="left"/>
        <w:textAlignment w:val="auto"/>
        <w:rPr>
          <w:rFonts w:hint="eastAsia" w:ascii="宋体" w:hAnsi="宋体" w:eastAsia="宋体" w:cs="宋体"/>
          <w:bCs/>
          <w:color w:val="auto"/>
          <w:szCs w:val="21"/>
          <w:highlight w:val="none"/>
        </w:rPr>
      </w:pPr>
      <w:bookmarkStart w:id="93" w:name="_Toc331685783"/>
      <w:r>
        <w:rPr>
          <w:rFonts w:hint="eastAsia" w:ascii="宋体" w:hAnsi="宋体" w:eastAsia="宋体" w:cs="宋体"/>
          <w:bCs/>
          <w:color w:val="auto"/>
          <w:szCs w:val="21"/>
          <w:highlight w:val="none"/>
        </w:rPr>
        <w:t>时间：</w:t>
      </w:r>
      <w:r>
        <w:rPr>
          <w:rFonts w:hint="eastAsia" w:ascii="宋体" w:hAnsi="宋体" w:eastAsia="宋体" w:cs="宋体"/>
          <w:bCs/>
          <w:color w:val="auto"/>
          <w:szCs w:val="21"/>
          <w:highlight w:val="none"/>
          <w:u w:val="single"/>
        </w:rPr>
        <w:t xml:space="preserve">      </w:t>
      </w:r>
      <w:r>
        <w:rPr>
          <w:rFonts w:hint="eastAsia" w:ascii="宋体" w:hAnsi="宋体" w:eastAsia="宋体" w:cs="宋体"/>
          <w:bCs/>
          <w:color w:val="auto"/>
          <w:szCs w:val="21"/>
          <w:highlight w:val="none"/>
        </w:rPr>
        <w:t>年</w:t>
      </w:r>
      <w:r>
        <w:rPr>
          <w:rFonts w:hint="eastAsia" w:ascii="宋体" w:hAnsi="宋体" w:eastAsia="宋体" w:cs="宋体"/>
          <w:bCs/>
          <w:color w:val="auto"/>
          <w:szCs w:val="21"/>
          <w:highlight w:val="none"/>
          <w:u w:val="single"/>
        </w:rPr>
        <w:t xml:space="preserve">    </w:t>
      </w:r>
      <w:r>
        <w:rPr>
          <w:rFonts w:hint="eastAsia" w:ascii="宋体" w:hAnsi="宋体" w:eastAsia="宋体" w:cs="宋体"/>
          <w:bCs/>
          <w:color w:val="auto"/>
          <w:szCs w:val="21"/>
          <w:highlight w:val="none"/>
        </w:rPr>
        <w:t>月</w:t>
      </w:r>
      <w:r>
        <w:rPr>
          <w:rFonts w:hint="eastAsia" w:ascii="宋体" w:hAnsi="宋体" w:eastAsia="宋体" w:cs="宋体"/>
          <w:bCs/>
          <w:color w:val="auto"/>
          <w:szCs w:val="21"/>
          <w:highlight w:val="none"/>
          <w:u w:val="single"/>
        </w:rPr>
        <w:t xml:space="preserve">    </w:t>
      </w:r>
      <w:r>
        <w:rPr>
          <w:rFonts w:hint="eastAsia" w:ascii="宋体" w:hAnsi="宋体" w:eastAsia="宋体" w:cs="宋体"/>
          <w:bCs/>
          <w:color w:val="auto"/>
          <w:szCs w:val="21"/>
          <w:highlight w:val="none"/>
        </w:rPr>
        <w:t>日               时间：</w:t>
      </w:r>
      <w:r>
        <w:rPr>
          <w:rFonts w:hint="eastAsia" w:ascii="宋体" w:hAnsi="宋体" w:eastAsia="宋体" w:cs="宋体"/>
          <w:bCs/>
          <w:color w:val="auto"/>
          <w:szCs w:val="21"/>
          <w:highlight w:val="none"/>
          <w:u w:val="single"/>
        </w:rPr>
        <w:t xml:space="preserve">      </w:t>
      </w:r>
      <w:r>
        <w:rPr>
          <w:rFonts w:hint="eastAsia" w:ascii="宋体" w:hAnsi="宋体" w:eastAsia="宋体" w:cs="宋体"/>
          <w:bCs/>
          <w:color w:val="auto"/>
          <w:szCs w:val="21"/>
          <w:highlight w:val="none"/>
        </w:rPr>
        <w:t>年</w:t>
      </w:r>
      <w:r>
        <w:rPr>
          <w:rFonts w:hint="eastAsia" w:ascii="宋体" w:hAnsi="宋体" w:eastAsia="宋体" w:cs="宋体"/>
          <w:bCs/>
          <w:color w:val="auto"/>
          <w:szCs w:val="21"/>
          <w:highlight w:val="none"/>
          <w:u w:val="single"/>
        </w:rPr>
        <w:t xml:space="preserve">    </w:t>
      </w:r>
      <w:r>
        <w:rPr>
          <w:rFonts w:hint="eastAsia" w:ascii="宋体" w:hAnsi="宋体" w:eastAsia="宋体" w:cs="宋体"/>
          <w:bCs/>
          <w:color w:val="auto"/>
          <w:szCs w:val="21"/>
          <w:highlight w:val="none"/>
        </w:rPr>
        <w:t>月</w:t>
      </w:r>
      <w:r>
        <w:rPr>
          <w:rFonts w:hint="eastAsia" w:ascii="宋体" w:hAnsi="宋体" w:eastAsia="宋体" w:cs="宋体"/>
          <w:bCs/>
          <w:color w:val="auto"/>
          <w:szCs w:val="21"/>
          <w:highlight w:val="none"/>
          <w:u w:val="single"/>
        </w:rPr>
        <w:t xml:space="preserve">    </w:t>
      </w:r>
      <w:r>
        <w:rPr>
          <w:rFonts w:hint="eastAsia" w:ascii="宋体" w:hAnsi="宋体" w:eastAsia="宋体" w:cs="宋体"/>
          <w:bCs/>
          <w:color w:val="auto"/>
          <w:szCs w:val="21"/>
          <w:highlight w:val="none"/>
        </w:rPr>
        <w:t>日</w:t>
      </w:r>
    </w:p>
    <w:p w14:paraId="04C819B5">
      <w:pPr>
        <w:widowControl/>
        <w:jc w:val="left"/>
        <w:rPr>
          <w:rFonts w:ascii="宋体" w:hAnsi="宋体"/>
          <w:b/>
          <w:color w:val="auto"/>
          <w:szCs w:val="21"/>
          <w:highlight w:val="none"/>
        </w:rPr>
      </w:pPr>
      <w:r>
        <w:rPr>
          <w:rFonts w:ascii="宋体" w:hAnsi="宋体"/>
          <w:b/>
          <w:color w:val="auto"/>
          <w:szCs w:val="21"/>
          <w:highlight w:val="none"/>
        </w:rPr>
        <w:br w:type="page"/>
      </w:r>
    </w:p>
    <w:p w14:paraId="1AFB4BC7">
      <w:pPr>
        <w:widowControl/>
        <w:spacing w:line="400" w:lineRule="exact"/>
        <w:ind w:left="360"/>
        <w:jc w:val="center"/>
        <w:textAlignment w:val="baseline"/>
        <w:outlineLvl w:val="1"/>
        <w:rPr>
          <w:rFonts w:hint="eastAsia" w:ascii="宋体"/>
          <w:b/>
          <w:color w:val="auto"/>
          <w:sz w:val="30"/>
          <w:szCs w:val="30"/>
          <w:highlight w:val="none"/>
        </w:rPr>
      </w:pPr>
      <w:r>
        <w:rPr>
          <w:rFonts w:hint="eastAsia" w:ascii="宋体"/>
          <w:b/>
          <w:color w:val="auto"/>
          <w:sz w:val="30"/>
          <w:szCs w:val="30"/>
          <w:highlight w:val="none"/>
        </w:rPr>
        <w:t>第二部分 合同一般条款</w:t>
      </w:r>
      <w:bookmarkEnd w:id="93"/>
    </w:p>
    <w:p w14:paraId="048A213E">
      <w:pPr>
        <w:keepNext w:val="0"/>
        <w:keepLines w:val="0"/>
        <w:pageBreakBefore w:val="0"/>
        <w:widowControl w:val="0"/>
        <w:kinsoku/>
        <w:wordWrap/>
        <w:overflowPunct/>
        <w:topLinePunct w:val="0"/>
        <w:autoSpaceDE/>
        <w:autoSpaceDN/>
        <w:bidi w:val="0"/>
        <w:adjustRightInd/>
        <w:snapToGrid/>
        <w:spacing w:line="500" w:lineRule="exact"/>
        <w:ind w:firstLine="437"/>
        <w:textAlignment w:val="auto"/>
        <w:outlineLvl w:val="3"/>
        <w:rPr>
          <w:rFonts w:hint="eastAsia" w:ascii="宋体" w:hAnsi="宋体" w:eastAsia="宋体" w:cs="宋体"/>
          <w:b/>
          <w:bCs/>
          <w:color w:val="auto"/>
          <w:szCs w:val="21"/>
          <w:highlight w:val="none"/>
          <w:lang w:val="zh-CN"/>
        </w:rPr>
      </w:pPr>
      <w:bookmarkStart w:id="94" w:name="_Ref467379205"/>
      <w:bookmarkStart w:id="95" w:name="_Ref467379094"/>
      <w:bookmarkStart w:id="96" w:name="_Toc16917"/>
      <w:bookmarkStart w:id="97" w:name="_Ref467379225"/>
      <w:bookmarkStart w:id="98" w:name="_Toc28763"/>
      <w:bookmarkStart w:id="99" w:name="_Ref467379214"/>
      <w:bookmarkStart w:id="100" w:name="_Ref467379109"/>
      <w:bookmarkStart w:id="101" w:name="_Toc279701240"/>
      <w:bookmarkStart w:id="102" w:name="_Ref467379195"/>
      <w:bookmarkStart w:id="103" w:name="_Ref467379101"/>
      <w:bookmarkStart w:id="104" w:name="_Ref467378404"/>
      <w:bookmarkStart w:id="105" w:name="_Ref467378499"/>
      <w:bookmarkStart w:id="106" w:name="_Toc487900349"/>
      <w:bookmarkStart w:id="107" w:name="_Toc259093669"/>
      <w:bookmarkStart w:id="108" w:name="_Ref467378463"/>
      <w:bookmarkStart w:id="109" w:name="_Toc19614"/>
      <w:r>
        <w:rPr>
          <w:rFonts w:hint="eastAsia" w:ascii="宋体" w:hAnsi="宋体" w:eastAsia="宋体" w:cs="宋体"/>
          <w:b/>
          <w:bCs/>
          <w:color w:val="auto"/>
          <w:szCs w:val="21"/>
          <w:highlight w:val="none"/>
          <w:lang w:val="zh-CN"/>
        </w:rPr>
        <w:t>2.1 定义</w:t>
      </w:r>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p>
    <w:p w14:paraId="21183F43">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本合同中的下列词语应按以下内容进行解释：</w:t>
      </w:r>
    </w:p>
    <w:p w14:paraId="4B1558E0">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2.1.1“合同”系指采购人和中标人签订的载明双方当事人所达成的协议，并包括所有的附件、附录和构成合同的其他文件。</w:t>
      </w:r>
    </w:p>
    <w:p w14:paraId="1A153F40">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2.1.2“合同价”系指根据合同约定，中标人在完全履行合同义务后，采购人应支付给中标人的价格。</w:t>
      </w:r>
    </w:p>
    <w:p w14:paraId="54DFD9D3">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2.1.3“服务”系指中标人根据合同约定应向采购人履行的除货物和工程以外的其他政府采购对象，包括采购人自身需要的服务和向社会公众提供的公共服务。</w:t>
      </w:r>
    </w:p>
    <w:p w14:paraId="293FC682">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宋体" w:hAnsi="宋体" w:eastAsia="宋体" w:cs="宋体"/>
          <w:color w:val="auto"/>
          <w:szCs w:val="21"/>
          <w:highlight w:val="none"/>
        </w:rPr>
      </w:pPr>
      <w:bookmarkStart w:id="110" w:name="_Ref467378840"/>
      <w:r>
        <w:rPr>
          <w:rFonts w:hint="eastAsia" w:ascii="宋体" w:hAnsi="宋体" w:eastAsia="宋体" w:cs="宋体"/>
          <w:color w:val="auto"/>
          <w:szCs w:val="21"/>
          <w:highlight w:val="none"/>
        </w:rPr>
        <w:t>2.1.4“甲方”系指与中标人签署合同的采购人</w:t>
      </w:r>
      <w:bookmarkEnd w:id="110"/>
      <w:r>
        <w:rPr>
          <w:rFonts w:hint="eastAsia" w:ascii="宋体" w:hAnsi="宋体" w:eastAsia="宋体" w:cs="宋体"/>
          <w:color w:val="auto"/>
          <w:szCs w:val="21"/>
          <w:highlight w:val="none"/>
        </w:rPr>
        <w:t>；采购人委托采购代理机构代表其与乙方签订合同的，采购人的授权委托书作为合同附件。</w:t>
      </w:r>
    </w:p>
    <w:p w14:paraId="04EACFD4">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宋体" w:hAnsi="宋体" w:eastAsia="宋体" w:cs="宋体"/>
          <w:color w:val="auto"/>
          <w:szCs w:val="21"/>
          <w:highlight w:val="none"/>
        </w:rPr>
      </w:pPr>
      <w:bookmarkStart w:id="111" w:name="_Ref467379400"/>
      <w:r>
        <w:rPr>
          <w:rFonts w:hint="eastAsia" w:ascii="宋体" w:hAnsi="宋体" w:eastAsia="宋体" w:cs="宋体"/>
          <w:color w:val="auto"/>
          <w:szCs w:val="21"/>
          <w:highlight w:val="none"/>
        </w:rPr>
        <w:t>2.1.5“乙方”系指根据合同约定提供服务的中标人</w:t>
      </w:r>
      <w:bookmarkEnd w:id="111"/>
      <w:r>
        <w:rPr>
          <w:rFonts w:hint="eastAsia" w:ascii="宋体" w:hAnsi="宋体" w:eastAsia="宋体" w:cs="宋体"/>
          <w:color w:val="auto"/>
          <w:szCs w:val="21"/>
          <w:highlight w:val="none"/>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63F76187">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宋体" w:hAnsi="宋体" w:eastAsia="宋体" w:cs="宋体"/>
          <w:color w:val="auto"/>
          <w:szCs w:val="21"/>
          <w:highlight w:val="none"/>
        </w:rPr>
      </w:pPr>
      <w:bookmarkStart w:id="112" w:name="_Ref467379436"/>
      <w:r>
        <w:rPr>
          <w:rFonts w:hint="eastAsia" w:ascii="宋体" w:hAnsi="宋体" w:eastAsia="宋体" w:cs="宋体"/>
          <w:color w:val="auto"/>
          <w:szCs w:val="21"/>
          <w:highlight w:val="none"/>
        </w:rPr>
        <w:t>2.1.6“现场”系指合同约定提供服务的地点。</w:t>
      </w:r>
      <w:bookmarkEnd w:id="112"/>
    </w:p>
    <w:p w14:paraId="1D0D85D7">
      <w:pPr>
        <w:keepNext w:val="0"/>
        <w:keepLines w:val="0"/>
        <w:pageBreakBefore w:val="0"/>
        <w:widowControl w:val="0"/>
        <w:kinsoku/>
        <w:wordWrap/>
        <w:overflowPunct/>
        <w:topLinePunct w:val="0"/>
        <w:autoSpaceDE/>
        <w:autoSpaceDN/>
        <w:bidi w:val="0"/>
        <w:adjustRightInd/>
        <w:snapToGrid/>
        <w:spacing w:line="500" w:lineRule="exact"/>
        <w:ind w:firstLine="437"/>
        <w:textAlignment w:val="auto"/>
        <w:outlineLvl w:val="3"/>
        <w:rPr>
          <w:rFonts w:hint="eastAsia" w:ascii="宋体" w:hAnsi="宋体" w:eastAsia="宋体" w:cs="宋体"/>
          <w:b/>
          <w:bCs/>
          <w:color w:val="auto"/>
          <w:szCs w:val="21"/>
          <w:highlight w:val="none"/>
          <w:lang w:val="zh-CN"/>
        </w:rPr>
      </w:pPr>
      <w:bookmarkStart w:id="113" w:name="_Toc27635"/>
      <w:bookmarkStart w:id="114" w:name="_Toc13336"/>
      <w:bookmarkStart w:id="115" w:name="_Toc487900350"/>
      <w:bookmarkStart w:id="116" w:name="_Toc32504"/>
      <w:bookmarkStart w:id="117" w:name="_Toc259093670"/>
      <w:bookmarkStart w:id="118" w:name="_Toc279701241"/>
      <w:r>
        <w:rPr>
          <w:rFonts w:hint="eastAsia" w:ascii="宋体" w:hAnsi="宋体" w:eastAsia="宋体" w:cs="宋体"/>
          <w:b/>
          <w:bCs/>
          <w:color w:val="auto"/>
          <w:szCs w:val="21"/>
          <w:highlight w:val="none"/>
          <w:lang w:val="zh-CN"/>
        </w:rPr>
        <w:t>2.2 技术规范</w:t>
      </w:r>
      <w:bookmarkEnd w:id="113"/>
      <w:bookmarkEnd w:id="114"/>
      <w:bookmarkEnd w:id="115"/>
      <w:bookmarkEnd w:id="116"/>
      <w:bookmarkEnd w:id="117"/>
      <w:bookmarkEnd w:id="118"/>
    </w:p>
    <w:p w14:paraId="7F16F9B0">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货物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14:paraId="180FCFEB">
      <w:pPr>
        <w:keepNext w:val="0"/>
        <w:keepLines w:val="0"/>
        <w:pageBreakBefore w:val="0"/>
        <w:widowControl w:val="0"/>
        <w:kinsoku/>
        <w:wordWrap/>
        <w:overflowPunct/>
        <w:topLinePunct w:val="0"/>
        <w:autoSpaceDE/>
        <w:autoSpaceDN/>
        <w:bidi w:val="0"/>
        <w:adjustRightInd/>
        <w:snapToGrid/>
        <w:spacing w:line="500" w:lineRule="exact"/>
        <w:ind w:firstLine="437"/>
        <w:textAlignment w:val="auto"/>
        <w:outlineLvl w:val="3"/>
        <w:rPr>
          <w:rFonts w:hint="eastAsia" w:ascii="宋体" w:hAnsi="宋体" w:eastAsia="宋体" w:cs="宋体"/>
          <w:b/>
          <w:bCs/>
          <w:color w:val="auto"/>
          <w:szCs w:val="21"/>
          <w:highlight w:val="none"/>
          <w:lang w:val="zh-CN"/>
        </w:rPr>
      </w:pPr>
      <w:bookmarkStart w:id="119" w:name="_Toc279701242"/>
      <w:bookmarkStart w:id="120" w:name="_Toc27853"/>
      <w:bookmarkStart w:id="121" w:name="_Toc259093671"/>
      <w:bookmarkStart w:id="122" w:name="_Toc487900351"/>
      <w:bookmarkStart w:id="123" w:name="_Toc9829"/>
      <w:bookmarkStart w:id="124" w:name="_Toc31634"/>
      <w:r>
        <w:rPr>
          <w:rFonts w:hint="eastAsia" w:ascii="宋体" w:hAnsi="宋体" w:eastAsia="宋体" w:cs="宋体"/>
          <w:b/>
          <w:bCs/>
          <w:color w:val="auto"/>
          <w:szCs w:val="21"/>
          <w:highlight w:val="none"/>
          <w:lang w:val="zh-CN"/>
        </w:rPr>
        <w:t>2.3 知识产权</w:t>
      </w:r>
      <w:bookmarkEnd w:id="119"/>
      <w:bookmarkEnd w:id="120"/>
      <w:bookmarkEnd w:id="121"/>
      <w:bookmarkEnd w:id="122"/>
      <w:bookmarkEnd w:id="123"/>
      <w:bookmarkEnd w:id="124"/>
    </w:p>
    <w:p w14:paraId="7EC3C160">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2.3.1乙方应保证其提供的服务不受任何第三方提出的侵犯其著作权、商标权、专利权等知识产权方面的起诉；如果任何第三方提出侵权指控，那么乙方须与该第三方交涉并承担由此发生的一切责任、费用和赔偿；</w:t>
      </w:r>
    </w:p>
    <w:p w14:paraId="7BB35457">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2.3.2具有知识产权的计算机软件等货物的知识产权归属，详见</w:t>
      </w:r>
      <w:r>
        <w:rPr>
          <w:rFonts w:hint="eastAsia" w:ascii="宋体" w:hAnsi="宋体" w:eastAsia="宋体" w:cs="宋体"/>
          <w:b/>
          <w:i/>
          <w:color w:val="auto"/>
          <w:szCs w:val="21"/>
          <w:highlight w:val="none"/>
          <w:u w:val="single"/>
        </w:rPr>
        <w:t>合同专用条款</w:t>
      </w:r>
      <w:r>
        <w:rPr>
          <w:rFonts w:hint="eastAsia" w:ascii="宋体" w:hAnsi="宋体" w:eastAsia="宋体" w:cs="宋体"/>
          <w:color w:val="auto"/>
          <w:szCs w:val="21"/>
          <w:highlight w:val="none"/>
        </w:rPr>
        <w:t>。</w:t>
      </w:r>
    </w:p>
    <w:p w14:paraId="6921D696">
      <w:pPr>
        <w:keepNext w:val="0"/>
        <w:keepLines w:val="0"/>
        <w:pageBreakBefore w:val="0"/>
        <w:widowControl w:val="0"/>
        <w:kinsoku/>
        <w:wordWrap/>
        <w:overflowPunct/>
        <w:topLinePunct w:val="0"/>
        <w:autoSpaceDE/>
        <w:autoSpaceDN/>
        <w:bidi w:val="0"/>
        <w:adjustRightInd/>
        <w:snapToGrid/>
        <w:spacing w:line="500" w:lineRule="exact"/>
        <w:ind w:firstLine="437"/>
        <w:textAlignment w:val="auto"/>
        <w:outlineLvl w:val="3"/>
        <w:rPr>
          <w:rFonts w:hint="eastAsia" w:ascii="宋体" w:hAnsi="宋体" w:eastAsia="宋体" w:cs="宋体"/>
          <w:b/>
          <w:bCs/>
          <w:color w:val="auto"/>
          <w:szCs w:val="21"/>
          <w:highlight w:val="none"/>
          <w:lang w:val="zh-CN"/>
        </w:rPr>
      </w:pPr>
      <w:bookmarkStart w:id="125" w:name="_Ref467379536"/>
      <w:bookmarkStart w:id="126" w:name="_Toc279701245"/>
      <w:bookmarkStart w:id="127" w:name="_Ref467379527"/>
      <w:bookmarkStart w:id="128" w:name="_Toc259093674"/>
      <w:bookmarkStart w:id="129" w:name="_Ref467379542"/>
      <w:bookmarkStart w:id="130" w:name="_Ref467378591"/>
      <w:bookmarkStart w:id="131" w:name="_Ref467378541"/>
      <w:bookmarkStart w:id="132" w:name="_Toc487900354"/>
      <w:bookmarkStart w:id="133" w:name="_Toc26182"/>
      <w:bookmarkStart w:id="134" w:name="_Toc30272"/>
      <w:bookmarkStart w:id="135" w:name="_Toc19074"/>
      <w:r>
        <w:rPr>
          <w:rFonts w:hint="eastAsia" w:ascii="宋体" w:hAnsi="宋体" w:eastAsia="宋体" w:cs="宋体"/>
          <w:b/>
          <w:bCs/>
          <w:color w:val="auto"/>
          <w:szCs w:val="21"/>
          <w:highlight w:val="none"/>
          <w:lang w:val="zh-CN"/>
        </w:rPr>
        <w:t>2.</w:t>
      </w:r>
      <w:bookmarkEnd w:id="125"/>
      <w:bookmarkEnd w:id="126"/>
      <w:bookmarkEnd w:id="127"/>
      <w:bookmarkEnd w:id="128"/>
      <w:bookmarkEnd w:id="129"/>
      <w:bookmarkEnd w:id="130"/>
      <w:bookmarkEnd w:id="131"/>
      <w:bookmarkEnd w:id="132"/>
      <w:r>
        <w:rPr>
          <w:rFonts w:hint="eastAsia" w:ascii="宋体" w:hAnsi="宋体" w:eastAsia="宋体" w:cs="宋体"/>
          <w:b/>
          <w:bCs/>
          <w:color w:val="auto"/>
          <w:szCs w:val="21"/>
          <w:highlight w:val="none"/>
          <w:lang w:val="zh-CN"/>
        </w:rPr>
        <w:t>4 履约检查和问题反馈</w:t>
      </w:r>
      <w:bookmarkEnd w:id="133"/>
      <w:bookmarkEnd w:id="134"/>
      <w:bookmarkEnd w:id="135"/>
    </w:p>
    <w:p w14:paraId="2EBABDF3">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宋体" w:hAnsi="宋体" w:eastAsia="宋体" w:cs="宋体"/>
          <w:color w:val="auto"/>
          <w:szCs w:val="21"/>
          <w:highlight w:val="none"/>
        </w:rPr>
      </w:pPr>
      <w:bookmarkStart w:id="136" w:name="_Toc186431854"/>
      <w:bookmarkStart w:id="137" w:name="_Toc487900357"/>
      <w:bookmarkStart w:id="138" w:name="_Ref467379807"/>
      <w:bookmarkStart w:id="139" w:name="_Toc279701247"/>
      <w:bookmarkStart w:id="140" w:name="_Ref467379793"/>
      <w:bookmarkStart w:id="141" w:name="_Toc259093676"/>
      <w:r>
        <w:rPr>
          <w:rFonts w:hint="eastAsia" w:ascii="宋体" w:hAnsi="宋体" w:eastAsia="宋体" w:cs="宋体"/>
          <w:color w:val="auto"/>
          <w:szCs w:val="21"/>
          <w:highlight w:val="none"/>
        </w:rPr>
        <w:t>2.4.1甲方有权在其认为必要时，对乙方是否能够按照合同约定提供服务进行履约检查，以确保乙方所提供的服务能够依约满足甲方项目需求，但不得因履约检查妨碍乙方的正常工作，乙方应予积极配合；</w:t>
      </w:r>
    </w:p>
    <w:p w14:paraId="6BFE60EF">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2.4.2合同履行期间，甲方有权将履行过程中出现的问题反馈给乙方，双方当事人应以书面形式约定需要完善和改进的内容</w:t>
      </w:r>
      <w:bookmarkEnd w:id="136"/>
      <w:bookmarkStart w:id="142" w:name="_Toc186431855"/>
      <w:r>
        <w:rPr>
          <w:rFonts w:hint="eastAsia" w:ascii="宋体" w:hAnsi="宋体" w:eastAsia="宋体" w:cs="宋体"/>
          <w:color w:val="auto"/>
          <w:szCs w:val="21"/>
          <w:highlight w:val="none"/>
        </w:rPr>
        <w:t>。</w:t>
      </w:r>
    </w:p>
    <w:bookmarkEnd w:id="142"/>
    <w:p w14:paraId="45350A33">
      <w:pPr>
        <w:keepNext w:val="0"/>
        <w:keepLines w:val="0"/>
        <w:pageBreakBefore w:val="0"/>
        <w:widowControl w:val="0"/>
        <w:kinsoku/>
        <w:wordWrap/>
        <w:overflowPunct/>
        <w:topLinePunct w:val="0"/>
        <w:autoSpaceDE/>
        <w:autoSpaceDN/>
        <w:bidi w:val="0"/>
        <w:adjustRightInd/>
        <w:snapToGrid/>
        <w:spacing w:line="500" w:lineRule="exact"/>
        <w:ind w:firstLine="437"/>
        <w:textAlignment w:val="auto"/>
        <w:outlineLvl w:val="3"/>
        <w:rPr>
          <w:rFonts w:hint="eastAsia" w:ascii="宋体" w:hAnsi="宋体" w:eastAsia="宋体" w:cs="宋体"/>
          <w:b/>
          <w:bCs/>
          <w:color w:val="auto"/>
          <w:szCs w:val="21"/>
          <w:highlight w:val="none"/>
          <w:lang w:val="zh-CN"/>
        </w:rPr>
      </w:pPr>
      <w:bookmarkStart w:id="143" w:name="_Toc7836"/>
      <w:bookmarkStart w:id="144" w:name="_Toc28451"/>
      <w:bookmarkStart w:id="145" w:name="_Toc19219"/>
      <w:r>
        <w:rPr>
          <w:rFonts w:hint="eastAsia" w:ascii="宋体" w:hAnsi="宋体" w:eastAsia="宋体" w:cs="宋体"/>
          <w:b/>
          <w:bCs/>
          <w:color w:val="auto"/>
          <w:szCs w:val="21"/>
          <w:highlight w:val="none"/>
          <w:lang w:val="zh-CN"/>
        </w:rPr>
        <w:t>2.5 结算方式和付款条件</w:t>
      </w:r>
      <w:bookmarkEnd w:id="137"/>
      <w:bookmarkEnd w:id="138"/>
      <w:bookmarkEnd w:id="139"/>
      <w:bookmarkEnd w:id="140"/>
      <w:bookmarkEnd w:id="141"/>
      <w:bookmarkEnd w:id="143"/>
      <w:bookmarkEnd w:id="144"/>
      <w:bookmarkEnd w:id="145"/>
    </w:p>
    <w:p w14:paraId="7593098A">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本项目采用总价合同。</w:t>
      </w:r>
    </w:p>
    <w:p w14:paraId="173718B1">
      <w:pPr>
        <w:keepNext w:val="0"/>
        <w:keepLines w:val="0"/>
        <w:pageBreakBefore w:val="0"/>
        <w:widowControl w:val="0"/>
        <w:kinsoku/>
        <w:wordWrap/>
        <w:overflowPunct/>
        <w:topLinePunct w:val="0"/>
        <w:autoSpaceDE/>
        <w:autoSpaceDN/>
        <w:bidi w:val="0"/>
        <w:adjustRightInd/>
        <w:snapToGrid/>
        <w:spacing w:line="500" w:lineRule="exact"/>
        <w:ind w:firstLine="437"/>
        <w:textAlignment w:val="auto"/>
        <w:outlineLvl w:val="3"/>
        <w:rPr>
          <w:rFonts w:hint="eastAsia" w:ascii="宋体" w:hAnsi="宋体" w:eastAsia="宋体" w:cs="宋体"/>
          <w:b/>
          <w:bCs/>
          <w:color w:val="auto"/>
          <w:szCs w:val="21"/>
          <w:highlight w:val="none"/>
          <w:lang w:val="zh-CN"/>
        </w:rPr>
      </w:pPr>
      <w:bookmarkStart w:id="146" w:name="_Toc279701248"/>
      <w:bookmarkStart w:id="147" w:name="_Ref467379852"/>
      <w:bookmarkStart w:id="148" w:name="_Ref467379923"/>
      <w:bookmarkStart w:id="149" w:name="_Toc487900358"/>
      <w:bookmarkStart w:id="150" w:name="_Toc259093677"/>
      <w:bookmarkStart w:id="151" w:name="_Ref467379863"/>
      <w:bookmarkStart w:id="152" w:name="_Toc3225"/>
      <w:bookmarkStart w:id="153" w:name="_Toc16110"/>
      <w:bookmarkStart w:id="154" w:name="_Toc774"/>
      <w:r>
        <w:rPr>
          <w:rFonts w:hint="eastAsia" w:ascii="宋体" w:hAnsi="宋体" w:eastAsia="宋体" w:cs="宋体"/>
          <w:b/>
          <w:bCs/>
          <w:color w:val="auto"/>
          <w:szCs w:val="21"/>
          <w:highlight w:val="none"/>
          <w:lang w:val="zh-CN"/>
        </w:rPr>
        <w:t>2.6 技术资料</w:t>
      </w:r>
      <w:bookmarkEnd w:id="146"/>
      <w:bookmarkEnd w:id="147"/>
      <w:bookmarkEnd w:id="148"/>
      <w:bookmarkEnd w:id="149"/>
      <w:bookmarkEnd w:id="150"/>
      <w:bookmarkEnd w:id="151"/>
      <w:r>
        <w:rPr>
          <w:rFonts w:hint="eastAsia" w:ascii="宋体" w:hAnsi="宋体" w:eastAsia="宋体" w:cs="宋体"/>
          <w:b/>
          <w:bCs/>
          <w:color w:val="auto"/>
          <w:szCs w:val="21"/>
          <w:highlight w:val="none"/>
          <w:lang w:val="zh-CN"/>
        </w:rPr>
        <w:t>和保密义务</w:t>
      </w:r>
      <w:bookmarkEnd w:id="152"/>
      <w:bookmarkEnd w:id="153"/>
      <w:bookmarkEnd w:id="154"/>
    </w:p>
    <w:p w14:paraId="2060721C">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2.6.1乙方有权依据合同约定和项目需要，向甲方了解有关情况，调阅有关资料等，甲方应予积极配合；</w:t>
      </w:r>
    </w:p>
    <w:p w14:paraId="53D36C96">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2.6.2乙方有义务妥善保管和保护由甲方提供的前款信息和资料等；</w:t>
      </w:r>
    </w:p>
    <w:p w14:paraId="023155A8">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2.6.3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14:paraId="7E7889EB">
      <w:pPr>
        <w:keepNext w:val="0"/>
        <w:keepLines w:val="0"/>
        <w:pageBreakBefore w:val="0"/>
        <w:widowControl w:val="0"/>
        <w:kinsoku/>
        <w:wordWrap/>
        <w:overflowPunct/>
        <w:topLinePunct w:val="0"/>
        <w:autoSpaceDE/>
        <w:autoSpaceDN/>
        <w:bidi w:val="0"/>
        <w:adjustRightInd/>
        <w:snapToGrid/>
        <w:spacing w:line="500" w:lineRule="exact"/>
        <w:ind w:firstLine="437"/>
        <w:textAlignment w:val="auto"/>
        <w:outlineLvl w:val="3"/>
        <w:rPr>
          <w:rFonts w:hint="eastAsia" w:ascii="宋体" w:hAnsi="宋体" w:eastAsia="宋体" w:cs="宋体"/>
          <w:b/>
          <w:bCs/>
          <w:color w:val="auto"/>
          <w:szCs w:val="21"/>
          <w:highlight w:val="none"/>
          <w:lang w:val="zh-CN"/>
        </w:rPr>
      </w:pPr>
      <w:bookmarkStart w:id="155" w:name="_Toc7860"/>
      <w:r>
        <w:rPr>
          <w:rFonts w:hint="eastAsia" w:ascii="宋体" w:hAnsi="宋体" w:eastAsia="宋体" w:cs="宋体"/>
          <w:b/>
          <w:bCs/>
          <w:color w:val="auto"/>
          <w:szCs w:val="21"/>
          <w:highlight w:val="none"/>
          <w:lang w:val="zh-CN"/>
        </w:rPr>
        <w:t>2.7 质量保证</w:t>
      </w:r>
      <w:bookmarkEnd w:id="155"/>
    </w:p>
    <w:p w14:paraId="59C48FEA">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2.7.1乙方应建立和完善履行合同的内部质量保证体系，并提供相关内部规章制度给甲方，以便甲方进行监督检查；</w:t>
      </w:r>
    </w:p>
    <w:p w14:paraId="5C9C8F7D">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2.7.2乙方应保证履行合同的人员数量和素质、软件和硬件设备的配置、场地、环境和设施等满足全面履行合同的要求，并应接受甲方的监督检查。</w:t>
      </w:r>
    </w:p>
    <w:p w14:paraId="7B375784">
      <w:pPr>
        <w:keepNext w:val="0"/>
        <w:keepLines w:val="0"/>
        <w:pageBreakBefore w:val="0"/>
        <w:widowControl w:val="0"/>
        <w:kinsoku/>
        <w:wordWrap/>
        <w:overflowPunct/>
        <w:topLinePunct w:val="0"/>
        <w:autoSpaceDE/>
        <w:autoSpaceDN/>
        <w:bidi w:val="0"/>
        <w:adjustRightInd/>
        <w:snapToGrid/>
        <w:spacing w:line="500" w:lineRule="exact"/>
        <w:ind w:firstLine="437"/>
        <w:textAlignment w:val="auto"/>
        <w:outlineLvl w:val="3"/>
        <w:rPr>
          <w:rFonts w:hint="eastAsia" w:ascii="宋体" w:hAnsi="宋体" w:eastAsia="宋体" w:cs="宋体"/>
          <w:b/>
          <w:color w:val="auto"/>
          <w:szCs w:val="21"/>
          <w:highlight w:val="none"/>
        </w:rPr>
      </w:pPr>
      <w:bookmarkStart w:id="156" w:name="_Toc22267"/>
      <w:r>
        <w:rPr>
          <w:rFonts w:hint="eastAsia" w:ascii="宋体" w:hAnsi="宋体" w:eastAsia="宋体" w:cs="宋体"/>
          <w:b/>
          <w:color w:val="auto"/>
          <w:szCs w:val="21"/>
          <w:highlight w:val="none"/>
        </w:rPr>
        <w:t>2.8 延迟履行</w:t>
      </w:r>
      <w:bookmarkEnd w:id="156"/>
    </w:p>
    <w:p w14:paraId="7A92DA22">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在合同履行过程中，如果乙方遇到不能按时提供服务的情况，应及时以书面形式将不能按时提供服务的理由、预期延误时间通知甲方；甲方收到乙方通知后，认为其理由正当的，可以书面形式酌情同意乙方可以延长履行的具体时间。</w:t>
      </w:r>
    </w:p>
    <w:p w14:paraId="6D32D8E2">
      <w:pPr>
        <w:keepNext w:val="0"/>
        <w:keepLines w:val="0"/>
        <w:pageBreakBefore w:val="0"/>
        <w:widowControl w:val="0"/>
        <w:kinsoku/>
        <w:wordWrap/>
        <w:overflowPunct/>
        <w:topLinePunct w:val="0"/>
        <w:autoSpaceDE/>
        <w:autoSpaceDN/>
        <w:bidi w:val="0"/>
        <w:adjustRightInd/>
        <w:snapToGrid/>
        <w:spacing w:line="500" w:lineRule="exact"/>
        <w:ind w:firstLine="437"/>
        <w:textAlignment w:val="auto"/>
        <w:outlineLvl w:val="3"/>
        <w:rPr>
          <w:rFonts w:hint="eastAsia" w:ascii="宋体" w:hAnsi="宋体" w:eastAsia="宋体" w:cs="宋体"/>
          <w:b/>
          <w:bCs/>
          <w:color w:val="auto"/>
          <w:szCs w:val="21"/>
          <w:highlight w:val="none"/>
          <w:lang w:val="zh-CN"/>
        </w:rPr>
      </w:pPr>
      <w:bookmarkStart w:id="157" w:name="_Toc7502"/>
      <w:bookmarkStart w:id="158" w:name="_Ref467378121"/>
      <w:bookmarkStart w:id="159" w:name="_Toc487900364"/>
      <w:bookmarkStart w:id="160" w:name="_Toc259093683"/>
      <w:bookmarkStart w:id="161" w:name="_Toc279701254"/>
      <w:r>
        <w:rPr>
          <w:rFonts w:hint="eastAsia" w:ascii="宋体" w:hAnsi="宋体" w:eastAsia="宋体" w:cs="宋体"/>
          <w:b/>
          <w:bCs/>
          <w:color w:val="auto"/>
          <w:szCs w:val="21"/>
          <w:highlight w:val="none"/>
          <w:lang w:val="zh-CN"/>
        </w:rPr>
        <w:t>2.9 合同变更</w:t>
      </w:r>
      <w:bookmarkEnd w:id="157"/>
    </w:p>
    <w:p w14:paraId="349ACE12">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2.9.1双方当事人协商一致，可以签订书面补充合同的形式变更合同，但不得违背采购文件确定的事项；</w:t>
      </w:r>
    </w:p>
    <w:p w14:paraId="5FF17883">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2.9.2合同继续履行将损害国家利益和社会公共利益的，双方当事人应当以书面形式变更合同。有过错的一方应当承担赔偿责任，双方当事人都有过错的，各自承担相应的责任。</w:t>
      </w:r>
      <w:bookmarkStart w:id="162" w:name="_Toc259093688"/>
      <w:bookmarkStart w:id="163" w:name="_Toc487900369"/>
      <w:bookmarkStart w:id="164" w:name="_Toc279701259"/>
    </w:p>
    <w:p w14:paraId="64426BA6">
      <w:pPr>
        <w:keepNext w:val="0"/>
        <w:keepLines w:val="0"/>
        <w:pageBreakBefore w:val="0"/>
        <w:widowControl w:val="0"/>
        <w:kinsoku/>
        <w:wordWrap/>
        <w:overflowPunct/>
        <w:topLinePunct w:val="0"/>
        <w:autoSpaceDE/>
        <w:autoSpaceDN/>
        <w:bidi w:val="0"/>
        <w:adjustRightInd/>
        <w:snapToGrid/>
        <w:spacing w:line="500" w:lineRule="exact"/>
        <w:ind w:firstLine="437"/>
        <w:textAlignment w:val="auto"/>
        <w:outlineLvl w:val="3"/>
        <w:rPr>
          <w:rFonts w:hint="eastAsia" w:ascii="宋体" w:hAnsi="宋体" w:eastAsia="宋体" w:cs="宋体"/>
          <w:b/>
          <w:bCs/>
          <w:color w:val="auto"/>
          <w:szCs w:val="21"/>
          <w:highlight w:val="none"/>
          <w:lang w:val="zh-CN"/>
        </w:rPr>
      </w:pPr>
      <w:bookmarkStart w:id="165" w:name="_Toc15237"/>
      <w:bookmarkStart w:id="166" w:name="_Toc10366"/>
      <w:bookmarkStart w:id="167" w:name="_Toc22955"/>
      <w:r>
        <w:rPr>
          <w:rFonts w:hint="eastAsia" w:ascii="宋体" w:hAnsi="宋体" w:eastAsia="宋体" w:cs="宋体"/>
          <w:b/>
          <w:bCs/>
          <w:color w:val="auto"/>
          <w:szCs w:val="21"/>
          <w:highlight w:val="none"/>
          <w:lang w:val="zh-CN"/>
        </w:rPr>
        <w:t>2.10 合同转让</w:t>
      </w:r>
      <w:bookmarkEnd w:id="162"/>
      <w:bookmarkEnd w:id="163"/>
      <w:bookmarkEnd w:id="164"/>
      <w:r>
        <w:rPr>
          <w:rFonts w:hint="eastAsia" w:ascii="宋体" w:hAnsi="宋体" w:eastAsia="宋体" w:cs="宋体"/>
          <w:b/>
          <w:bCs/>
          <w:color w:val="auto"/>
          <w:szCs w:val="21"/>
          <w:highlight w:val="none"/>
          <w:lang w:val="zh-CN"/>
        </w:rPr>
        <w:t>和分包</w:t>
      </w:r>
      <w:bookmarkEnd w:id="165"/>
      <w:bookmarkEnd w:id="166"/>
      <w:bookmarkEnd w:id="167"/>
    </w:p>
    <w:p w14:paraId="2F81271F">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14:paraId="4DAAE76E">
      <w:pPr>
        <w:keepNext w:val="0"/>
        <w:keepLines w:val="0"/>
        <w:pageBreakBefore w:val="0"/>
        <w:widowControl w:val="0"/>
        <w:kinsoku/>
        <w:wordWrap/>
        <w:overflowPunct/>
        <w:topLinePunct w:val="0"/>
        <w:autoSpaceDE/>
        <w:autoSpaceDN/>
        <w:bidi w:val="0"/>
        <w:adjustRightInd/>
        <w:snapToGrid/>
        <w:spacing w:line="500" w:lineRule="exact"/>
        <w:ind w:firstLine="437"/>
        <w:textAlignment w:val="auto"/>
        <w:outlineLvl w:val="3"/>
        <w:rPr>
          <w:rFonts w:hint="eastAsia" w:ascii="宋体" w:hAnsi="宋体" w:eastAsia="宋体" w:cs="宋体"/>
          <w:b/>
          <w:bCs/>
          <w:color w:val="auto"/>
          <w:szCs w:val="21"/>
          <w:highlight w:val="none"/>
          <w:lang w:val="zh-CN"/>
        </w:rPr>
      </w:pPr>
      <w:bookmarkStart w:id="168" w:name="_Toc13566"/>
      <w:bookmarkStart w:id="169" w:name="_Toc14066"/>
      <w:bookmarkStart w:id="170" w:name="_Toc16508"/>
      <w:r>
        <w:rPr>
          <w:rFonts w:hint="eastAsia" w:ascii="宋体" w:hAnsi="宋体" w:eastAsia="宋体" w:cs="宋体"/>
          <w:b/>
          <w:bCs/>
          <w:color w:val="auto"/>
          <w:szCs w:val="21"/>
          <w:highlight w:val="none"/>
          <w:lang w:val="zh-CN"/>
        </w:rPr>
        <w:t>2.11 不可抗力</w:t>
      </w:r>
      <w:bookmarkEnd w:id="168"/>
      <w:bookmarkEnd w:id="169"/>
      <w:bookmarkEnd w:id="170"/>
    </w:p>
    <w:p w14:paraId="38F146DA">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2.11.1如果任何一方遭遇法律规定的不可抗力，致使合同履行受阻时，履行合同的期限应予延长，延长的期限应相当于不可抗力所影响的时间；</w:t>
      </w:r>
    </w:p>
    <w:p w14:paraId="2252FCC6">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2.11.2因不可抗力致使不能实现合同目的的，当事人可以解除合同；</w:t>
      </w:r>
    </w:p>
    <w:p w14:paraId="4C92ECAF">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2.11.3因不可抗力致使合同有变更必要的，双方当事人应在</w:t>
      </w:r>
      <w:r>
        <w:rPr>
          <w:rFonts w:hint="eastAsia" w:ascii="宋体" w:hAnsi="宋体" w:eastAsia="宋体" w:cs="宋体"/>
          <w:b/>
          <w:i/>
          <w:color w:val="auto"/>
          <w:szCs w:val="21"/>
          <w:highlight w:val="none"/>
          <w:u w:val="single"/>
        </w:rPr>
        <w:t>合同专用条款</w:t>
      </w:r>
      <w:r>
        <w:rPr>
          <w:rFonts w:hint="eastAsia" w:ascii="宋体" w:hAnsi="宋体" w:eastAsia="宋体" w:cs="宋体"/>
          <w:color w:val="auto"/>
          <w:szCs w:val="21"/>
          <w:highlight w:val="none"/>
        </w:rPr>
        <w:t>约定时间内以书面形式变更合同；</w:t>
      </w:r>
    </w:p>
    <w:p w14:paraId="47E3B476">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2.11.4受不可抗力影响的一方在不可抗力发生后，应在</w:t>
      </w:r>
      <w:r>
        <w:rPr>
          <w:rFonts w:hint="eastAsia" w:ascii="宋体" w:hAnsi="宋体" w:eastAsia="宋体" w:cs="宋体"/>
          <w:b/>
          <w:i/>
          <w:color w:val="auto"/>
          <w:szCs w:val="21"/>
          <w:highlight w:val="none"/>
          <w:u w:val="single"/>
        </w:rPr>
        <w:t>合同专用条款</w:t>
      </w:r>
      <w:r>
        <w:rPr>
          <w:rFonts w:hint="eastAsia" w:ascii="宋体" w:hAnsi="宋体" w:eastAsia="宋体" w:cs="宋体"/>
          <w:color w:val="auto"/>
          <w:szCs w:val="21"/>
          <w:highlight w:val="none"/>
        </w:rPr>
        <w:t>约定时间内以书面形式通知对方当事人，并在</w:t>
      </w:r>
      <w:r>
        <w:rPr>
          <w:rFonts w:hint="eastAsia" w:ascii="宋体" w:hAnsi="宋体" w:eastAsia="宋体" w:cs="宋体"/>
          <w:b/>
          <w:i/>
          <w:color w:val="auto"/>
          <w:szCs w:val="21"/>
          <w:highlight w:val="none"/>
          <w:u w:val="single"/>
        </w:rPr>
        <w:t>合同专用条款</w:t>
      </w:r>
      <w:r>
        <w:rPr>
          <w:rFonts w:hint="eastAsia" w:ascii="宋体" w:hAnsi="宋体" w:eastAsia="宋体" w:cs="宋体"/>
          <w:color w:val="auto"/>
          <w:szCs w:val="21"/>
          <w:highlight w:val="none"/>
        </w:rPr>
        <w:t>约定时间内，将有关部门出具的证明文件送达对方当事人。</w:t>
      </w:r>
    </w:p>
    <w:p w14:paraId="6992390F">
      <w:pPr>
        <w:keepNext w:val="0"/>
        <w:keepLines w:val="0"/>
        <w:pageBreakBefore w:val="0"/>
        <w:widowControl w:val="0"/>
        <w:kinsoku/>
        <w:wordWrap/>
        <w:overflowPunct/>
        <w:topLinePunct w:val="0"/>
        <w:autoSpaceDE/>
        <w:autoSpaceDN/>
        <w:bidi w:val="0"/>
        <w:adjustRightInd/>
        <w:snapToGrid/>
        <w:spacing w:line="500" w:lineRule="exact"/>
        <w:ind w:firstLine="437"/>
        <w:textAlignment w:val="auto"/>
        <w:outlineLvl w:val="3"/>
        <w:rPr>
          <w:rFonts w:hint="eastAsia" w:ascii="宋体" w:hAnsi="宋体" w:eastAsia="宋体" w:cs="宋体"/>
          <w:b/>
          <w:bCs/>
          <w:color w:val="auto"/>
          <w:szCs w:val="21"/>
          <w:highlight w:val="none"/>
          <w:lang w:val="zh-CN"/>
        </w:rPr>
      </w:pPr>
      <w:bookmarkStart w:id="171" w:name="_Toc279701255"/>
      <w:bookmarkStart w:id="172" w:name="_Toc689"/>
      <w:bookmarkStart w:id="173" w:name="_Toc30676"/>
      <w:bookmarkStart w:id="174" w:name="_Toc487900365"/>
      <w:bookmarkStart w:id="175" w:name="_Toc6969"/>
      <w:bookmarkStart w:id="176" w:name="_Toc259093684"/>
      <w:r>
        <w:rPr>
          <w:rFonts w:hint="eastAsia" w:ascii="宋体" w:hAnsi="宋体" w:eastAsia="宋体" w:cs="宋体"/>
          <w:b/>
          <w:bCs/>
          <w:color w:val="auto"/>
          <w:szCs w:val="21"/>
          <w:highlight w:val="none"/>
          <w:lang w:val="zh-CN"/>
        </w:rPr>
        <w:t>2.12 税费</w:t>
      </w:r>
      <w:bookmarkEnd w:id="171"/>
      <w:bookmarkEnd w:id="172"/>
      <w:bookmarkEnd w:id="173"/>
      <w:bookmarkEnd w:id="174"/>
      <w:bookmarkEnd w:id="175"/>
      <w:bookmarkEnd w:id="176"/>
    </w:p>
    <w:p w14:paraId="16C61372">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与合同有关的一切税费，均按照中华人民共和国法律的相关规定缴纳。</w:t>
      </w:r>
    </w:p>
    <w:p w14:paraId="516CBA00">
      <w:pPr>
        <w:keepNext w:val="0"/>
        <w:keepLines w:val="0"/>
        <w:pageBreakBefore w:val="0"/>
        <w:widowControl w:val="0"/>
        <w:kinsoku/>
        <w:wordWrap/>
        <w:overflowPunct/>
        <w:topLinePunct w:val="0"/>
        <w:autoSpaceDE/>
        <w:autoSpaceDN/>
        <w:bidi w:val="0"/>
        <w:adjustRightInd/>
        <w:snapToGrid/>
        <w:spacing w:line="500" w:lineRule="exact"/>
        <w:ind w:firstLine="437"/>
        <w:textAlignment w:val="auto"/>
        <w:outlineLvl w:val="3"/>
        <w:rPr>
          <w:rFonts w:hint="eastAsia" w:ascii="宋体" w:hAnsi="宋体" w:eastAsia="宋体" w:cs="宋体"/>
          <w:b/>
          <w:bCs/>
          <w:color w:val="auto"/>
          <w:szCs w:val="21"/>
          <w:highlight w:val="none"/>
          <w:lang w:val="zh-CN"/>
        </w:rPr>
      </w:pPr>
      <w:bookmarkStart w:id="177" w:name="_Toc8298"/>
      <w:bookmarkStart w:id="178" w:name="_Toc7102"/>
      <w:bookmarkStart w:id="179" w:name="_Toc259093687"/>
      <w:bookmarkStart w:id="180" w:name="_Toc279701258"/>
      <w:bookmarkStart w:id="181" w:name="_Toc16959"/>
      <w:bookmarkStart w:id="182" w:name="_Toc487900368"/>
      <w:r>
        <w:rPr>
          <w:rFonts w:hint="eastAsia" w:ascii="宋体" w:hAnsi="宋体" w:eastAsia="宋体" w:cs="宋体"/>
          <w:b/>
          <w:bCs/>
          <w:color w:val="auto"/>
          <w:szCs w:val="21"/>
          <w:highlight w:val="none"/>
          <w:lang w:val="zh-CN"/>
        </w:rPr>
        <w:t>2.13 乙方破产</w:t>
      </w:r>
      <w:bookmarkEnd w:id="177"/>
      <w:bookmarkEnd w:id="178"/>
      <w:bookmarkEnd w:id="179"/>
      <w:bookmarkEnd w:id="180"/>
      <w:bookmarkEnd w:id="181"/>
      <w:bookmarkEnd w:id="182"/>
    </w:p>
    <w:p w14:paraId="6E68E324">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14:paraId="19A32D4A">
      <w:pPr>
        <w:keepNext w:val="0"/>
        <w:keepLines w:val="0"/>
        <w:pageBreakBefore w:val="0"/>
        <w:widowControl w:val="0"/>
        <w:kinsoku/>
        <w:wordWrap/>
        <w:overflowPunct/>
        <w:topLinePunct w:val="0"/>
        <w:autoSpaceDE/>
        <w:autoSpaceDN/>
        <w:bidi w:val="0"/>
        <w:adjustRightInd/>
        <w:snapToGrid/>
        <w:spacing w:line="500" w:lineRule="exact"/>
        <w:ind w:firstLine="437"/>
        <w:textAlignment w:val="auto"/>
        <w:outlineLvl w:val="3"/>
        <w:rPr>
          <w:rFonts w:hint="eastAsia" w:ascii="宋体" w:hAnsi="宋体" w:eastAsia="宋体" w:cs="宋体"/>
          <w:b/>
          <w:color w:val="auto"/>
          <w:szCs w:val="21"/>
          <w:highlight w:val="none"/>
        </w:rPr>
      </w:pPr>
      <w:bookmarkStart w:id="183" w:name="_Toc15387"/>
      <w:bookmarkStart w:id="184" w:name="_Toc6134"/>
      <w:bookmarkStart w:id="185" w:name="_Toc29333"/>
      <w:r>
        <w:rPr>
          <w:rFonts w:hint="eastAsia" w:ascii="宋体" w:hAnsi="宋体" w:eastAsia="宋体" w:cs="宋体"/>
          <w:b/>
          <w:bCs/>
          <w:color w:val="auto"/>
          <w:szCs w:val="21"/>
          <w:highlight w:val="none"/>
          <w:lang w:val="zh-CN"/>
        </w:rPr>
        <w:t>2.14 合同中止、终止</w:t>
      </w:r>
      <w:bookmarkEnd w:id="183"/>
      <w:bookmarkEnd w:id="184"/>
      <w:bookmarkEnd w:id="185"/>
    </w:p>
    <w:p w14:paraId="66562AE3">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2.14.1双方当事人不得擅自中止或者终止合同；</w:t>
      </w:r>
    </w:p>
    <w:p w14:paraId="63D4F5A2">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2.14.2合同继续履行将损害国家利益和社会公共利益的，双方当事人应当中止或者终止合同。有过错的一方应当承担赔偿责任，双方当事人都有过错的，各自承担相应的责任。</w:t>
      </w:r>
    </w:p>
    <w:p w14:paraId="5009BA87">
      <w:pPr>
        <w:keepNext w:val="0"/>
        <w:keepLines w:val="0"/>
        <w:pageBreakBefore w:val="0"/>
        <w:widowControl w:val="0"/>
        <w:kinsoku/>
        <w:wordWrap/>
        <w:overflowPunct/>
        <w:topLinePunct w:val="0"/>
        <w:autoSpaceDE/>
        <w:autoSpaceDN/>
        <w:bidi w:val="0"/>
        <w:adjustRightInd/>
        <w:snapToGrid/>
        <w:spacing w:line="500" w:lineRule="exact"/>
        <w:ind w:firstLine="437"/>
        <w:textAlignment w:val="auto"/>
        <w:outlineLvl w:val="3"/>
        <w:rPr>
          <w:rFonts w:hint="eastAsia" w:ascii="宋体" w:hAnsi="宋体" w:eastAsia="宋体" w:cs="宋体"/>
          <w:b/>
          <w:bCs/>
          <w:color w:val="auto"/>
          <w:szCs w:val="21"/>
          <w:highlight w:val="none"/>
          <w:lang w:val="zh-CN"/>
        </w:rPr>
      </w:pPr>
      <w:bookmarkStart w:id="186" w:name="_Toc6596"/>
      <w:bookmarkStart w:id="187" w:name="_Toc1125"/>
      <w:bookmarkStart w:id="188" w:name="_Toc14563"/>
      <w:r>
        <w:rPr>
          <w:rFonts w:hint="eastAsia" w:ascii="宋体" w:hAnsi="宋体" w:eastAsia="宋体" w:cs="宋体"/>
          <w:b/>
          <w:bCs/>
          <w:color w:val="auto"/>
          <w:szCs w:val="21"/>
          <w:highlight w:val="none"/>
          <w:lang w:val="zh-CN"/>
        </w:rPr>
        <w:t>2.15 检验和验收</w:t>
      </w:r>
      <w:bookmarkEnd w:id="186"/>
      <w:bookmarkEnd w:id="187"/>
      <w:bookmarkEnd w:id="188"/>
    </w:p>
    <w:p w14:paraId="57B29E04">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2.15.1乙方按照</w:t>
      </w:r>
      <w:r>
        <w:rPr>
          <w:rFonts w:hint="eastAsia" w:ascii="宋体" w:hAnsi="宋体" w:eastAsia="宋体" w:cs="宋体"/>
          <w:b/>
          <w:i/>
          <w:color w:val="auto"/>
          <w:szCs w:val="21"/>
          <w:highlight w:val="none"/>
          <w:u w:val="single"/>
        </w:rPr>
        <w:t>合同专用条款</w:t>
      </w:r>
      <w:r>
        <w:rPr>
          <w:rFonts w:hint="eastAsia" w:ascii="宋体" w:hAnsi="宋体" w:eastAsia="宋体" w:cs="宋体"/>
          <w:color w:val="auto"/>
          <w:szCs w:val="21"/>
          <w:highlight w:val="none"/>
        </w:rPr>
        <w:t>的约定，定期提交服务报告，甲方按照</w:t>
      </w:r>
      <w:r>
        <w:rPr>
          <w:rFonts w:hint="eastAsia" w:ascii="宋体" w:hAnsi="宋体" w:eastAsia="宋体" w:cs="宋体"/>
          <w:b/>
          <w:i/>
          <w:color w:val="auto"/>
          <w:szCs w:val="21"/>
          <w:highlight w:val="none"/>
          <w:u w:val="single"/>
        </w:rPr>
        <w:t>合同专用条款</w:t>
      </w:r>
      <w:r>
        <w:rPr>
          <w:rFonts w:hint="eastAsia" w:ascii="宋体" w:hAnsi="宋体" w:eastAsia="宋体" w:cs="宋体"/>
          <w:color w:val="auto"/>
          <w:szCs w:val="21"/>
          <w:highlight w:val="none"/>
        </w:rPr>
        <w:t>的约定进行定期验收；</w:t>
      </w:r>
    </w:p>
    <w:p w14:paraId="1E276502">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2.15.2合同期满或者履行完毕后，甲方有权组织（包括依法邀请国家认可的质量检测机构参加）对乙方履约的验收，即：按照合同约定的标准，组织对乙方履约情况的验收，并出具验收书；向社会公众提供的公共服务项目，验收时应当邀请服务对象参与并出具意见，验收结果应当向社会公告；</w:t>
      </w:r>
    </w:p>
    <w:p w14:paraId="6063AA72">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2.15.3检验和验收标准、程序等具体内容以及前述验收书的效力详见</w:t>
      </w:r>
      <w:r>
        <w:rPr>
          <w:rFonts w:hint="eastAsia" w:ascii="宋体" w:hAnsi="宋体" w:eastAsia="宋体" w:cs="宋体"/>
          <w:b/>
          <w:i/>
          <w:color w:val="auto"/>
          <w:szCs w:val="21"/>
          <w:highlight w:val="none"/>
          <w:u w:val="single"/>
        </w:rPr>
        <w:t>合同专用条款</w:t>
      </w:r>
      <w:r>
        <w:rPr>
          <w:rFonts w:hint="eastAsia" w:ascii="宋体" w:hAnsi="宋体" w:eastAsia="宋体" w:cs="宋体"/>
          <w:i/>
          <w:color w:val="auto"/>
          <w:szCs w:val="21"/>
          <w:highlight w:val="none"/>
        </w:rPr>
        <w:t>。</w:t>
      </w:r>
    </w:p>
    <w:bookmarkEnd w:id="158"/>
    <w:bookmarkEnd w:id="159"/>
    <w:bookmarkEnd w:id="160"/>
    <w:bookmarkEnd w:id="161"/>
    <w:p w14:paraId="0D4622E5">
      <w:pPr>
        <w:keepNext w:val="0"/>
        <w:keepLines w:val="0"/>
        <w:pageBreakBefore w:val="0"/>
        <w:widowControl w:val="0"/>
        <w:kinsoku/>
        <w:wordWrap/>
        <w:overflowPunct/>
        <w:topLinePunct w:val="0"/>
        <w:autoSpaceDE/>
        <w:autoSpaceDN/>
        <w:bidi w:val="0"/>
        <w:adjustRightInd/>
        <w:snapToGrid/>
        <w:spacing w:line="500" w:lineRule="exact"/>
        <w:ind w:firstLine="437"/>
        <w:textAlignment w:val="auto"/>
        <w:outlineLvl w:val="3"/>
        <w:rPr>
          <w:rFonts w:hint="eastAsia" w:ascii="宋体" w:hAnsi="宋体" w:eastAsia="宋体" w:cs="宋体"/>
          <w:b/>
          <w:bCs/>
          <w:color w:val="auto"/>
          <w:szCs w:val="21"/>
          <w:highlight w:val="none"/>
        </w:rPr>
      </w:pPr>
      <w:bookmarkStart w:id="189" w:name="_Toc10330"/>
      <w:bookmarkStart w:id="190" w:name="_Toc279701263"/>
      <w:bookmarkStart w:id="191" w:name="_Toc259093692"/>
      <w:bookmarkStart w:id="192" w:name="_Toc18567"/>
      <w:bookmarkStart w:id="193" w:name="_Toc12773"/>
      <w:bookmarkStart w:id="194" w:name="_Toc487900373"/>
      <w:r>
        <w:rPr>
          <w:rFonts w:hint="eastAsia" w:ascii="宋体" w:hAnsi="宋体" w:eastAsia="宋体" w:cs="宋体"/>
          <w:b/>
          <w:bCs/>
          <w:color w:val="auto"/>
          <w:szCs w:val="21"/>
          <w:highlight w:val="none"/>
        </w:rPr>
        <w:t xml:space="preserve">2.16 </w:t>
      </w:r>
      <w:r>
        <w:rPr>
          <w:rFonts w:hint="eastAsia" w:ascii="宋体" w:hAnsi="宋体" w:eastAsia="宋体" w:cs="宋体"/>
          <w:b/>
          <w:bCs/>
          <w:color w:val="auto"/>
          <w:szCs w:val="21"/>
          <w:highlight w:val="none"/>
          <w:lang w:val="zh-CN"/>
        </w:rPr>
        <w:t>合同使用的文字和适用的法律</w:t>
      </w:r>
      <w:bookmarkEnd w:id="189"/>
      <w:bookmarkEnd w:id="190"/>
      <w:bookmarkEnd w:id="191"/>
      <w:bookmarkEnd w:id="192"/>
      <w:bookmarkEnd w:id="193"/>
      <w:bookmarkEnd w:id="194"/>
    </w:p>
    <w:p w14:paraId="2268459D">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2.16.1合同使用汉语进行书写、变更和解释；</w:t>
      </w:r>
    </w:p>
    <w:p w14:paraId="7A24EF31">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2.16.2合同适用中华人民共和国法律。</w:t>
      </w:r>
    </w:p>
    <w:p w14:paraId="2D5A6C31">
      <w:pPr>
        <w:keepNext w:val="0"/>
        <w:keepLines w:val="0"/>
        <w:pageBreakBefore w:val="0"/>
        <w:widowControl w:val="0"/>
        <w:kinsoku/>
        <w:wordWrap/>
        <w:overflowPunct/>
        <w:topLinePunct w:val="0"/>
        <w:autoSpaceDE/>
        <w:autoSpaceDN/>
        <w:bidi w:val="0"/>
        <w:adjustRightInd/>
        <w:snapToGrid/>
        <w:spacing w:line="500" w:lineRule="exact"/>
        <w:ind w:firstLine="437"/>
        <w:textAlignment w:val="auto"/>
        <w:outlineLvl w:val="3"/>
        <w:rPr>
          <w:rFonts w:hint="eastAsia" w:ascii="宋体" w:hAnsi="宋体" w:eastAsia="宋体" w:cs="宋体"/>
          <w:b/>
          <w:color w:val="auto"/>
          <w:szCs w:val="21"/>
          <w:highlight w:val="none"/>
        </w:rPr>
      </w:pPr>
      <w:bookmarkStart w:id="195" w:name="_Toc19890"/>
      <w:bookmarkStart w:id="196" w:name="_Toc14001"/>
      <w:bookmarkStart w:id="197" w:name="_Toc6885"/>
      <w:r>
        <w:rPr>
          <w:rFonts w:hint="eastAsia" w:ascii="宋体" w:hAnsi="宋体" w:eastAsia="宋体" w:cs="宋体"/>
          <w:b/>
          <w:bCs/>
          <w:color w:val="auto"/>
          <w:szCs w:val="21"/>
          <w:highlight w:val="none"/>
          <w:lang w:val="zh-CN"/>
        </w:rPr>
        <w:t>2.1</w:t>
      </w:r>
      <w:r>
        <w:rPr>
          <w:rFonts w:hint="eastAsia" w:ascii="宋体" w:hAnsi="宋体" w:eastAsia="宋体" w:cs="宋体"/>
          <w:b/>
          <w:bCs/>
          <w:color w:val="auto"/>
          <w:szCs w:val="21"/>
          <w:highlight w:val="none"/>
        </w:rPr>
        <w:t>7</w:t>
      </w:r>
      <w:r>
        <w:rPr>
          <w:rFonts w:hint="eastAsia" w:ascii="宋体" w:hAnsi="宋体" w:eastAsia="宋体" w:cs="宋体"/>
          <w:b/>
          <w:bCs/>
          <w:color w:val="auto"/>
          <w:szCs w:val="21"/>
          <w:highlight w:val="none"/>
          <w:lang w:val="zh-CN"/>
        </w:rPr>
        <w:t xml:space="preserve"> 合同份数</w:t>
      </w:r>
      <w:bookmarkEnd w:id="195"/>
      <w:bookmarkEnd w:id="196"/>
      <w:bookmarkEnd w:id="197"/>
    </w:p>
    <w:p w14:paraId="4E700A38">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合同份数按</w:t>
      </w:r>
      <w:r>
        <w:rPr>
          <w:rFonts w:hint="eastAsia" w:ascii="宋体" w:hAnsi="宋体" w:eastAsia="宋体" w:cs="宋体"/>
          <w:b/>
          <w:i/>
          <w:color w:val="auto"/>
          <w:szCs w:val="21"/>
          <w:highlight w:val="none"/>
          <w:u w:val="single"/>
        </w:rPr>
        <w:t>合同专用条款</w:t>
      </w:r>
      <w:r>
        <w:rPr>
          <w:rFonts w:hint="eastAsia" w:ascii="宋体" w:hAnsi="宋体" w:eastAsia="宋体" w:cs="宋体"/>
          <w:color w:val="auto"/>
          <w:szCs w:val="21"/>
          <w:highlight w:val="none"/>
        </w:rPr>
        <w:t>规定，每份均具有同等法律效力。</w:t>
      </w:r>
    </w:p>
    <w:p w14:paraId="494AB782">
      <w:pPr>
        <w:widowControl/>
        <w:spacing w:line="400" w:lineRule="exact"/>
        <w:ind w:left="360"/>
        <w:jc w:val="center"/>
        <w:textAlignment w:val="baseline"/>
        <w:outlineLvl w:val="1"/>
        <w:rPr>
          <w:rFonts w:hint="eastAsia" w:ascii="宋体"/>
          <w:b/>
          <w:color w:val="auto"/>
          <w:sz w:val="30"/>
          <w:szCs w:val="30"/>
          <w:highlight w:val="none"/>
        </w:rPr>
      </w:pPr>
      <w:bookmarkStart w:id="198" w:name="_Toc331685784"/>
      <w:r>
        <w:rPr>
          <w:rFonts w:hint="eastAsia" w:ascii="宋体"/>
          <w:b/>
          <w:color w:val="auto"/>
          <w:sz w:val="30"/>
          <w:szCs w:val="30"/>
          <w:highlight w:val="none"/>
        </w:rPr>
        <w:t>第三部分 合同专用条款</w:t>
      </w:r>
      <w:bookmarkEnd w:id="198"/>
    </w:p>
    <w:p w14:paraId="58198F83">
      <w:pPr>
        <w:keepNext w:val="0"/>
        <w:keepLines w:val="0"/>
        <w:pageBreakBefore w:val="0"/>
        <w:widowControl w:val="0"/>
        <w:kinsoku/>
        <w:wordWrap/>
        <w:overflowPunct/>
        <w:topLinePunct w:val="0"/>
        <w:autoSpaceDE/>
        <w:autoSpaceDN/>
        <w:bidi w:val="0"/>
        <w:adjustRightInd/>
        <w:snapToGrid/>
        <w:spacing w:line="500" w:lineRule="exact"/>
        <w:ind w:firstLine="437"/>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本部分是对前两部分的补充和修改，如果前两部分和本部分的约定不一致，应以本部分的约定为准。本部分的条款号应与前两部分的条款号保持对应；与前两部分无对应关系的内容可另行编制条款号。</w:t>
      </w:r>
    </w:p>
    <w:tbl>
      <w:tblPr>
        <w:tblStyle w:val="3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793"/>
        <w:gridCol w:w="7569"/>
      </w:tblGrid>
      <w:tr w14:paraId="753C68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jc w:val="center"/>
        </w:trPr>
        <w:tc>
          <w:tcPr>
            <w:tcW w:w="793" w:type="dxa"/>
            <w:tcBorders>
              <w:left w:val="single" w:color="auto" w:sz="4" w:space="0"/>
            </w:tcBorders>
            <w:noWrap w:val="0"/>
            <w:vAlign w:val="center"/>
          </w:tcPr>
          <w:p w14:paraId="39BD3131">
            <w:pPr>
              <w:jc w:val="center"/>
              <w:rPr>
                <w:rFonts w:ascii="宋体" w:hAnsi="宋体"/>
                <w:b/>
                <w:color w:val="auto"/>
                <w:szCs w:val="21"/>
                <w:highlight w:val="none"/>
              </w:rPr>
            </w:pPr>
            <w:r>
              <w:rPr>
                <w:rFonts w:ascii="宋体" w:hAnsi="宋体"/>
                <w:b/>
                <w:color w:val="auto"/>
                <w:szCs w:val="21"/>
                <w:highlight w:val="none"/>
              </w:rPr>
              <w:t>条款号</w:t>
            </w:r>
          </w:p>
        </w:tc>
        <w:tc>
          <w:tcPr>
            <w:tcW w:w="7569" w:type="dxa"/>
            <w:noWrap w:val="0"/>
            <w:vAlign w:val="center"/>
          </w:tcPr>
          <w:p w14:paraId="798C99CC">
            <w:pPr>
              <w:jc w:val="center"/>
              <w:rPr>
                <w:rFonts w:ascii="宋体" w:hAnsi="宋体"/>
                <w:b/>
                <w:color w:val="auto"/>
                <w:szCs w:val="21"/>
                <w:highlight w:val="none"/>
              </w:rPr>
            </w:pPr>
            <w:r>
              <w:rPr>
                <w:rFonts w:ascii="宋体" w:hAnsi="宋体"/>
                <w:b/>
                <w:color w:val="auto"/>
                <w:szCs w:val="21"/>
                <w:highlight w:val="none"/>
              </w:rPr>
              <w:t>约定内容</w:t>
            </w:r>
          </w:p>
        </w:tc>
      </w:tr>
      <w:tr w14:paraId="34E4F4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793" w:type="dxa"/>
            <w:tcBorders>
              <w:left w:val="single" w:color="auto" w:sz="4" w:space="0"/>
            </w:tcBorders>
            <w:noWrap w:val="0"/>
            <w:vAlign w:val="center"/>
          </w:tcPr>
          <w:p w14:paraId="2B5B6CB4">
            <w:pPr>
              <w:spacing w:line="560" w:lineRule="exact"/>
              <w:rPr>
                <w:rFonts w:hint="default" w:ascii="宋体" w:hAnsi="宋体" w:eastAsia="宋体"/>
                <w:color w:val="auto"/>
                <w:szCs w:val="21"/>
                <w:highlight w:val="none"/>
                <w:lang w:val="en-US" w:eastAsia="zh-CN"/>
              </w:rPr>
            </w:pPr>
          </w:p>
        </w:tc>
        <w:tc>
          <w:tcPr>
            <w:tcW w:w="7569" w:type="dxa"/>
            <w:noWrap w:val="0"/>
            <w:vAlign w:val="center"/>
          </w:tcPr>
          <w:p w14:paraId="01B61F87">
            <w:pPr>
              <w:spacing w:line="560" w:lineRule="exact"/>
              <w:rPr>
                <w:rFonts w:ascii="宋体" w:hAnsi="宋体"/>
                <w:color w:val="auto"/>
                <w:szCs w:val="21"/>
                <w:highlight w:val="none"/>
              </w:rPr>
            </w:pPr>
          </w:p>
        </w:tc>
      </w:tr>
      <w:tr w14:paraId="7C89DA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793" w:type="dxa"/>
            <w:tcBorders>
              <w:left w:val="single" w:color="auto" w:sz="4" w:space="0"/>
            </w:tcBorders>
            <w:noWrap w:val="0"/>
            <w:vAlign w:val="center"/>
          </w:tcPr>
          <w:p w14:paraId="1518F1EB">
            <w:pPr>
              <w:spacing w:line="560" w:lineRule="exact"/>
              <w:rPr>
                <w:rFonts w:ascii="宋体" w:hAnsi="宋体"/>
                <w:color w:val="auto"/>
                <w:szCs w:val="21"/>
                <w:highlight w:val="none"/>
              </w:rPr>
            </w:pPr>
          </w:p>
        </w:tc>
        <w:tc>
          <w:tcPr>
            <w:tcW w:w="7569" w:type="dxa"/>
            <w:noWrap w:val="0"/>
            <w:vAlign w:val="center"/>
          </w:tcPr>
          <w:p w14:paraId="3CB0FE05">
            <w:pPr>
              <w:spacing w:line="560" w:lineRule="exact"/>
              <w:rPr>
                <w:rFonts w:ascii="宋体" w:hAnsi="宋体"/>
                <w:color w:val="auto"/>
                <w:szCs w:val="21"/>
                <w:highlight w:val="none"/>
              </w:rPr>
            </w:pPr>
          </w:p>
        </w:tc>
      </w:tr>
      <w:tr w14:paraId="0B5448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793" w:type="dxa"/>
            <w:tcBorders>
              <w:left w:val="single" w:color="auto" w:sz="4" w:space="0"/>
            </w:tcBorders>
            <w:noWrap w:val="0"/>
            <w:vAlign w:val="center"/>
          </w:tcPr>
          <w:p w14:paraId="69086F65">
            <w:pPr>
              <w:spacing w:line="560" w:lineRule="exact"/>
              <w:rPr>
                <w:rFonts w:ascii="宋体" w:hAnsi="宋体"/>
                <w:color w:val="auto"/>
                <w:szCs w:val="21"/>
                <w:highlight w:val="none"/>
              </w:rPr>
            </w:pPr>
          </w:p>
        </w:tc>
        <w:tc>
          <w:tcPr>
            <w:tcW w:w="7569" w:type="dxa"/>
            <w:noWrap w:val="0"/>
            <w:vAlign w:val="center"/>
          </w:tcPr>
          <w:p w14:paraId="60EB8A05">
            <w:pPr>
              <w:spacing w:line="560" w:lineRule="exact"/>
              <w:rPr>
                <w:rFonts w:ascii="宋体" w:hAnsi="宋体"/>
                <w:color w:val="auto"/>
                <w:szCs w:val="21"/>
                <w:highlight w:val="none"/>
              </w:rPr>
            </w:pPr>
          </w:p>
        </w:tc>
      </w:tr>
      <w:tr w14:paraId="057A39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793" w:type="dxa"/>
            <w:tcBorders>
              <w:left w:val="single" w:color="auto" w:sz="4" w:space="0"/>
            </w:tcBorders>
            <w:noWrap w:val="0"/>
            <w:vAlign w:val="center"/>
          </w:tcPr>
          <w:p w14:paraId="0247D46E">
            <w:pPr>
              <w:spacing w:line="560" w:lineRule="exact"/>
              <w:rPr>
                <w:rFonts w:ascii="宋体" w:hAnsi="宋体"/>
                <w:color w:val="auto"/>
                <w:szCs w:val="21"/>
                <w:highlight w:val="none"/>
              </w:rPr>
            </w:pPr>
          </w:p>
        </w:tc>
        <w:tc>
          <w:tcPr>
            <w:tcW w:w="7569" w:type="dxa"/>
            <w:noWrap w:val="0"/>
            <w:vAlign w:val="center"/>
          </w:tcPr>
          <w:p w14:paraId="31E9B827">
            <w:pPr>
              <w:spacing w:line="560" w:lineRule="exact"/>
              <w:rPr>
                <w:rFonts w:ascii="宋体" w:hAnsi="宋体"/>
                <w:color w:val="auto"/>
                <w:szCs w:val="21"/>
                <w:highlight w:val="none"/>
              </w:rPr>
            </w:pPr>
          </w:p>
        </w:tc>
      </w:tr>
      <w:tr w14:paraId="3B4207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left w:val="single" w:color="auto" w:sz="4" w:space="0"/>
            </w:tcBorders>
            <w:noWrap w:val="0"/>
            <w:vAlign w:val="center"/>
          </w:tcPr>
          <w:p w14:paraId="6841A303">
            <w:pPr>
              <w:spacing w:line="560" w:lineRule="exact"/>
              <w:rPr>
                <w:rFonts w:ascii="宋体" w:hAnsi="宋体"/>
                <w:color w:val="auto"/>
                <w:szCs w:val="21"/>
                <w:highlight w:val="none"/>
              </w:rPr>
            </w:pPr>
          </w:p>
        </w:tc>
        <w:tc>
          <w:tcPr>
            <w:tcW w:w="7569" w:type="dxa"/>
            <w:noWrap w:val="0"/>
            <w:vAlign w:val="center"/>
          </w:tcPr>
          <w:p w14:paraId="659A64E1">
            <w:pPr>
              <w:spacing w:line="560" w:lineRule="exact"/>
              <w:rPr>
                <w:rFonts w:ascii="宋体" w:hAnsi="宋体"/>
                <w:color w:val="auto"/>
                <w:szCs w:val="21"/>
                <w:highlight w:val="none"/>
                <w:u w:val="single"/>
              </w:rPr>
            </w:pPr>
          </w:p>
        </w:tc>
      </w:tr>
      <w:tr w14:paraId="7C6CC2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left w:val="single" w:color="auto" w:sz="4" w:space="0"/>
            </w:tcBorders>
            <w:noWrap w:val="0"/>
            <w:vAlign w:val="center"/>
          </w:tcPr>
          <w:p w14:paraId="319B0732">
            <w:pPr>
              <w:spacing w:line="560" w:lineRule="exact"/>
              <w:rPr>
                <w:rFonts w:ascii="宋体" w:hAnsi="宋体"/>
                <w:color w:val="auto"/>
                <w:szCs w:val="21"/>
                <w:highlight w:val="none"/>
              </w:rPr>
            </w:pPr>
          </w:p>
        </w:tc>
        <w:tc>
          <w:tcPr>
            <w:tcW w:w="7569" w:type="dxa"/>
            <w:noWrap w:val="0"/>
            <w:vAlign w:val="center"/>
          </w:tcPr>
          <w:p w14:paraId="34874C17">
            <w:pPr>
              <w:spacing w:line="560" w:lineRule="exact"/>
              <w:rPr>
                <w:rFonts w:ascii="宋体" w:hAnsi="宋体"/>
                <w:color w:val="auto"/>
                <w:szCs w:val="21"/>
                <w:highlight w:val="none"/>
              </w:rPr>
            </w:pPr>
          </w:p>
        </w:tc>
      </w:tr>
      <w:tr w14:paraId="10D178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793" w:type="dxa"/>
            <w:tcBorders>
              <w:left w:val="single" w:color="auto" w:sz="4" w:space="0"/>
            </w:tcBorders>
            <w:noWrap w:val="0"/>
            <w:vAlign w:val="center"/>
          </w:tcPr>
          <w:p w14:paraId="183E06F0">
            <w:pPr>
              <w:spacing w:line="560" w:lineRule="exact"/>
              <w:rPr>
                <w:rFonts w:ascii="宋体" w:hAnsi="宋体"/>
                <w:color w:val="auto"/>
                <w:szCs w:val="21"/>
                <w:highlight w:val="none"/>
              </w:rPr>
            </w:pPr>
          </w:p>
        </w:tc>
        <w:tc>
          <w:tcPr>
            <w:tcW w:w="7569" w:type="dxa"/>
            <w:noWrap w:val="0"/>
            <w:vAlign w:val="center"/>
          </w:tcPr>
          <w:p w14:paraId="22CFA8B8">
            <w:pPr>
              <w:spacing w:line="560" w:lineRule="exact"/>
              <w:rPr>
                <w:rFonts w:ascii="宋体" w:hAnsi="宋体"/>
                <w:color w:val="auto"/>
                <w:szCs w:val="21"/>
                <w:highlight w:val="none"/>
                <w:u w:val="single"/>
              </w:rPr>
            </w:pPr>
          </w:p>
        </w:tc>
      </w:tr>
      <w:tr w14:paraId="7D820F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left w:val="single" w:color="auto" w:sz="4" w:space="0"/>
            </w:tcBorders>
            <w:noWrap w:val="0"/>
            <w:vAlign w:val="center"/>
          </w:tcPr>
          <w:p w14:paraId="66CA0F84">
            <w:pPr>
              <w:spacing w:line="560" w:lineRule="exact"/>
              <w:rPr>
                <w:rFonts w:ascii="宋体" w:hAnsi="宋体"/>
                <w:color w:val="auto"/>
                <w:szCs w:val="21"/>
                <w:highlight w:val="none"/>
              </w:rPr>
            </w:pPr>
          </w:p>
        </w:tc>
        <w:tc>
          <w:tcPr>
            <w:tcW w:w="7569" w:type="dxa"/>
            <w:noWrap w:val="0"/>
            <w:vAlign w:val="center"/>
          </w:tcPr>
          <w:p w14:paraId="79FA5E2C">
            <w:pPr>
              <w:spacing w:line="560" w:lineRule="exact"/>
              <w:rPr>
                <w:rFonts w:ascii="宋体" w:hAnsi="宋体"/>
                <w:color w:val="auto"/>
                <w:szCs w:val="21"/>
                <w:highlight w:val="none"/>
              </w:rPr>
            </w:pPr>
          </w:p>
        </w:tc>
      </w:tr>
      <w:tr w14:paraId="1BF414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left w:val="single" w:color="auto" w:sz="4" w:space="0"/>
            </w:tcBorders>
            <w:noWrap w:val="0"/>
            <w:vAlign w:val="center"/>
          </w:tcPr>
          <w:p w14:paraId="65C94E56">
            <w:pPr>
              <w:spacing w:line="560" w:lineRule="exact"/>
              <w:rPr>
                <w:rFonts w:ascii="宋体" w:hAnsi="宋体"/>
                <w:color w:val="auto"/>
                <w:szCs w:val="21"/>
                <w:highlight w:val="none"/>
              </w:rPr>
            </w:pPr>
          </w:p>
        </w:tc>
        <w:tc>
          <w:tcPr>
            <w:tcW w:w="7569" w:type="dxa"/>
            <w:noWrap w:val="0"/>
            <w:vAlign w:val="center"/>
          </w:tcPr>
          <w:p w14:paraId="4160DEBA">
            <w:pPr>
              <w:spacing w:line="560" w:lineRule="exact"/>
              <w:rPr>
                <w:rFonts w:ascii="宋体" w:hAnsi="宋体"/>
                <w:color w:val="auto"/>
                <w:szCs w:val="21"/>
                <w:highlight w:val="none"/>
              </w:rPr>
            </w:pPr>
          </w:p>
        </w:tc>
      </w:tr>
      <w:tr w14:paraId="71CEB1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left w:val="single" w:color="auto" w:sz="4" w:space="0"/>
            </w:tcBorders>
            <w:noWrap w:val="0"/>
            <w:vAlign w:val="center"/>
          </w:tcPr>
          <w:p w14:paraId="47F36537">
            <w:pPr>
              <w:spacing w:line="560" w:lineRule="exact"/>
              <w:rPr>
                <w:rFonts w:ascii="宋体" w:hAnsi="宋体"/>
                <w:color w:val="auto"/>
                <w:szCs w:val="21"/>
                <w:highlight w:val="none"/>
              </w:rPr>
            </w:pPr>
          </w:p>
        </w:tc>
        <w:tc>
          <w:tcPr>
            <w:tcW w:w="7569" w:type="dxa"/>
            <w:noWrap w:val="0"/>
            <w:vAlign w:val="center"/>
          </w:tcPr>
          <w:p w14:paraId="5EB5496C">
            <w:pPr>
              <w:spacing w:line="560" w:lineRule="exact"/>
              <w:rPr>
                <w:rFonts w:ascii="宋体" w:hAnsi="宋体"/>
                <w:color w:val="auto"/>
                <w:szCs w:val="21"/>
                <w:highlight w:val="none"/>
              </w:rPr>
            </w:pPr>
          </w:p>
        </w:tc>
      </w:tr>
      <w:tr w14:paraId="2A4C99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top w:val="single" w:color="auto" w:sz="6" w:space="0"/>
              <w:left w:val="single" w:color="auto" w:sz="4" w:space="0"/>
              <w:bottom w:val="single" w:color="auto" w:sz="6" w:space="0"/>
              <w:right w:val="single" w:color="auto" w:sz="6" w:space="0"/>
            </w:tcBorders>
            <w:noWrap w:val="0"/>
            <w:vAlign w:val="center"/>
          </w:tcPr>
          <w:p w14:paraId="72827605">
            <w:pPr>
              <w:spacing w:line="560" w:lineRule="exact"/>
              <w:rPr>
                <w:rFonts w:ascii="宋体" w:hAnsi="宋体"/>
                <w:color w:val="auto"/>
                <w:szCs w:val="21"/>
                <w:highlight w:val="none"/>
              </w:rPr>
            </w:pPr>
          </w:p>
        </w:tc>
        <w:tc>
          <w:tcPr>
            <w:tcW w:w="7569" w:type="dxa"/>
            <w:tcBorders>
              <w:top w:val="single" w:color="auto" w:sz="6" w:space="0"/>
              <w:left w:val="single" w:color="auto" w:sz="6" w:space="0"/>
              <w:bottom w:val="single" w:color="auto" w:sz="6" w:space="0"/>
              <w:right w:val="single" w:color="auto" w:sz="6" w:space="0"/>
            </w:tcBorders>
            <w:noWrap w:val="0"/>
            <w:vAlign w:val="center"/>
          </w:tcPr>
          <w:p w14:paraId="19830FC2">
            <w:pPr>
              <w:spacing w:line="560" w:lineRule="exact"/>
              <w:rPr>
                <w:rFonts w:ascii="宋体" w:hAnsi="宋体"/>
                <w:color w:val="auto"/>
                <w:szCs w:val="21"/>
                <w:highlight w:val="none"/>
              </w:rPr>
            </w:pPr>
          </w:p>
        </w:tc>
      </w:tr>
      <w:tr w14:paraId="29E6D7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top w:val="single" w:color="auto" w:sz="6" w:space="0"/>
              <w:left w:val="single" w:color="auto" w:sz="4" w:space="0"/>
              <w:bottom w:val="single" w:color="auto" w:sz="6" w:space="0"/>
              <w:right w:val="single" w:color="auto" w:sz="6" w:space="0"/>
            </w:tcBorders>
            <w:noWrap w:val="0"/>
            <w:vAlign w:val="center"/>
          </w:tcPr>
          <w:p w14:paraId="6691E79F">
            <w:pPr>
              <w:spacing w:line="560" w:lineRule="exact"/>
              <w:rPr>
                <w:rFonts w:ascii="宋体" w:hAnsi="宋体"/>
                <w:color w:val="auto"/>
                <w:szCs w:val="21"/>
                <w:highlight w:val="none"/>
              </w:rPr>
            </w:pPr>
          </w:p>
        </w:tc>
        <w:tc>
          <w:tcPr>
            <w:tcW w:w="7569" w:type="dxa"/>
            <w:tcBorders>
              <w:top w:val="single" w:color="auto" w:sz="6" w:space="0"/>
              <w:left w:val="single" w:color="auto" w:sz="6" w:space="0"/>
              <w:bottom w:val="single" w:color="auto" w:sz="6" w:space="0"/>
              <w:right w:val="single" w:color="auto" w:sz="6" w:space="0"/>
            </w:tcBorders>
            <w:noWrap w:val="0"/>
            <w:vAlign w:val="center"/>
          </w:tcPr>
          <w:p w14:paraId="00F418A2">
            <w:pPr>
              <w:spacing w:line="560" w:lineRule="exact"/>
              <w:rPr>
                <w:rFonts w:ascii="宋体" w:hAnsi="宋体"/>
                <w:color w:val="auto"/>
                <w:szCs w:val="21"/>
                <w:highlight w:val="none"/>
              </w:rPr>
            </w:pPr>
          </w:p>
        </w:tc>
      </w:tr>
    </w:tbl>
    <w:p w14:paraId="76216EB3">
      <w:pPr>
        <w:rPr>
          <w:rFonts w:hint="eastAsia" w:ascii="宋体"/>
          <w:b/>
          <w:color w:val="auto"/>
          <w:sz w:val="32"/>
          <w:szCs w:val="32"/>
          <w:highlight w:val="none"/>
        </w:rPr>
      </w:pPr>
      <w:r>
        <w:rPr>
          <w:rFonts w:hint="eastAsia" w:ascii="宋体"/>
          <w:b/>
          <w:color w:val="auto"/>
          <w:sz w:val="32"/>
          <w:szCs w:val="32"/>
          <w:highlight w:val="none"/>
        </w:rPr>
        <w:br w:type="page"/>
      </w:r>
    </w:p>
    <w:p w14:paraId="48A8F151">
      <w:pPr>
        <w:spacing w:before="156" w:beforeLines="50" w:after="156" w:afterLines="50"/>
        <w:jc w:val="both"/>
        <w:outlineLvl w:val="0"/>
        <w:rPr>
          <w:rFonts w:hint="eastAsia" w:ascii="宋体"/>
          <w:b/>
          <w:color w:val="auto"/>
          <w:sz w:val="32"/>
          <w:szCs w:val="32"/>
          <w:highlight w:val="none"/>
        </w:rPr>
      </w:pPr>
    </w:p>
    <w:p w14:paraId="4EA61A9E">
      <w:pPr>
        <w:spacing w:before="156" w:beforeLines="50" w:after="156" w:afterLines="50"/>
        <w:jc w:val="center"/>
        <w:outlineLvl w:val="0"/>
        <w:rPr>
          <w:rFonts w:hint="eastAsia" w:ascii="宋体"/>
          <w:b/>
          <w:color w:val="auto"/>
          <w:sz w:val="32"/>
          <w:szCs w:val="32"/>
          <w:highlight w:val="none"/>
        </w:rPr>
      </w:pPr>
      <w:r>
        <w:rPr>
          <w:rFonts w:hint="eastAsia" w:ascii="宋体"/>
          <w:b/>
          <w:color w:val="auto"/>
          <w:sz w:val="32"/>
          <w:szCs w:val="32"/>
          <w:highlight w:val="none"/>
        </w:rPr>
        <w:t>第</w:t>
      </w:r>
      <w:r>
        <w:rPr>
          <w:rFonts w:hint="eastAsia" w:ascii="宋体"/>
          <w:b/>
          <w:color w:val="auto"/>
          <w:sz w:val="32"/>
          <w:szCs w:val="32"/>
          <w:highlight w:val="none"/>
          <w:lang w:val="en-US" w:eastAsia="zh-CN"/>
        </w:rPr>
        <w:t>六</w:t>
      </w:r>
      <w:r>
        <w:rPr>
          <w:rFonts w:hint="eastAsia" w:ascii="宋体"/>
          <w:b/>
          <w:color w:val="auto"/>
          <w:sz w:val="32"/>
          <w:szCs w:val="32"/>
          <w:highlight w:val="none"/>
        </w:rPr>
        <w:t>章  投标文件格式</w:t>
      </w:r>
    </w:p>
    <w:p w14:paraId="46DAF9D9">
      <w:pPr>
        <w:jc w:val="center"/>
        <w:rPr>
          <w:rFonts w:hint="eastAsia" w:eastAsia="黑体"/>
          <w:color w:val="auto"/>
          <w:sz w:val="20"/>
          <w:highlight w:val="none"/>
        </w:rPr>
      </w:pPr>
    </w:p>
    <w:p w14:paraId="5280E730">
      <w:pPr>
        <w:rPr>
          <w:rFonts w:hint="eastAsia" w:eastAsia="黑体"/>
          <w:color w:val="auto"/>
          <w:sz w:val="20"/>
          <w:highlight w:val="none"/>
        </w:rPr>
      </w:pPr>
    </w:p>
    <w:p w14:paraId="7F434800">
      <w:pPr>
        <w:rPr>
          <w:rFonts w:hint="eastAsia" w:eastAsia="黑体"/>
          <w:color w:val="auto"/>
          <w:sz w:val="20"/>
          <w:highlight w:val="none"/>
        </w:rPr>
      </w:pPr>
    </w:p>
    <w:p w14:paraId="18851856">
      <w:pPr>
        <w:rPr>
          <w:rFonts w:hint="eastAsia" w:eastAsia="黑体"/>
          <w:color w:val="auto"/>
          <w:sz w:val="20"/>
          <w:highlight w:val="none"/>
        </w:rPr>
      </w:pPr>
    </w:p>
    <w:p w14:paraId="33892C26">
      <w:pPr>
        <w:jc w:val="center"/>
        <w:rPr>
          <w:rFonts w:hint="eastAsia" w:ascii="宋体"/>
          <w:b/>
          <w:color w:val="auto"/>
          <w:sz w:val="44"/>
          <w:szCs w:val="44"/>
          <w:highlight w:val="none"/>
        </w:rPr>
      </w:pPr>
      <w:bookmarkStart w:id="199" w:name="_Toc350698753"/>
      <w:bookmarkStart w:id="200" w:name="_Toc449028949"/>
      <w:r>
        <w:rPr>
          <w:rFonts w:hint="eastAsia" w:ascii="宋体"/>
          <w:b/>
          <w:color w:val="auto"/>
          <w:sz w:val="44"/>
          <w:szCs w:val="44"/>
          <w:highlight w:val="none"/>
          <w:lang w:val="en-US" w:eastAsia="zh-CN"/>
        </w:rPr>
        <w:t>资格证明</w:t>
      </w:r>
      <w:r>
        <w:rPr>
          <w:rFonts w:hint="eastAsia" w:ascii="宋体"/>
          <w:b/>
          <w:color w:val="auto"/>
          <w:sz w:val="44"/>
          <w:szCs w:val="44"/>
          <w:highlight w:val="none"/>
        </w:rPr>
        <w:t>文件</w:t>
      </w:r>
      <w:bookmarkEnd w:id="199"/>
      <w:bookmarkEnd w:id="200"/>
    </w:p>
    <w:p w14:paraId="6FA5C2FA">
      <w:pPr>
        <w:jc w:val="center"/>
        <w:rPr>
          <w:rFonts w:hint="eastAsia" w:eastAsia="黑体"/>
          <w:color w:val="auto"/>
          <w:sz w:val="44"/>
          <w:szCs w:val="44"/>
          <w:highlight w:val="none"/>
        </w:rPr>
      </w:pPr>
    </w:p>
    <w:p w14:paraId="4807EC95">
      <w:pPr>
        <w:jc w:val="center"/>
        <w:rPr>
          <w:rFonts w:hint="eastAsia" w:eastAsia="黑体"/>
          <w:color w:val="auto"/>
          <w:sz w:val="44"/>
          <w:szCs w:val="44"/>
          <w:highlight w:val="none"/>
        </w:rPr>
      </w:pPr>
    </w:p>
    <w:p w14:paraId="23D02325">
      <w:pPr>
        <w:jc w:val="center"/>
        <w:rPr>
          <w:rFonts w:hint="eastAsia" w:ascii="宋体"/>
          <w:color w:val="auto"/>
          <w:sz w:val="32"/>
          <w:szCs w:val="32"/>
          <w:highlight w:val="none"/>
        </w:rPr>
      </w:pPr>
      <w:r>
        <w:rPr>
          <w:rFonts w:hint="eastAsia" w:ascii="宋体"/>
          <w:color w:val="auto"/>
          <w:sz w:val="32"/>
          <w:szCs w:val="32"/>
          <w:highlight w:val="none"/>
          <w:u w:val="single"/>
        </w:rPr>
        <w:t xml:space="preserve">        </w:t>
      </w:r>
      <w:r>
        <w:rPr>
          <w:rFonts w:hint="eastAsia" w:ascii="宋体"/>
          <w:color w:val="auto"/>
          <w:sz w:val="32"/>
          <w:szCs w:val="32"/>
          <w:highlight w:val="none"/>
        </w:rPr>
        <w:t>项目</w:t>
      </w:r>
    </w:p>
    <w:p w14:paraId="60D76DB0">
      <w:pPr>
        <w:jc w:val="center"/>
        <w:rPr>
          <w:rFonts w:hint="eastAsia" w:ascii="宋体"/>
          <w:color w:val="auto"/>
          <w:sz w:val="44"/>
          <w:szCs w:val="44"/>
          <w:highlight w:val="none"/>
        </w:rPr>
      </w:pPr>
      <w:r>
        <w:rPr>
          <w:rFonts w:hint="eastAsia" w:ascii="宋体"/>
          <w:color w:val="auto"/>
          <w:sz w:val="28"/>
          <w:szCs w:val="28"/>
          <w:highlight w:val="none"/>
          <w:u w:val="single"/>
        </w:rPr>
        <w:t xml:space="preserve">  </w:t>
      </w:r>
    </w:p>
    <w:p w14:paraId="58426A73">
      <w:pPr>
        <w:rPr>
          <w:rFonts w:hint="eastAsia" w:ascii="宋体"/>
          <w:color w:val="auto"/>
          <w:sz w:val="28"/>
          <w:szCs w:val="28"/>
          <w:highlight w:val="none"/>
        </w:rPr>
      </w:pPr>
    </w:p>
    <w:p w14:paraId="390CB8DA">
      <w:pPr>
        <w:rPr>
          <w:rFonts w:hint="eastAsia" w:ascii="宋体"/>
          <w:color w:val="auto"/>
          <w:sz w:val="28"/>
          <w:szCs w:val="28"/>
          <w:highlight w:val="none"/>
        </w:rPr>
      </w:pPr>
    </w:p>
    <w:p w14:paraId="029209F4">
      <w:pPr>
        <w:rPr>
          <w:rFonts w:hint="eastAsia" w:ascii="宋体"/>
          <w:color w:val="auto"/>
          <w:sz w:val="28"/>
          <w:szCs w:val="28"/>
          <w:highlight w:val="none"/>
        </w:rPr>
      </w:pPr>
    </w:p>
    <w:p w14:paraId="0AE0B28A">
      <w:pPr>
        <w:rPr>
          <w:rFonts w:hint="eastAsia" w:ascii="宋体"/>
          <w:color w:val="auto"/>
          <w:sz w:val="28"/>
          <w:szCs w:val="28"/>
          <w:highlight w:val="none"/>
        </w:rPr>
      </w:pPr>
    </w:p>
    <w:p w14:paraId="35056370">
      <w:pPr>
        <w:rPr>
          <w:rFonts w:hint="eastAsia" w:ascii="宋体"/>
          <w:color w:val="auto"/>
          <w:sz w:val="28"/>
          <w:szCs w:val="28"/>
          <w:highlight w:val="none"/>
        </w:rPr>
      </w:pPr>
    </w:p>
    <w:p w14:paraId="58E98CC0">
      <w:pPr>
        <w:rPr>
          <w:rFonts w:hint="eastAsia" w:ascii="宋体"/>
          <w:color w:val="auto"/>
          <w:sz w:val="28"/>
          <w:szCs w:val="28"/>
          <w:highlight w:val="none"/>
        </w:rPr>
      </w:pPr>
    </w:p>
    <w:p w14:paraId="4904BFC7">
      <w:pPr>
        <w:rPr>
          <w:rFonts w:hint="eastAsia" w:ascii="宋体"/>
          <w:color w:val="auto"/>
          <w:sz w:val="28"/>
          <w:szCs w:val="28"/>
          <w:highlight w:val="none"/>
        </w:rPr>
      </w:pPr>
    </w:p>
    <w:p w14:paraId="06EA1CE6">
      <w:pPr>
        <w:jc w:val="center"/>
        <w:rPr>
          <w:rFonts w:hint="eastAsia" w:ascii="宋体"/>
          <w:color w:val="auto"/>
          <w:sz w:val="28"/>
          <w:szCs w:val="28"/>
          <w:highlight w:val="none"/>
          <w:u w:val="single"/>
        </w:rPr>
      </w:pPr>
      <w:r>
        <w:rPr>
          <w:rFonts w:hint="eastAsia" w:ascii="宋体"/>
          <w:color w:val="auto"/>
          <w:sz w:val="28"/>
          <w:szCs w:val="28"/>
          <w:highlight w:val="none"/>
        </w:rPr>
        <w:t>投标人：</w:t>
      </w:r>
      <w:r>
        <w:rPr>
          <w:rFonts w:hint="eastAsia" w:ascii="宋体"/>
          <w:color w:val="auto"/>
          <w:sz w:val="28"/>
          <w:szCs w:val="28"/>
          <w:highlight w:val="none"/>
          <w:u w:val="single"/>
        </w:rPr>
        <w:t xml:space="preserve">                    </w:t>
      </w:r>
      <w:r>
        <w:rPr>
          <w:rFonts w:hint="eastAsia" w:ascii="宋体"/>
          <w:color w:val="auto"/>
          <w:sz w:val="28"/>
          <w:szCs w:val="28"/>
          <w:highlight w:val="none"/>
          <w:u w:val="single"/>
          <w:lang w:val="en-US" w:eastAsia="zh-CN"/>
        </w:rPr>
        <w:t xml:space="preserve">   </w:t>
      </w:r>
      <w:r>
        <w:rPr>
          <w:rFonts w:hint="eastAsia" w:ascii="宋体"/>
          <w:color w:val="auto"/>
          <w:sz w:val="28"/>
          <w:szCs w:val="28"/>
          <w:highlight w:val="none"/>
          <w:u w:val="single"/>
        </w:rPr>
        <w:t xml:space="preserve">          </w:t>
      </w:r>
      <w:r>
        <w:rPr>
          <w:rFonts w:hint="eastAsia" w:ascii="宋体"/>
          <w:color w:val="auto"/>
          <w:sz w:val="28"/>
          <w:szCs w:val="28"/>
          <w:highlight w:val="none"/>
        </w:rPr>
        <w:t>（盖单位章）</w:t>
      </w:r>
    </w:p>
    <w:p w14:paraId="30D36895">
      <w:pPr>
        <w:ind w:firstLine="560" w:firstLineChars="200"/>
        <w:rPr>
          <w:rFonts w:hint="eastAsia" w:ascii="宋体"/>
          <w:color w:val="auto"/>
          <w:sz w:val="28"/>
          <w:szCs w:val="28"/>
          <w:highlight w:val="none"/>
        </w:rPr>
      </w:pPr>
      <w:r>
        <w:rPr>
          <w:rFonts w:hint="eastAsia" w:ascii="宋体"/>
          <w:color w:val="auto"/>
          <w:sz w:val="28"/>
          <w:szCs w:val="28"/>
          <w:highlight w:val="none"/>
        </w:rPr>
        <w:t>法定代表人：</w:t>
      </w:r>
      <w:r>
        <w:rPr>
          <w:rFonts w:hint="eastAsia" w:ascii="宋体"/>
          <w:color w:val="auto"/>
          <w:sz w:val="28"/>
          <w:szCs w:val="28"/>
          <w:highlight w:val="none"/>
          <w:u w:val="single"/>
        </w:rPr>
        <w:t xml:space="preserve">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14:paraId="57E1ABF3">
      <w:pPr>
        <w:jc w:val="center"/>
        <w:rPr>
          <w:rFonts w:hint="eastAsia" w:ascii="宋体"/>
          <w:color w:val="auto"/>
          <w:sz w:val="28"/>
          <w:szCs w:val="28"/>
          <w:highlight w:val="none"/>
        </w:rPr>
      </w:pPr>
      <w:r>
        <w:rPr>
          <w:rFonts w:hint="eastAsia" w:ascii="宋体"/>
          <w:color w:val="auto"/>
          <w:sz w:val="28"/>
          <w:szCs w:val="28"/>
          <w:highlight w:val="none"/>
          <w:u w:val="single"/>
        </w:rPr>
        <w:t xml:space="preserve">        </w:t>
      </w:r>
      <w:r>
        <w:rPr>
          <w:rFonts w:hint="eastAsia" w:ascii="宋体"/>
          <w:color w:val="auto"/>
          <w:sz w:val="28"/>
          <w:szCs w:val="28"/>
          <w:highlight w:val="none"/>
        </w:rPr>
        <w:t>年</w:t>
      </w:r>
      <w:r>
        <w:rPr>
          <w:rFonts w:hint="eastAsia" w:ascii="宋体"/>
          <w:color w:val="auto"/>
          <w:sz w:val="28"/>
          <w:szCs w:val="28"/>
          <w:highlight w:val="none"/>
          <w:u w:val="single"/>
        </w:rPr>
        <w:t xml:space="preserve">        </w:t>
      </w:r>
      <w:r>
        <w:rPr>
          <w:rFonts w:hint="eastAsia" w:ascii="宋体"/>
          <w:color w:val="auto"/>
          <w:sz w:val="28"/>
          <w:szCs w:val="28"/>
          <w:highlight w:val="none"/>
        </w:rPr>
        <w:t>月</w:t>
      </w:r>
      <w:r>
        <w:rPr>
          <w:rFonts w:hint="eastAsia" w:ascii="宋体"/>
          <w:color w:val="auto"/>
          <w:sz w:val="28"/>
          <w:szCs w:val="28"/>
          <w:highlight w:val="none"/>
          <w:u w:val="single"/>
        </w:rPr>
        <w:t xml:space="preserve">        </w:t>
      </w:r>
      <w:r>
        <w:rPr>
          <w:rFonts w:hint="eastAsia" w:ascii="宋体"/>
          <w:color w:val="auto"/>
          <w:sz w:val="28"/>
          <w:szCs w:val="28"/>
          <w:highlight w:val="none"/>
        </w:rPr>
        <w:t>日</w:t>
      </w:r>
    </w:p>
    <w:p w14:paraId="0D938487">
      <w:pPr>
        <w:spacing w:line="720" w:lineRule="auto"/>
        <w:jc w:val="center"/>
        <w:rPr>
          <w:rFonts w:hint="eastAsia" w:ascii="宋体"/>
          <w:b/>
          <w:color w:val="auto"/>
          <w:sz w:val="36"/>
          <w:szCs w:val="36"/>
          <w:highlight w:val="none"/>
        </w:rPr>
      </w:pPr>
    </w:p>
    <w:p w14:paraId="3FED1E3D">
      <w:pPr>
        <w:spacing w:line="400" w:lineRule="exact"/>
        <w:ind w:firstLine="4130" w:firstLineChars="935"/>
        <w:rPr>
          <w:rFonts w:hint="eastAsia"/>
          <w:b/>
          <w:color w:val="auto"/>
          <w:sz w:val="44"/>
          <w:szCs w:val="44"/>
          <w:highlight w:val="none"/>
        </w:rPr>
      </w:pPr>
    </w:p>
    <w:p w14:paraId="4FFAA9DB">
      <w:pPr>
        <w:spacing w:line="400" w:lineRule="exact"/>
        <w:ind w:firstLine="4130" w:firstLineChars="935"/>
        <w:rPr>
          <w:rFonts w:hint="eastAsia"/>
          <w:b/>
          <w:color w:val="auto"/>
          <w:sz w:val="44"/>
          <w:szCs w:val="44"/>
          <w:highlight w:val="none"/>
        </w:rPr>
      </w:pPr>
    </w:p>
    <w:p w14:paraId="7C2F551F">
      <w:pPr>
        <w:jc w:val="center"/>
        <w:rPr>
          <w:rFonts w:hint="eastAsia"/>
          <w:b/>
          <w:color w:val="auto"/>
          <w:sz w:val="44"/>
          <w:szCs w:val="44"/>
          <w:highlight w:val="none"/>
        </w:rPr>
      </w:pPr>
      <w:r>
        <w:rPr>
          <w:rFonts w:hint="eastAsia"/>
          <w:b/>
          <w:color w:val="auto"/>
          <w:sz w:val="36"/>
          <w:szCs w:val="36"/>
          <w:highlight w:val="none"/>
        </w:rPr>
        <w:t>目   录</w:t>
      </w:r>
    </w:p>
    <w:p w14:paraId="0F833109">
      <w:pPr>
        <w:spacing w:line="400" w:lineRule="exact"/>
        <w:ind w:firstLine="562" w:firstLineChars="200"/>
        <w:rPr>
          <w:rFonts w:hint="eastAsia"/>
          <w:b/>
          <w:color w:val="auto"/>
          <w:sz w:val="28"/>
          <w:szCs w:val="28"/>
          <w:highlight w:val="none"/>
        </w:rPr>
      </w:pPr>
    </w:p>
    <w:p w14:paraId="13D5A713">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（1）法定代表人身份证明及其有效身份证复印件（或法定代表人授权委托书及其有效身份证复印件）（格式见附件）；  </w:t>
      </w:r>
    </w:p>
    <w:p w14:paraId="61481D13">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lang w:val="en-US" w:eastAsia="zh-CN"/>
        </w:rPr>
        <w:t>2</w:t>
      </w:r>
      <w:r>
        <w:rPr>
          <w:rFonts w:hint="eastAsia" w:ascii="宋体"/>
          <w:color w:val="auto"/>
          <w:szCs w:val="21"/>
          <w:highlight w:val="none"/>
          <w:lang w:eastAsia="zh-CN"/>
        </w:rPr>
        <w:t>）诚信投标承诺书（格式见附件）；</w:t>
      </w:r>
      <w:r>
        <w:rPr>
          <w:rFonts w:hint="eastAsia" w:ascii="宋体"/>
          <w:color w:val="auto"/>
          <w:szCs w:val="21"/>
          <w:highlight w:val="none"/>
        </w:rPr>
        <w:t xml:space="preserve">                                                                                                                                                                                                                                                                                                                                                                                                                                                                                                                                                                                                                                                                                                                                                                                                                                                                                                                                                                                                                                                                                                                                                                                                                                                                                                                                                                                                                                                                                                                                                                                                                                                                                      </w:t>
      </w:r>
    </w:p>
    <w:p w14:paraId="2287EDBC">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w:t>
      </w:r>
      <w:r>
        <w:rPr>
          <w:rFonts w:hint="eastAsia" w:ascii="宋体"/>
          <w:color w:val="auto"/>
          <w:szCs w:val="21"/>
          <w:highlight w:val="none"/>
          <w:lang w:val="en-US" w:eastAsia="zh-CN"/>
        </w:rPr>
        <w:t>3</w:t>
      </w:r>
      <w:r>
        <w:rPr>
          <w:rFonts w:hint="eastAsia" w:ascii="宋体"/>
          <w:color w:val="auto"/>
          <w:szCs w:val="21"/>
          <w:highlight w:val="none"/>
        </w:rPr>
        <w:t>）</w:t>
      </w:r>
      <w:r>
        <w:rPr>
          <w:rFonts w:hint="eastAsia" w:hAnsi="宋体"/>
          <w:color w:val="auto"/>
          <w:szCs w:val="21"/>
          <w:highlight w:val="none"/>
        </w:rPr>
        <w:t>投标人</w:t>
      </w:r>
      <w:r>
        <w:rPr>
          <w:rFonts w:hint="eastAsia" w:hAnsi="宋体"/>
          <w:color w:val="auto"/>
          <w:szCs w:val="21"/>
          <w:highlight w:val="none"/>
          <w:lang w:val="en-US" w:eastAsia="zh-CN"/>
        </w:rPr>
        <w:t>有效的</w:t>
      </w:r>
      <w:r>
        <w:rPr>
          <w:rFonts w:hint="eastAsia" w:hAnsi="宋体"/>
          <w:color w:val="auto"/>
          <w:szCs w:val="21"/>
          <w:highlight w:val="none"/>
        </w:rPr>
        <w:t>会计师事务所执业证书</w:t>
      </w:r>
      <w:r>
        <w:rPr>
          <w:rFonts w:hint="eastAsia" w:ascii="宋体"/>
          <w:color w:val="auto"/>
          <w:szCs w:val="21"/>
          <w:highlight w:val="none"/>
        </w:rPr>
        <w:t>；</w:t>
      </w:r>
    </w:p>
    <w:p w14:paraId="761F611A">
      <w:pPr>
        <w:spacing w:line="500" w:lineRule="exact"/>
        <w:ind w:firstLine="420" w:firstLineChars="200"/>
        <w:jc w:val="left"/>
        <w:rPr>
          <w:rFonts w:hint="eastAsia" w:ascii="宋体" w:hAnsi="宋体" w:cs="宋体-18030"/>
          <w:color w:val="auto"/>
          <w:szCs w:val="21"/>
          <w:highlight w:val="none"/>
          <w:lang w:val="en-US" w:eastAsia="zh-CN"/>
        </w:rPr>
      </w:pPr>
      <w:r>
        <w:rPr>
          <w:rFonts w:hint="eastAsia" w:ascii="宋体" w:hAnsi="宋体" w:cs="宋体-18030"/>
          <w:color w:val="auto"/>
          <w:szCs w:val="21"/>
          <w:highlight w:val="none"/>
          <w:lang w:eastAsia="zh-CN"/>
        </w:rPr>
        <w:t>（</w:t>
      </w:r>
      <w:r>
        <w:rPr>
          <w:rFonts w:hint="eastAsia" w:ascii="宋体" w:hAnsi="宋体" w:cs="宋体-18030"/>
          <w:color w:val="auto"/>
          <w:szCs w:val="21"/>
          <w:highlight w:val="none"/>
          <w:lang w:val="en-US" w:eastAsia="zh-CN"/>
        </w:rPr>
        <w:t>4）投标人项目负责人有效身份证件、注册会计师证书；</w:t>
      </w:r>
    </w:p>
    <w:p w14:paraId="1FF40C24">
      <w:pPr>
        <w:spacing w:line="500" w:lineRule="exact"/>
        <w:ind w:firstLine="420" w:firstLineChars="200"/>
        <w:jc w:val="left"/>
        <w:rPr>
          <w:rFonts w:hint="default" w:ascii="宋体" w:hAnsi="宋体" w:cs="宋体-18030"/>
          <w:color w:val="auto"/>
          <w:szCs w:val="21"/>
          <w:highlight w:val="none"/>
          <w:lang w:val="en-US" w:eastAsia="zh-CN"/>
        </w:rPr>
      </w:pPr>
      <w:r>
        <w:rPr>
          <w:rFonts w:hint="eastAsia" w:ascii="宋体" w:hAnsi="宋体" w:cs="宋体-18030"/>
          <w:color w:val="auto"/>
          <w:szCs w:val="21"/>
          <w:highlight w:val="none"/>
          <w:lang w:val="en-US" w:eastAsia="zh-CN"/>
        </w:rPr>
        <w:t>（5）项目组成员名单、人员有效身份证及中级会计师（或以上）证书；</w:t>
      </w:r>
    </w:p>
    <w:p w14:paraId="4F1EFD1C">
      <w:pPr>
        <w:spacing w:line="500" w:lineRule="exact"/>
        <w:ind w:firstLine="420" w:firstLineChars="200"/>
        <w:jc w:val="left"/>
        <w:rPr>
          <w:rFonts w:hint="eastAsia" w:ascii="宋体" w:hAnsi="Times New Roman" w:eastAsia="宋体" w:cs="Times New Roman"/>
          <w:color w:val="auto"/>
          <w:szCs w:val="21"/>
          <w:highlight w:val="none"/>
          <w:lang w:eastAsia="zh-CN"/>
        </w:rPr>
      </w:pPr>
      <w:r>
        <w:rPr>
          <w:rFonts w:hint="eastAsia" w:ascii="宋体" w:hAnsi="Times New Roman" w:eastAsia="宋体" w:cs="Times New Roman"/>
          <w:color w:val="auto"/>
          <w:szCs w:val="21"/>
          <w:highlight w:val="none"/>
        </w:rPr>
        <w:t>（</w:t>
      </w:r>
      <w:r>
        <w:rPr>
          <w:rFonts w:hint="eastAsia" w:ascii="宋体" w:cs="Times New Roman"/>
          <w:color w:val="auto"/>
          <w:szCs w:val="21"/>
          <w:highlight w:val="none"/>
          <w:lang w:val="en-US" w:eastAsia="zh-CN"/>
        </w:rPr>
        <w:t>6</w:t>
      </w:r>
      <w:r>
        <w:rPr>
          <w:rFonts w:hint="eastAsia" w:ascii="宋体" w:hAnsi="Times New Roman" w:eastAsia="宋体" w:cs="Times New Roman"/>
          <w:color w:val="auto"/>
          <w:szCs w:val="21"/>
          <w:highlight w:val="none"/>
        </w:rPr>
        <w:t>）招标文件中要求的资信评审和资信评分的支持资料</w:t>
      </w:r>
      <w:r>
        <w:rPr>
          <w:rFonts w:hint="eastAsia" w:ascii="宋体" w:cs="Times New Roman"/>
          <w:color w:val="auto"/>
          <w:szCs w:val="21"/>
          <w:highlight w:val="none"/>
          <w:lang w:eastAsia="zh-CN"/>
        </w:rPr>
        <w:t>。</w:t>
      </w:r>
    </w:p>
    <w:p w14:paraId="6B693F28">
      <w:pPr>
        <w:spacing w:line="500" w:lineRule="exact"/>
        <w:ind w:firstLine="420" w:firstLineChars="200"/>
        <w:jc w:val="left"/>
        <w:rPr>
          <w:rFonts w:hint="eastAsia" w:ascii="宋体" w:hAnsi="Times New Roman" w:eastAsia="宋体" w:cs="Times New Roman"/>
          <w:color w:val="auto"/>
          <w:szCs w:val="21"/>
          <w:highlight w:val="none"/>
        </w:rPr>
      </w:pPr>
    </w:p>
    <w:p w14:paraId="27527F4D">
      <w:pPr>
        <w:spacing w:line="400" w:lineRule="exact"/>
        <w:ind w:firstLine="562" w:firstLineChars="200"/>
        <w:rPr>
          <w:rFonts w:hint="eastAsia"/>
          <w:b/>
          <w:color w:val="auto"/>
          <w:sz w:val="28"/>
          <w:szCs w:val="28"/>
          <w:highlight w:val="none"/>
        </w:rPr>
      </w:pPr>
    </w:p>
    <w:p w14:paraId="721E9B25">
      <w:pPr>
        <w:spacing w:line="400" w:lineRule="exact"/>
        <w:ind w:firstLine="562" w:firstLineChars="200"/>
        <w:rPr>
          <w:rFonts w:hint="eastAsia"/>
          <w:b/>
          <w:color w:val="auto"/>
          <w:sz w:val="28"/>
          <w:szCs w:val="28"/>
          <w:highlight w:val="none"/>
        </w:rPr>
      </w:pPr>
    </w:p>
    <w:p w14:paraId="651EB215">
      <w:pPr>
        <w:spacing w:line="400" w:lineRule="exact"/>
        <w:ind w:firstLine="562" w:firstLineChars="200"/>
        <w:rPr>
          <w:rFonts w:hint="eastAsia"/>
          <w:b/>
          <w:color w:val="auto"/>
          <w:sz w:val="28"/>
          <w:szCs w:val="28"/>
          <w:highlight w:val="none"/>
        </w:rPr>
      </w:pPr>
    </w:p>
    <w:p w14:paraId="7A3B3510">
      <w:pPr>
        <w:spacing w:line="400" w:lineRule="exact"/>
        <w:ind w:firstLine="562" w:firstLineChars="200"/>
        <w:rPr>
          <w:rFonts w:hint="eastAsia"/>
          <w:b/>
          <w:color w:val="auto"/>
          <w:sz w:val="28"/>
          <w:szCs w:val="28"/>
          <w:highlight w:val="none"/>
        </w:rPr>
      </w:pPr>
    </w:p>
    <w:p w14:paraId="389FB3C2">
      <w:pPr>
        <w:spacing w:line="400" w:lineRule="exact"/>
        <w:ind w:firstLine="562" w:firstLineChars="200"/>
        <w:rPr>
          <w:rFonts w:hint="eastAsia"/>
          <w:b/>
          <w:color w:val="auto"/>
          <w:sz w:val="28"/>
          <w:szCs w:val="28"/>
          <w:highlight w:val="none"/>
        </w:rPr>
      </w:pPr>
    </w:p>
    <w:p w14:paraId="37C5111F">
      <w:pPr>
        <w:spacing w:line="400" w:lineRule="exact"/>
        <w:rPr>
          <w:b/>
          <w:color w:val="auto"/>
          <w:sz w:val="28"/>
          <w:szCs w:val="28"/>
          <w:highlight w:val="none"/>
        </w:rPr>
        <w:sectPr>
          <w:headerReference r:id="rId9" w:type="default"/>
          <w:footerReference r:id="rId10" w:type="default"/>
          <w:pgSz w:w="11906" w:h="16838"/>
          <w:pgMar w:top="1440" w:right="1066" w:bottom="1440" w:left="1800" w:header="851" w:footer="992" w:gutter="0"/>
          <w:pgNumType w:fmt="numberInDash"/>
          <w:cols w:space="720" w:num="1"/>
          <w:docGrid w:type="lines" w:linePitch="312" w:charSpace="0"/>
        </w:sectPr>
      </w:pPr>
    </w:p>
    <w:p w14:paraId="7A63AA04">
      <w:pPr>
        <w:spacing w:line="360" w:lineRule="auto"/>
        <w:rPr>
          <w:rFonts w:hint="eastAsia"/>
          <w:b/>
          <w:color w:val="auto"/>
          <w:sz w:val="28"/>
          <w:szCs w:val="28"/>
          <w:highlight w:val="none"/>
        </w:rPr>
      </w:pPr>
      <w:r>
        <w:rPr>
          <w:rFonts w:hint="eastAsia"/>
          <w:b/>
          <w:color w:val="auto"/>
          <w:sz w:val="28"/>
          <w:szCs w:val="28"/>
          <w:highlight w:val="none"/>
        </w:rPr>
        <w:t>附件1</w:t>
      </w:r>
    </w:p>
    <w:p w14:paraId="12C15BBB">
      <w:pPr>
        <w:spacing w:line="360" w:lineRule="auto"/>
        <w:ind w:left="720"/>
        <w:jc w:val="center"/>
        <w:rPr>
          <w:rFonts w:hint="eastAsia" w:ascii="宋体"/>
          <w:b/>
          <w:color w:val="auto"/>
          <w:sz w:val="28"/>
          <w:szCs w:val="28"/>
          <w:highlight w:val="none"/>
        </w:rPr>
      </w:pPr>
      <w:r>
        <w:rPr>
          <w:rFonts w:hint="eastAsia"/>
          <w:b/>
          <w:color w:val="auto"/>
          <w:sz w:val="28"/>
          <w:szCs w:val="28"/>
          <w:highlight w:val="none"/>
        </w:rPr>
        <w:t>法定代表人身份证明或授权委托书</w:t>
      </w:r>
    </w:p>
    <w:p w14:paraId="5F9AA5F5">
      <w:pPr>
        <w:pStyle w:val="122"/>
        <w:spacing w:before="312" w:beforeLines="100" w:after="312" w:afterLines="100" w:line="480" w:lineRule="exact"/>
        <w:ind w:firstLine="180" w:firstLineChars="75"/>
        <w:rPr>
          <w:rFonts w:hint="eastAsia" w:ascii="宋体"/>
          <w:b/>
          <w:color w:val="auto"/>
          <w:sz w:val="24"/>
          <w:szCs w:val="24"/>
          <w:highlight w:val="none"/>
        </w:rPr>
      </w:pPr>
      <w:r>
        <w:rPr>
          <w:rFonts w:hint="eastAsia" w:ascii="宋体"/>
          <w:color w:val="auto"/>
          <w:sz w:val="24"/>
          <w:szCs w:val="24"/>
          <w:highlight w:val="none"/>
        </w:rPr>
        <w:t>1.法定代表人身份证明</w:t>
      </w:r>
    </w:p>
    <w:p w14:paraId="1A928786">
      <w:pPr>
        <w:spacing w:line="480" w:lineRule="exact"/>
        <w:ind w:firstLine="480" w:firstLineChars="200"/>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 xml:space="preserve"> </w:t>
      </w:r>
    </w:p>
    <w:p w14:paraId="2D212AF8">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单位性质： </w:t>
      </w:r>
      <w:r>
        <w:rPr>
          <w:rFonts w:hint="eastAsia" w:ascii="宋体"/>
          <w:color w:val="auto"/>
          <w:sz w:val="24"/>
          <w:highlight w:val="none"/>
          <w:u w:val="single"/>
        </w:rPr>
        <w:t xml:space="preserve">                                  </w:t>
      </w:r>
      <w:r>
        <w:rPr>
          <w:rFonts w:hint="eastAsia" w:ascii="宋体"/>
          <w:color w:val="auto"/>
          <w:sz w:val="24"/>
          <w:highlight w:val="none"/>
        </w:rPr>
        <w:t xml:space="preserve"> </w:t>
      </w:r>
    </w:p>
    <w:p w14:paraId="0CE710E5">
      <w:pPr>
        <w:spacing w:line="480" w:lineRule="exact"/>
        <w:ind w:firstLine="480" w:firstLineChars="200"/>
        <w:rPr>
          <w:rFonts w:hint="eastAsia" w:ascii="宋体"/>
          <w:color w:val="auto"/>
          <w:sz w:val="24"/>
          <w:highlight w:val="none"/>
        </w:rPr>
      </w:pPr>
      <w:r>
        <w:rPr>
          <w:rFonts w:hint="eastAsia" w:ascii="宋体"/>
          <w:color w:val="auto"/>
          <w:sz w:val="24"/>
          <w:highlight w:val="none"/>
        </w:rPr>
        <w:t>地    址：</w:t>
      </w:r>
      <w:r>
        <w:rPr>
          <w:rFonts w:hint="eastAsia" w:ascii="宋体"/>
          <w:color w:val="auto"/>
          <w:sz w:val="24"/>
          <w:highlight w:val="none"/>
          <w:u w:val="single"/>
        </w:rPr>
        <w:t xml:space="preserve">                                   </w:t>
      </w:r>
      <w:r>
        <w:rPr>
          <w:rFonts w:hint="eastAsia" w:ascii="宋体"/>
          <w:color w:val="auto"/>
          <w:sz w:val="24"/>
          <w:highlight w:val="none"/>
        </w:rPr>
        <w:t xml:space="preserve"> </w:t>
      </w:r>
    </w:p>
    <w:p w14:paraId="1459BA3C">
      <w:pPr>
        <w:spacing w:line="480" w:lineRule="exact"/>
        <w:ind w:firstLine="480" w:firstLineChars="200"/>
        <w:rPr>
          <w:rFonts w:hint="eastAsia" w:ascii="宋体"/>
          <w:color w:val="auto"/>
          <w:sz w:val="24"/>
          <w:highlight w:val="none"/>
        </w:rPr>
      </w:pPr>
      <w:r>
        <w:rPr>
          <w:rFonts w:hint="eastAsia" w:ascii="宋体"/>
          <w:color w:val="auto"/>
          <w:sz w:val="24"/>
          <w:highlight w:val="none"/>
        </w:rPr>
        <w:t>成立时间：</w:t>
      </w:r>
      <w:r>
        <w:rPr>
          <w:rFonts w:hint="eastAsia" w:ascii="宋体"/>
          <w:color w:val="auto"/>
          <w:sz w:val="24"/>
          <w:highlight w:val="none"/>
          <w:u w:val="single"/>
        </w:rPr>
        <w:t xml:space="preserve">        </w:t>
      </w:r>
      <w:r>
        <w:rPr>
          <w:rFonts w:hint="eastAsia" w:ascii="宋体"/>
          <w:color w:val="auto"/>
          <w:sz w:val="24"/>
          <w:highlight w:val="none"/>
        </w:rPr>
        <w:t>年</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＿日</w:t>
      </w:r>
    </w:p>
    <w:p w14:paraId="23066736">
      <w:pPr>
        <w:spacing w:line="480" w:lineRule="exact"/>
        <w:ind w:firstLine="480" w:firstLineChars="200"/>
        <w:rPr>
          <w:rFonts w:hint="eastAsia" w:ascii="宋体"/>
          <w:color w:val="auto"/>
          <w:sz w:val="24"/>
          <w:highlight w:val="none"/>
        </w:rPr>
      </w:pPr>
      <w:r>
        <w:rPr>
          <w:rFonts w:hint="eastAsia" w:ascii="宋体"/>
          <w:color w:val="auto"/>
          <w:sz w:val="24"/>
          <w:highlight w:val="none"/>
        </w:rPr>
        <w:t>经营期限：</w:t>
      </w:r>
      <w:r>
        <w:rPr>
          <w:rFonts w:hint="eastAsia" w:ascii="宋体"/>
          <w:color w:val="auto"/>
          <w:sz w:val="24"/>
          <w:highlight w:val="none"/>
          <w:u w:val="single"/>
        </w:rPr>
        <w:t xml:space="preserve">                                </w:t>
      </w:r>
      <w:r>
        <w:rPr>
          <w:rFonts w:hint="eastAsia" w:ascii="宋体"/>
          <w:color w:val="auto"/>
          <w:sz w:val="24"/>
          <w:highlight w:val="none"/>
        </w:rPr>
        <w:t xml:space="preserve"> </w:t>
      </w:r>
    </w:p>
    <w:p w14:paraId="1EF24644">
      <w:pPr>
        <w:spacing w:line="480" w:lineRule="exact"/>
        <w:ind w:firstLine="1440" w:firstLineChars="200"/>
        <w:rPr>
          <w:rFonts w:hint="eastAsia" w:ascii="宋体"/>
          <w:color w:val="auto"/>
          <w:sz w:val="24"/>
          <w:highlight w:val="none"/>
        </w:rPr>
      </w:pPr>
      <w:r>
        <w:rPr>
          <w:rFonts w:hint="eastAsia" w:ascii="宋体"/>
          <w:color w:val="auto"/>
          <w:spacing w:val="240"/>
          <w:sz w:val="24"/>
          <w:highlight w:val="none"/>
        </w:rPr>
        <w:t>姓</w:t>
      </w:r>
      <w:r>
        <w:rPr>
          <w:rFonts w:hint="eastAsia" w:ascii="宋体"/>
          <w:color w:val="auto"/>
          <w:sz w:val="24"/>
          <w:highlight w:val="none"/>
        </w:rPr>
        <w:t>名：</w:t>
      </w:r>
      <w:r>
        <w:rPr>
          <w:rFonts w:hint="eastAsia" w:ascii="宋体"/>
          <w:color w:val="auto"/>
          <w:sz w:val="24"/>
          <w:highlight w:val="none"/>
          <w:u w:val="single"/>
        </w:rPr>
        <w:t xml:space="preserve">           </w:t>
      </w:r>
      <w:r>
        <w:rPr>
          <w:rFonts w:hint="eastAsia" w:ascii="宋体"/>
          <w:color w:val="auto"/>
          <w:sz w:val="24"/>
          <w:highlight w:val="none"/>
        </w:rPr>
        <w:t>性别：</w:t>
      </w:r>
      <w:r>
        <w:rPr>
          <w:rFonts w:hint="eastAsia" w:ascii="宋体"/>
          <w:color w:val="auto"/>
          <w:sz w:val="24"/>
          <w:highlight w:val="none"/>
          <w:u w:val="single"/>
        </w:rPr>
        <w:t xml:space="preserve">        </w:t>
      </w:r>
      <w:r>
        <w:rPr>
          <w:rFonts w:hint="eastAsia" w:ascii="宋体"/>
          <w:color w:val="auto"/>
          <w:sz w:val="24"/>
          <w:highlight w:val="none"/>
        </w:rPr>
        <w:t>年龄：＿</w:t>
      </w:r>
      <w:r>
        <w:rPr>
          <w:rFonts w:hint="eastAsia" w:ascii="宋体"/>
          <w:color w:val="auto"/>
          <w:sz w:val="24"/>
          <w:highlight w:val="none"/>
          <w:u w:val="single"/>
        </w:rPr>
        <w:t xml:space="preserve">  </w:t>
      </w:r>
      <w:r>
        <w:rPr>
          <w:rFonts w:hint="eastAsia" w:ascii="宋体"/>
          <w:color w:val="auto"/>
          <w:sz w:val="24"/>
          <w:highlight w:val="none"/>
        </w:rPr>
        <w:t>职务：</w:t>
      </w:r>
      <w:r>
        <w:rPr>
          <w:rFonts w:hint="eastAsia" w:ascii="宋体"/>
          <w:color w:val="auto"/>
          <w:sz w:val="24"/>
          <w:highlight w:val="none"/>
          <w:u w:val="single"/>
        </w:rPr>
        <w:t xml:space="preserve">       </w:t>
      </w:r>
      <w:r>
        <w:rPr>
          <w:rFonts w:hint="eastAsia" w:ascii="宋体"/>
          <w:color w:val="auto"/>
          <w:sz w:val="24"/>
          <w:highlight w:val="none"/>
        </w:rPr>
        <w:t>_</w:t>
      </w:r>
    </w:p>
    <w:p w14:paraId="5DE2B0D5">
      <w:pPr>
        <w:spacing w:line="480" w:lineRule="exact"/>
        <w:ind w:firstLine="480" w:firstLineChars="200"/>
        <w:rPr>
          <w:rFonts w:hint="eastAsia" w:ascii="宋体"/>
          <w:color w:val="auto"/>
          <w:sz w:val="24"/>
          <w:highlight w:val="none"/>
        </w:rPr>
      </w:pPr>
      <w:r>
        <w:rPr>
          <w:rFonts w:hint="eastAsia" w:ascii="宋体"/>
          <w:color w:val="auto"/>
          <w:sz w:val="24"/>
          <w:highlight w:val="none"/>
        </w:rPr>
        <w:t>系</w:t>
      </w:r>
      <w:r>
        <w:rPr>
          <w:rFonts w:hint="eastAsia" w:ascii="宋体"/>
          <w:color w:val="auto"/>
          <w:sz w:val="24"/>
          <w:highlight w:val="none"/>
          <w:u w:val="single"/>
        </w:rPr>
        <w:t xml:space="preserve">                                </w:t>
      </w:r>
      <w:r>
        <w:rPr>
          <w:rFonts w:hint="eastAsia" w:ascii="宋体"/>
          <w:color w:val="auto"/>
          <w:sz w:val="24"/>
          <w:highlight w:val="none"/>
        </w:rPr>
        <w:t>（投标人名称）的法定代表人。</w:t>
      </w:r>
    </w:p>
    <w:p w14:paraId="05AD4DEF">
      <w:pPr>
        <w:spacing w:line="480" w:lineRule="exact"/>
        <w:ind w:firstLine="960" w:firstLineChars="400"/>
        <w:rPr>
          <w:rFonts w:hint="eastAsia" w:ascii="宋体"/>
          <w:color w:val="auto"/>
          <w:sz w:val="24"/>
          <w:highlight w:val="none"/>
        </w:rPr>
      </w:pPr>
      <w:r>
        <w:rPr>
          <w:rFonts w:hint="eastAsia" w:ascii="宋体"/>
          <w:color w:val="auto"/>
          <w:sz w:val="24"/>
          <w:highlight w:val="none"/>
        </w:rPr>
        <w:t>特此证明。</w:t>
      </w:r>
    </w:p>
    <w:p w14:paraId="0070C1DA">
      <w:pPr>
        <w:spacing w:line="360" w:lineRule="auto"/>
        <w:ind w:firstLine="3480" w:firstLineChars="1450"/>
        <w:rPr>
          <w:rFonts w:hint="eastAsia" w:ascii="宋体"/>
          <w:color w:val="auto"/>
          <w:sz w:val="24"/>
          <w:highlight w:val="none"/>
        </w:rPr>
      </w:pPr>
      <w:r>
        <w:rPr>
          <w:rFonts w:hint="eastAsia" w:ascii="宋体"/>
          <w:color w:val="auto"/>
          <w:sz w:val="24"/>
          <w:highlight w:val="none"/>
        </w:rPr>
        <w:t>投标人：</w:t>
      </w:r>
      <w:r>
        <w:rPr>
          <w:rFonts w:hint="eastAsia" w:ascii="宋体"/>
          <w:color w:val="auto"/>
          <w:sz w:val="24"/>
          <w:highlight w:val="none"/>
          <w:u w:val="single"/>
        </w:rPr>
        <w:t xml:space="preserve">                 </w:t>
      </w:r>
      <w:r>
        <w:rPr>
          <w:rFonts w:hint="eastAsia" w:ascii="宋体"/>
          <w:color w:val="auto"/>
          <w:sz w:val="24"/>
          <w:highlight w:val="none"/>
        </w:rPr>
        <w:t>（盖单位章）</w:t>
      </w:r>
    </w:p>
    <w:p w14:paraId="5C03CB32">
      <w:pPr>
        <w:wordWrap w:val="0"/>
        <w:spacing w:line="360" w:lineRule="auto"/>
        <w:jc w:val="right"/>
        <w:rPr>
          <w:rFonts w:hint="eastAsia"/>
          <w:color w:val="auto"/>
          <w:highlight w:val="none"/>
        </w:rPr>
      </w:pPr>
      <w:r>
        <w:rPr>
          <w:rFonts w:hint="eastAsia" w:ascii="宋体"/>
          <w:color w:val="auto"/>
          <w:sz w:val="24"/>
          <w:highlight w:val="none"/>
        </w:rPr>
        <w:t xml:space="preserve">                                        </w:t>
      </w:r>
      <w:r>
        <w:rPr>
          <w:rFonts w:hint="eastAsia" w:ascii="宋体"/>
          <w:color w:val="auto"/>
          <w:sz w:val="24"/>
          <w:highlight w:val="none"/>
          <w:u w:val="single"/>
        </w:rPr>
        <w:t xml:space="preserve">       </w:t>
      </w:r>
      <w:r>
        <w:rPr>
          <w:rFonts w:hint="eastAsia" w:ascii="宋体"/>
          <w:color w:val="auto"/>
          <w:sz w:val="24"/>
          <w:highlight w:val="none"/>
        </w:rPr>
        <w:t xml:space="preserve">年 </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 xml:space="preserve">日  </w:t>
      </w:r>
    </w:p>
    <w:p w14:paraId="3EBABC8B">
      <w:pPr>
        <w:spacing w:before="312" w:beforeLines="100" w:after="312" w:afterLines="100" w:line="480" w:lineRule="exact"/>
        <w:ind w:firstLine="3654" w:firstLineChars="1305"/>
        <w:rPr>
          <w:rFonts w:hint="eastAsia" w:ascii="宋体"/>
          <w:color w:val="auto"/>
          <w:sz w:val="28"/>
          <w:szCs w:val="28"/>
          <w:highlight w:val="none"/>
        </w:rPr>
      </w:pPr>
      <w:r>
        <w:rPr>
          <w:rFonts w:hint="eastAsia" w:ascii="宋体"/>
          <w:color w:val="auto"/>
          <w:sz w:val="28"/>
          <w:szCs w:val="28"/>
          <w:highlight w:val="none"/>
        </w:rPr>
        <w:t>2.授权委托书</w:t>
      </w:r>
    </w:p>
    <w:p w14:paraId="61D7FE74">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本人 </w:t>
      </w:r>
      <w:r>
        <w:rPr>
          <w:rFonts w:hint="eastAsia" w:ascii="宋体"/>
          <w:color w:val="auto"/>
          <w:sz w:val="24"/>
          <w:highlight w:val="none"/>
          <w:u w:val="single"/>
        </w:rPr>
        <w:t xml:space="preserve">    </w:t>
      </w:r>
      <w:r>
        <w:rPr>
          <w:rFonts w:hint="eastAsia" w:ascii="宋体"/>
          <w:color w:val="auto"/>
          <w:sz w:val="24"/>
          <w:highlight w:val="none"/>
        </w:rPr>
        <w:t>（姓名）系</w:t>
      </w:r>
      <w:r>
        <w:rPr>
          <w:rFonts w:hint="eastAsia" w:ascii="宋体"/>
          <w:color w:val="auto"/>
          <w:sz w:val="24"/>
          <w:highlight w:val="none"/>
          <w:u w:val="single"/>
        </w:rPr>
        <w:t xml:space="preserve">       </w:t>
      </w:r>
      <w:r>
        <w:rPr>
          <w:rFonts w:hint="eastAsia" w:ascii="宋体"/>
          <w:color w:val="auto"/>
          <w:sz w:val="24"/>
          <w:highlight w:val="none"/>
        </w:rPr>
        <w:t>（投标人）的法定代表人，现委托</w:t>
      </w:r>
      <w:r>
        <w:rPr>
          <w:rFonts w:hint="eastAsia" w:ascii="宋体"/>
          <w:color w:val="auto"/>
          <w:sz w:val="24"/>
          <w:highlight w:val="none"/>
          <w:u w:val="single"/>
        </w:rPr>
        <w:t xml:space="preserve">   </w:t>
      </w:r>
      <w:r>
        <w:rPr>
          <w:rFonts w:hint="eastAsia" w:ascii="宋体"/>
          <w:color w:val="auto"/>
          <w:sz w:val="24"/>
          <w:highlight w:val="none"/>
        </w:rPr>
        <w:t>（姓名）为我方代理人。代理人根据授权，以我方名义签署、澄清、说明、补正、递交、撤回、修改 “</w:t>
      </w:r>
      <w:r>
        <w:rPr>
          <w:rFonts w:hint="eastAsia" w:ascii="宋体"/>
          <w:color w:val="auto"/>
          <w:sz w:val="24"/>
          <w:highlight w:val="none"/>
          <w:u w:val="single"/>
        </w:rPr>
        <w:t xml:space="preserve">      </w:t>
      </w:r>
      <w:r>
        <w:rPr>
          <w:rFonts w:hint="eastAsia" w:ascii="宋体"/>
          <w:color w:val="auto"/>
          <w:sz w:val="24"/>
          <w:highlight w:val="none"/>
        </w:rPr>
        <w:t xml:space="preserve"> ”(项目名称、编号）投标文件，全权处理与该项目投标、评审答疑、签订合同以及与合同执行有关的一切事务，其法律后果由我方承担。</w:t>
      </w:r>
    </w:p>
    <w:p w14:paraId="19774F05">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委托期限：                                </w:t>
      </w:r>
    </w:p>
    <w:p w14:paraId="03AA18CF">
      <w:pPr>
        <w:spacing w:line="480" w:lineRule="exact"/>
        <w:ind w:firstLine="480" w:firstLineChars="200"/>
        <w:rPr>
          <w:rFonts w:hint="eastAsia" w:ascii="宋体"/>
          <w:color w:val="auto"/>
          <w:sz w:val="24"/>
          <w:highlight w:val="none"/>
        </w:rPr>
      </w:pPr>
      <w:r>
        <w:rPr>
          <w:rFonts w:hint="eastAsia" w:ascii="宋体"/>
          <w:color w:val="auto"/>
          <w:sz w:val="24"/>
          <w:highlight w:val="none"/>
        </w:rPr>
        <w:t>代理人无转委托权。</w:t>
      </w:r>
    </w:p>
    <w:p w14:paraId="07B90ECC">
      <w:pPr>
        <w:spacing w:line="480" w:lineRule="exact"/>
        <w:ind w:firstLine="480" w:firstLineChars="200"/>
        <w:rPr>
          <w:rFonts w:hint="eastAsia" w:ascii="宋体"/>
          <w:color w:val="auto"/>
          <w:sz w:val="24"/>
          <w:highlight w:val="none"/>
        </w:rPr>
      </w:pPr>
      <w:r>
        <w:rPr>
          <w:rFonts w:hint="eastAsia" w:ascii="宋体"/>
          <w:color w:val="auto"/>
          <w:sz w:val="24"/>
          <w:highlight w:val="none"/>
        </w:rPr>
        <w:t>附：授权委托人有效身份证及法定代表人有效身份证</w:t>
      </w:r>
    </w:p>
    <w:p w14:paraId="7CC0099D">
      <w:pPr>
        <w:spacing w:line="480" w:lineRule="exact"/>
        <w:rPr>
          <w:rFonts w:hint="eastAsia" w:ascii="宋体"/>
          <w:color w:val="auto"/>
          <w:sz w:val="24"/>
          <w:highlight w:val="none"/>
        </w:rPr>
      </w:pPr>
      <w:r>
        <w:rPr>
          <w:rFonts w:hint="eastAsia" w:ascii="宋体"/>
          <w:color w:val="auto"/>
          <w:sz w:val="24"/>
          <w:highlight w:val="none"/>
        </w:rPr>
        <w:t xml:space="preserve">                                     投标人：             </w:t>
      </w:r>
      <w:r>
        <w:rPr>
          <w:rFonts w:hint="eastAsia" w:ascii="宋体"/>
          <w:color w:val="auto"/>
          <w:sz w:val="28"/>
          <w:szCs w:val="28"/>
          <w:highlight w:val="none"/>
        </w:rPr>
        <w:t>（盖单位章）</w:t>
      </w:r>
    </w:p>
    <w:p w14:paraId="387DE2CD">
      <w:pPr>
        <w:spacing w:line="480" w:lineRule="exact"/>
        <w:ind w:firstLine="2280" w:firstLineChars="950"/>
        <w:rPr>
          <w:rFonts w:hint="eastAsia" w:ascii="宋体"/>
          <w:color w:val="auto"/>
          <w:sz w:val="24"/>
          <w:highlight w:val="none"/>
        </w:rPr>
      </w:pPr>
      <w:r>
        <w:rPr>
          <w:rFonts w:hint="eastAsia" w:ascii="宋体"/>
          <w:color w:val="auto"/>
          <w:sz w:val="24"/>
          <w:highlight w:val="none"/>
        </w:rPr>
        <w:t xml:space="preserve">法定代表人（身份证号码）：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14:paraId="0E2C8016">
      <w:pPr>
        <w:spacing w:line="480" w:lineRule="exact"/>
        <w:ind w:firstLine="2820" w:firstLineChars="1175"/>
        <w:rPr>
          <w:rFonts w:hint="eastAsia" w:ascii="宋体"/>
          <w:color w:val="auto"/>
          <w:sz w:val="24"/>
          <w:highlight w:val="none"/>
        </w:rPr>
      </w:pPr>
      <w:r>
        <w:rPr>
          <w:rFonts w:hint="eastAsia" w:ascii="宋体"/>
          <w:color w:val="auto"/>
          <w:sz w:val="24"/>
          <w:highlight w:val="none"/>
        </w:rPr>
        <w:t xml:space="preserve">              年    月    日</w:t>
      </w:r>
    </w:p>
    <w:p w14:paraId="6B7A2607">
      <w:pPr>
        <w:spacing w:line="360" w:lineRule="exact"/>
        <w:ind w:firstLine="413" w:firstLineChars="147"/>
        <w:rPr>
          <w:rFonts w:hint="eastAsia"/>
          <w:b/>
          <w:color w:val="auto"/>
          <w:sz w:val="28"/>
          <w:szCs w:val="28"/>
          <w:highlight w:val="none"/>
          <w:u w:val="single"/>
        </w:rPr>
      </w:pPr>
    </w:p>
    <w:p w14:paraId="2495343D">
      <w:pPr>
        <w:spacing w:line="360" w:lineRule="exact"/>
        <w:ind w:firstLine="413" w:firstLineChars="147"/>
        <w:rPr>
          <w:rFonts w:hint="eastAsia"/>
          <w:b/>
          <w:color w:val="auto"/>
          <w:sz w:val="28"/>
          <w:szCs w:val="28"/>
          <w:highlight w:val="none"/>
          <w:u w:val="single"/>
        </w:rPr>
      </w:pPr>
    </w:p>
    <w:p w14:paraId="680B5FB5">
      <w:pPr>
        <w:spacing w:line="360" w:lineRule="exact"/>
        <w:ind w:firstLine="443" w:firstLineChars="147"/>
        <w:rPr>
          <w:rFonts w:hint="eastAsia" w:ascii="宋体"/>
          <w:b/>
          <w:color w:val="auto"/>
          <w:sz w:val="30"/>
          <w:szCs w:val="30"/>
          <w:highlight w:val="none"/>
        </w:rPr>
      </w:pPr>
      <w:r>
        <w:rPr>
          <w:rFonts w:hint="eastAsia" w:ascii="宋体"/>
          <w:b/>
          <w:color w:val="auto"/>
          <w:sz w:val="30"/>
          <w:szCs w:val="30"/>
          <w:highlight w:val="none"/>
        </w:rPr>
        <w:t>附件2</w:t>
      </w:r>
    </w:p>
    <w:p w14:paraId="590317EC">
      <w:pPr>
        <w:spacing w:line="360" w:lineRule="auto"/>
        <w:jc w:val="center"/>
        <w:rPr>
          <w:rFonts w:hint="eastAsia"/>
          <w:b/>
          <w:color w:val="auto"/>
          <w:sz w:val="28"/>
          <w:szCs w:val="28"/>
          <w:highlight w:val="none"/>
        </w:rPr>
      </w:pPr>
      <w:bookmarkStart w:id="201" w:name="_Toc440443268"/>
      <w:bookmarkStart w:id="202" w:name="_Toc449028950"/>
      <w:r>
        <w:rPr>
          <w:rFonts w:hint="eastAsia"/>
          <w:b/>
          <w:color w:val="auto"/>
          <w:sz w:val="28"/>
          <w:szCs w:val="28"/>
          <w:highlight w:val="none"/>
        </w:rPr>
        <w:t>诚信投标承诺书 </w:t>
      </w:r>
    </w:p>
    <w:p w14:paraId="6E79C1E4">
      <w:pPr>
        <w:spacing w:line="440" w:lineRule="exact"/>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本人以企业法定代表人的身份郑重承诺：</w:t>
      </w:r>
    </w:p>
    <w:p w14:paraId="14EFB915">
      <w:pPr>
        <w:spacing w:line="560" w:lineRule="exact"/>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一、将遵循公开、公正和诚实信用的原则自愿参加</w:t>
      </w:r>
      <w:r>
        <w:rPr>
          <w:rFonts w:hint="eastAsia" w:ascii="宋体" w:hAnsi="宋体" w:eastAsia="宋体" w:cs="宋体"/>
          <w:color w:val="auto"/>
          <w:sz w:val="24"/>
          <w:szCs w:val="24"/>
          <w:highlight w:val="none"/>
          <w:u w:val="single"/>
        </w:rPr>
        <w:t xml:space="preserve">       （项目名称）         项目</w:t>
      </w:r>
      <w:r>
        <w:rPr>
          <w:rFonts w:hint="eastAsia" w:ascii="宋体" w:hAnsi="宋体" w:eastAsia="宋体" w:cs="宋体"/>
          <w:color w:val="auto"/>
          <w:sz w:val="24"/>
          <w:szCs w:val="24"/>
          <w:highlight w:val="none"/>
        </w:rPr>
        <w:t>的谈判，所提供的一切材料都是真实、有效、合法的；</w:t>
      </w:r>
    </w:p>
    <w:p w14:paraId="70209547">
      <w:pPr>
        <w:spacing w:line="560" w:lineRule="exact"/>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二、本单位郑重声明，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14:paraId="64894541">
      <w:pPr>
        <w:spacing w:line="560" w:lineRule="exact"/>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三、不出借、转让资质证书，不让他人挂靠，不以他人名义或者以其他方式弄虚作假，骗取成交；</w:t>
      </w:r>
    </w:p>
    <w:p w14:paraId="4E838B82">
      <w:pPr>
        <w:spacing w:line="560" w:lineRule="exact"/>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四、不与其他供应商相互串通响应报价，不排挤其他供应商的公平竞争、损害采购人的合法权益；</w:t>
      </w:r>
    </w:p>
    <w:p w14:paraId="437B2CCE">
      <w:pPr>
        <w:spacing w:line="560" w:lineRule="exact"/>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五、不与采购人、采购代理机构或其他供应商串通响应，损害国家利益、社会公共利益或者他人的合法权益；</w:t>
      </w:r>
    </w:p>
    <w:p w14:paraId="61024B49">
      <w:pPr>
        <w:spacing w:line="500" w:lineRule="exact"/>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六、</w:t>
      </w:r>
      <w:r>
        <w:rPr>
          <w:rFonts w:hint="eastAsia" w:asciiTheme="minorEastAsia" w:hAnsiTheme="minorEastAsia" w:eastAsiaTheme="minorEastAsia" w:cstheme="minorEastAsia"/>
          <w:color w:val="auto"/>
          <w:kern w:val="0"/>
          <w:sz w:val="24"/>
          <w:szCs w:val="24"/>
          <w:highlight w:val="none"/>
          <w:u w:val="single"/>
          <w:lang w:val="en-US" w:eastAsia="zh-CN" w:bidi="ar"/>
        </w:rPr>
        <w:t xml:space="preserve">       （企业名称）或       （企业名称）</w:t>
      </w:r>
      <w:r>
        <w:rPr>
          <w:rFonts w:hint="eastAsia" w:asciiTheme="minorEastAsia" w:hAnsiTheme="minorEastAsia" w:eastAsiaTheme="minorEastAsia" w:cstheme="minorEastAsia"/>
          <w:color w:val="auto"/>
          <w:kern w:val="0"/>
          <w:sz w:val="24"/>
          <w:szCs w:val="24"/>
          <w:highlight w:val="none"/>
          <w:lang w:val="en-US" w:eastAsia="zh-CN" w:bidi="ar"/>
        </w:rPr>
        <w:t>法定代表人或拟派项目经理（负责人）没有下列情形：①被列入“信用中国”网站“失信被执行人”的；②被列入“信用中国”网站“重大税收违法失信主体”的；③被列入“信用中国”网站 “严重失信主体名单”的；④在“信用中国”网站上披露的仍在公示期的严重失信行为(具体行为类别及判定依据见“信用中国”查询的严重失信行为类别及判定依据)的。⑤被列入国家企业信用信息公示系统网站“经营异常名录”或者“严重违法失信名单”的。⑥被列入中国政府采购网站“政府采购严重违法失信行为信息记录”的。⑦前三年有行贿犯罪行为的单位和个人。（若采购文件对投标人所属分公司、办事处等分支机构有上述1-7项信誉要求，在此一并承诺我公司所属分公司、办事处等分支机构没有上述1-7项情形）</w:t>
      </w:r>
    </w:p>
    <w:p w14:paraId="11B865DF">
      <w:pPr>
        <w:spacing w:line="500" w:lineRule="exact"/>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七</w:t>
      </w:r>
      <w:r>
        <w:rPr>
          <w:rFonts w:hint="eastAsia" w:ascii="宋体" w:hAnsi="宋体" w:eastAsia="宋体" w:cs="宋体"/>
          <w:color w:val="auto"/>
          <w:sz w:val="24"/>
          <w:szCs w:val="24"/>
          <w:highlight w:val="none"/>
        </w:rPr>
        <w:t>、严格遵守谈判现场纪律，服从监管人员管理；</w:t>
      </w:r>
    </w:p>
    <w:p w14:paraId="44F0CD79">
      <w:pPr>
        <w:spacing w:line="560" w:lineRule="exact"/>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八</w:t>
      </w:r>
      <w:r>
        <w:rPr>
          <w:rFonts w:hint="eastAsia" w:ascii="宋体" w:hAnsi="宋体" w:eastAsia="宋体" w:cs="宋体"/>
          <w:color w:val="auto"/>
          <w:sz w:val="24"/>
          <w:szCs w:val="24"/>
          <w:highlight w:val="none"/>
        </w:rPr>
        <w:t>、保证成交后不转包，若有分包征得采购人同意；</w:t>
      </w:r>
    </w:p>
    <w:p w14:paraId="51A0450A">
      <w:pPr>
        <w:spacing w:line="560" w:lineRule="exact"/>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九</w:t>
      </w:r>
      <w:r>
        <w:rPr>
          <w:rFonts w:hint="eastAsia" w:ascii="宋体" w:hAnsi="宋体" w:eastAsia="宋体" w:cs="宋体"/>
          <w:color w:val="auto"/>
          <w:sz w:val="24"/>
          <w:szCs w:val="24"/>
          <w:highlight w:val="none"/>
        </w:rPr>
        <w:t>、保证成交之后，按照响应文件要求提供相关后续服务；</w:t>
      </w:r>
    </w:p>
    <w:p w14:paraId="3DCC27AC">
      <w:pPr>
        <w:spacing w:line="560" w:lineRule="exact"/>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十、保证企业及所属相关人员在本次响应中无行贿等犯罪行为；</w:t>
      </w:r>
    </w:p>
    <w:p w14:paraId="2F8BCA6C">
      <w:pPr>
        <w:spacing w:line="560" w:lineRule="exact"/>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十</w:t>
      </w:r>
      <w:r>
        <w:rPr>
          <w:rFonts w:hint="eastAsia" w:ascii="宋体" w:hAnsi="宋体" w:eastAsia="宋体" w:cs="宋体"/>
          <w:color w:val="auto"/>
          <w:sz w:val="24"/>
          <w:szCs w:val="24"/>
          <w:highlight w:val="none"/>
          <w:lang w:val="en-US" w:eastAsia="zh-CN"/>
        </w:rPr>
        <w:t>一</w:t>
      </w:r>
      <w:r>
        <w:rPr>
          <w:rFonts w:hint="eastAsia" w:ascii="宋体" w:hAnsi="宋体" w:eastAsia="宋体" w:cs="宋体"/>
          <w:color w:val="auto"/>
          <w:sz w:val="24"/>
          <w:szCs w:val="24"/>
          <w:highlight w:val="none"/>
        </w:rPr>
        <w:t>、如在谈判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14:paraId="6781B1BB">
      <w:pPr>
        <w:spacing w:line="560" w:lineRule="exact"/>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以上内容我已仔细阅读，本公司若有违反承诺内容的行为，自愿接受取消响应或者中标（成交）资格、记入不良行为记录等有关处理，愿意承担法律责任，给采购人造成损失的，依法承担赔偿责任。</w:t>
      </w:r>
    </w:p>
    <w:p w14:paraId="06887F77">
      <w:pPr>
        <w:spacing w:line="560" w:lineRule="exact"/>
        <w:ind w:firstLine="480" w:firstLineChars="200"/>
        <w:jc w:val="left"/>
        <w:rPr>
          <w:rFonts w:ascii="宋体" w:hAnsi="宋体" w:eastAsia="宋体" w:cs="宋体"/>
          <w:color w:val="auto"/>
          <w:sz w:val="24"/>
          <w:szCs w:val="24"/>
          <w:highlight w:val="none"/>
        </w:rPr>
      </w:pPr>
    </w:p>
    <w:p w14:paraId="0BB7BCA6">
      <w:pPr>
        <w:spacing w:line="520" w:lineRule="exact"/>
        <w:jc w:val="left"/>
        <w:rPr>
          <w:rFonts w:ascii="宋体" w:hAnsi="宋体" w:eastAsia="宋体" w:cs="宋体"/>
          <w:color w:val="auto"/>
          <w:sz w:val="24"/>
          <w:szCs w:val="24"/>
          <w:highlight w:val="none"/>
        </w:rPr>
      </w:pPr>
    </w:p>
    <w:p w14:paraId="0AFCDFEA">
      <w:pPr>
        <w:spacing w:line="600" w:lineRule="exact"/>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开户银行：                   基本账户：</w:t>
      </w:r>
    </w:p>
    <w:p w14:paraId="5915D8AF">
      <w:pPr>
        <w:spacing w:line="600" w:lineRule="exact"/>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供应商（签章）：             法定代表人（签章）：</w:t>
      </w:r>
    </w:p>
    <w:p w14:paraId="7E243A40">
      <w:pPr>
        <w:spacing w:line="600" w:lineRule="exact"/>
        <w:ind w:firstLine="4095" w:firstLineChars="1950"/>
        <w:rPr>
          <w:rFonts w:ascii="宋体" w:hAnsi="宋体"/>
          <w:color w:val="auto"/>
          <w:szCs w:val="21"/>
          <w:highlight w:val="none"/>
        </w:rPr>
      </w:pPr>
    </w:p>
    <w:p w14:paraId="0267D788">
      <w:pPr>
        <w:spacing w:line="600" w:lineRule="exact"/>
        <w:ind w:firstLine="480" w:firstLineChars="200"/>
        <w:jc w:val="righ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日期：       年      月      日</w:t>
      </w:r>
    </w:p>
    <w:p w14:paraId="7B6C59AF">
      <w:pPr>
        <w:spacing w:line="360" w:lineRule="auto"/>
        <w:jc w:val="center"/>
        <w:rPr>
          <w:rFonts w:hint="eastAsia"/>
          <w:b/>
          <w:color w:val="auto"/>
          <w:sz w:val="28"/>
          <w:szCs w:val="28"/>
          <w:highlight w:val="none"/>
        </w:rPr>
      </w:pPr>
    </w:p>
    <w:p w14:paraId="427FC823">
      <w:pPr>
        <w:spacing w:line="360" w:lineRule="exact"/>
        <w:ind w:firstLine="443" w:firstLineChars="147"/>
        <w:rPr>
          <w:rFonts w:hint="eastAsia" w:ascii="宋体"/>
          <w:b/>
          <w:color w:val="auto"/>
          <w:sz w:val="30"/>
          <w:szCs w:val="30"/>
          <w:highlight w:val="none"/>
        </w:rPr>
      </w:pPr>
    </w:p>
    <w:p w14:paraId="34347FA1">
      <w:pPr>
        <w:spacing w:line="360" w:lineRule="exact"/>
        <w:ind w:firstLine="443" w:firstLineChars="147"/>
        <w:rPr>
          <w:rFonts w:hint="eastAsia" w:ascii="宋体"/>
          <w:b/>
          <w:color w:val="auto"/>
          <w:sz w:val="30"/>
          <w:szCs w:val="30"/>
          <w:highlight w:val="none"/>
        </w:rPr>
      </w:pPr>
    </w:p>
    <w:p w14:paraId="4C790666">
      <w:pPr>
        <w:spacing w:line="360" w:lineRule="exact"/>
        <w:ind w:firstLine="443" w:firstLineChars="147"/>
        <w:rPr>
          <w:rFonts w:hint="eastAsia" w:ascii="宋体"/>
          <w:b/>
          <w:color w:val="auto"/>
          <w:sz w:val="30"/>
          <w:szCs w:val="30"/>
          <w:highlight w:val="none"/>
        </w:rPr>
      </w:pPr>
    </w:p>
    <w:p w14:paraId="34B15911">
      <w:pPr>
        <w:spacing w:line="360" w:lineRule="exact"/>
        <w:ind w:firstLine="443" w:firstLineChars="147"/>
        <w:rPr>
          <w:rFonts w:hint="eastAsia" w:ascii="宋体"/>
          <w:b/>
          <w:color w:val="auto"/>
          <w:sz w:val="30"/>
          <w:szCs w:val="30"/>
          <w:highlight w:val="none"/>
        </w:rPr>
      </w:pPr>
    </w:p>
    <w:p w14:paraId="3AE21F83">
      <w:pPr>
        <w:spacing w:line="360" w:lineRule="exact"/>
        <w:ind w:firstLine="443" w:firstLineChars="147"/>
        <w:rPr>
          <w:rFonts w:hint="eastAsia" w:ascii="宋体"/>
          <w:b/>
          <w:color w:val="auto"/>
          <w:sz w:val="30"/>
          <w:szCs w:val="30"/>
          <w:highlight w:val="none"/>
        </w:rPr>
      </w:pPr>
    </w:p>
    <w:p w14:paraId="4BD741D5">
      <w:pPr>
        <w:spacing w:line="360" w:lineRule="exact"/>
        <w:ind w:firstLine="443" w:firstLineChars="147"/>
        <w:rPr>
          <w:rFonts w:hint="eastAsia" w:ascii="宋体"/>
          <w:b/>
          <w:color w:val="auto"/>
          <w:sz w:val="30"/>
          <w:szCs w:val="30"/>
          <w:highlight w:val="none"/>
        </w:rPr>
      </w:pPr>
    </w:p>
    <w:p w14:paraId="031E3DFE">
      <w:pPr>
        <w:spacing w:line="360" w:lineRule="exact"/>
        <w:ind w:firstLine="443" w:firstLineChars="147"/>
        <w:rPr>
          <w:rFonts w:hint="eastAsia" w:ascii="宋体"/>
          <w:b/>
          <w:color w:val="auto"/>
          <w:sz w:val="30"/>
          <w:szCs w:val="30"/>
          <w:highlight w:val="none"/>
        </w:rPr>
      </w:pPr>
    </w:p>
    <w:p w14:paraId="360B71F7">
      <w:pPr>
        <w:spacing w:line="360" w:lineRule="exact"/>
        <w:ind w:firstLine="443" w:firstLineChars="147"/>
        <w:rPr>
          <w:rFonts w:hint="eastAsia" w:ascii="宋体"/>
          <w:b/>
          <w:color w:val="auto"/>
          <w:sz w:val="30"/>
          <w:szCs w:val="30"/>
          <w:highlight w:val="none"/>
        </w:rPr>
      </w:pPr>
    </w:p>
    <w:p w14:paraId="6633F598">
      <w:pPr>
        <w:rPr>
          <w:rFonts w:hint="eastAsia" w:ascii="宋体"/>
          <w:b/>
          <w:color w:val="auto"/>
          <w:sz w:val="44"/>
          <w:szCs w:val="44"/>
          <w:highlight w:val="none"/>
          <w:lang w:val="en-US" w:eastAsia="zh-CN"/>
        </w:rPr>
      </w:pPr>
      <w:r>
        <w:rPr>
          <w:rFonts w:hint="eastAsia" w:ascii="宋体"/>
          <w:b/>
          <w:color w:val="auto"/>
          <w:sz w:val="44"/>
          <w:szCs w:val="44"/>
          <w:highlight w:val="none"/>
          <w:lang w:val="en-US" w:eastAsia="zh-CN"/>
        </w:rPr>
        <w:br w:type="page"/>
      </w:r>
    </w:p>
    <w:p w14:paraId="52C108F4">
      <w:pPr>
        <w:jc w:val="center"/>
        <w:rPr>
          <w:rFonts w:hint="eastAsia" w:ascii="宋体"/>
          <w:b/>
          <w:color w:val="auto"/>
          <w:sz w:val="44"/>
          <w:szCs w:val="44"/>
          <w:highlight w:val="none"/>
          <w:lang w:val="en-US" w:eastAsia="zh-CN"/>
        </w:rPr>
      </w:pPr>
    </w:p>
    <w:p w14:paraId="134F3B50">
      <w:pPr>
        <w:jc w:val="both"/>
        <w:rPr>
          <w:rFonts w:hint="eastAsia" w:ascii="宋体"/>
          <w:b/>
          <w:color w:val="auto"/>
          <w:sz w:val="44"/>
          <w:szCs w:val="44"/>
          <w:highlight w:val="none"/>
          <w:lang w:val="en-US" w:eastAsia="zh-CN"/>
        </w:rPr>
      </w:pPr>
    </w:p>
    <w:p w14:paraId="57A8E764">
      <w:pPr>
        <w:jc w:val="center"/>
        <w:rPr>
          <w:rFonts w:hint="eastAsia" w:ascii="宋体"/>
          <w:b/>
          <w:color w:val="auto"/>
          <w:sz w:val="44"/>
          <w:szCs w:val="44"/>
          <w:highlight w:val="none"/>
        </w:rPr>
      </w:pPr>
      <w:r>
        <w:rPr>
          <w:rFonts w:hint="eastAsia" w:ascii="宋体"/>
          <w:b/>
          <w:color w:val="auto"/>
          <w:sz w:val="44"/>
          <w:szCs w:val="44"/>
          <w:highlight w:val="none"/>
          <w:lang w:val="en-US" w:eastAsia="zh-CN"/>
        </w:rPr>
        <w:t>技术标</w:t>
      </w:r>
      <w:r>
        <w:rPr>
          <w:rFonts w:hint="eastAsia" w:ascii="宋体"/>
          <w:b/>
          <w:color w:val="auto"/>
          <w:sz w:val="44"/>
          <w:szCs w:val="44"/>
          <w:highlight w:val="none"/>
        </w:rPr>
        <w:t>文件</w:t>
      </w:r>
    </w:p>
    <w:p w14:paraId="63C2F573">
      <w:pPr>
        <w:jc w:val="center"/>
        <w:rPr>
          <w:rFonts w:hint="eastAsia" w:eastAsia="黑体"/>
          <w:color w:val="auto"/>
          <w:sz w:val="44"/>
          <w:szCs w:val="44"/>
          <w:highlight w:val="none"/>
        </w:rPr>
      </w:pPr>
    </w:p>
    <w:p w14:paraId="28191AB5">
      <w:pPr>
        <w:jc w:val="center"/>
        <w:rPr>
          <w:rFonts w:hint="eastAsia" w:eastAsia="黑体"/>
          <w:color w:val="auto"/>
          <w:sz w:val="44"/>
          <w:szCs w:val="44"/>
          <w:highlight w:val="none"/>
        </w:rPr>
      </w:pPr>
    </w:p>
    <w:p w14:paraId="081E91EB">
      <w:pPr>
        <w:jc w:val="center"/>
        <w:rPr>
          <w:rFonts w:hint="eastAsia" w:ascii="宋体"/>
          <w:color w:val="auto"/>
          <w:sz w:val="32"/>
          <w:szCs w:val="32"/>
          <w:highlight w:val="none"/>
        </w:rPr>
      </w:pPr>
      <w:r>
        <w:rPr>
          <w:rFonts w:hint="eastAsia" w:ascii="宋体"/>
          <w:color w:val="auto"/>
          <w:sz w:val="32"/>
          <w:szCs w:val="32"/>
          <w:highlight w:val="none"/>
          <w:u w:val="single"/>
        </w:rPr>
        <w:t xml:space="preserve">  </w:t>
      </w:r>
      <w:r>
        <w:rPr>
          <w:rFonts w:hint="eastAsia" w:ascii="宋体"/>
          <w:color w:val="auto"/>
          <w:sz w:val="32"/>
          <w:szCs w:val="32"/>
          <w:highlight w:val="none"/>
          <w:u w:val="single"/>
          <w:lang w:val="en-US" w:eastAsia="zh-CN"/>
        </w:rPr>
        <w:t xml:space="preserve">     </w:t>
      </w:r>
      <w:r>
        <w:rPr>
          <w:rFonts w:hint="eastAsia" w:ascii="宋体"/>
          <w:color w:val="auto"/>
          <w:sz w:val="32"/>
          <w:szCs w:val="32"/>
          <w:highlight w:val="none"/>
          <w:u w:val="single"/>
        </w:rPr>
        <w:t xml:space="preserve">      </w:t>
      </w:r>
      <w:r>
        <w:rPr>
          <w:rFonts w:hint="eastAsia" w:ascii="宋体"/>
          <w:color w:val="auto"/>
          <w:sz w:val="32"/>
          <w:szCs w:val="32"/>
          <w:highlight w:val="none"/>
        </w:rPr>
        <w:t>项目</w:t>
      </w:r>
    </w:p>
    <w:p w14:paraId="7A35FCEF">
      <w:pPr>
        <w:jc w:val="center"/>
        <w:rPr>
          <w:rFonts w:hint="eastAsia" w:ascii="宋体"/>
          <w:color w:val="auto"/>
          <w:sz w:val="44"/>
          <w:szCs w:val="44"/>
          <w:highlight w:val="none"/>
        </w:rPr>
      </w:pPr>
      <w:r>
        <w:rPr>
          <w:rFonts w:hint="eastAsia" w:ascii="宋体"/>
          <w:color w:val="auto"/>
          <w:sz w:val="28"/>
          <w:szCs w:val="28"/>
          <w:highlight w:val="none"/>
          <w:u w:val="single"/>
        </w:rPr>
        <w:t xml:space="preserve">  </w:t>
      </w:r>
    </w:p>
    <w:p w14:paraId="03F92C5F">
      <w:pPr>
        <w:rPr>
          <w:rFonts w:hint="eastAsia" w:ascii="宋体"/>
          <w:color w:val="auto"/>
          <w:sz w:val="28"/>
          <w:szCs w:val="28"/>
          <w:highlight w:val="none"/>
        </w:rPr>
      </w:pPr>
    </w:p>
    <w:p w14:paraId="4456E162">
      <w:pPr>
        <w:rPr>
          <w:rFonts w:hint="eastAsia" w:ascii="宋体"/>
          <w:color w:val="auto"/>
          <w:sz w:val="28"/>
          <w:szCs w:val="28"/>
          <w:highlight w:val="none"/>
        </w:rPr>
      </w:pPr>
    </w:p>
    <w:p w14:paraId="3284AA42">
      <w:pPr>
        <w:rPr>
          <w:rFonts w:hint="eastAsia" w:ascii="宋体"/>
          <w:color w:val="auto"/>
          <w:sz w:val="28"/>
          <w:szCs w:val="28"/>
          <w:highlight w:val="none"/>
        </w:rPr>
      </w:pPr>
    </w:p>
    <w:p w14:paraId="6FFA6018">
      <w:pPr>
        <w:rPr>
          <w:rFonts w:hint="eastAsia" w:ascii="宋体"/>
          <w:color w:val="auto"/>
          <w:sz w:val="28"/>
          <w:szCs w:val="28"/>
          <w:highlight w:val="none"/>
        </w:rPr>
      </w:pPr>
    </w:p>
    <w:p w14:paraId="436F9E71">
      <w:pPr>
        <w:rPr>
          <w:rFonts w:hint="eastAsia" w:ascii="宋体"/>
          <w:color w:val="auto"/>
          <w:sz w:val="28"/>
          <w:szCs w:val="28"/>
          <w:highlight w:val="none"/>
        </w:rPr>
      </w:pPr>
    </w:p>
    <w:p w14:paraId="357E3744">
      <w:pPr>
        <w:rPr>
          <w:rFonts w:hint="eastAsia" w:ascii="宋体"/>
          <w:color w:val="auto"/>
          <w:sz w:val="28"/>
          <w:szCs w:val="28"/>
          <w:highlight w:val="none"/>
        </w:rPr>
      </w:pPr>
    </w:p>
    <w:p w14:paraId="44CB152F">
      <w:pPr>
        <w:rPr>
          <w:rFonts w:hint="eastAsia" w:ascii="宋体"/>
          <w:color w:val="auto"/>
          <w:sz w:val="28"/>
          <w:szCs w:val="28"/>
          <w:highlight w:val="none"/>
        </w:rPr>
      </w:pPr>
    </w:p>
    <w:p w14:paraId="063AEA5B">
      <w:pPr>
        <w:jc w:val="center"/>
        <w:rPr>
          <w:rFonts w:hint="eastAsia" w:ascii="宋体"/>
          <w:color w:val="auto"/>
          <w:sz w:val="28"/>
          <w:szCs w:val="28"/>
          <w:highlight w:val="none"/>
          <w:u w:val="single"/>
        </w:rPr>
      </w:pPr>
      <w:r>
        <w:rPr>
          <w:rFonts w:hint="eastAsia" w:ascii="宋体"/>
          <w:color w:val="auto"/>
          <w:sz w:val="28"/>
          <w:szCs w:val="28"/>
          <w:highlight w:val="none"/>
        </w:rPr>
        <w:t>投标人：</w:t>
      </w:r>
      <w:r>
        <w:rPr>
          <w:rFonts w:hint="eastAsia" w:ascii="宋体"/>
          <w:color w:val="auto"/>
          <w:sz w:val="28"/>
          <w:szCs w:val="28"/>
          <w:highlight w:val="none"/>
          <w:u w:val="single"/>
        </w:rPr>
        <w:t xml:space="preserve">                    </w:t>
      </w:r>
      <w:r>
        <w:rPr>
          <w:rFonts w:hint="eastAsia" w:ascii="宋体"/>
          <w:color w:val="auto"/>
          <w:sz w:val="28"/>
          <w:szCs w:val="28"/>
          <w:highlight w:val="none"/>
          <w:u w:val="single"/>
          <w:lang w:val="en-US" w:eastAsia="zh-CN"/>
        </w:rPr>
        <w:t xml:space="preserve">   </w:t>
      </w:r>
      <w:r>
        <w:rPr>
          <w:rFonts w:hint="eastAsia" w:ascii="宋体"/>
          <w:color w:val="auto"/>
          <w:sz w:val="28"/>
          <w:szCs w:val="28"/>
          <w:highlight w:val="none"/>
          <w:u w:val="single"/>
        </w:rPr>
        <w:t xml:space="preserve">          </w:t>
      </w:r>
      <w:r>
        <w:rPr>
          <w:rFonts w:hint="eastAsia" w:ascii="宋体"/>
          <w:color w:val="auto"/>
          <w:sz w:val="28"/>
          <w:szCs w:val="28"/>
          <w:highlight w:val="none"/>
        </w:rPr>
        <w:t>（盖单位章）</w:t>
      </w:r>
    </w:p>
    <w:p w14:paraId="74E06E54">
      <w:pPr>
        <w:ind w:firstLine="560" w:firstLineChars="200"/>
        <w:rPr>
          <w:rFonts w:hint="eastAsia" w:ascii="宋体"/>
          <w:color w:val="auto"/>
          <w:sz w:val="28"/>
          <w:szCs w:val="28"/>
          <w:highlight w:val="none"/>
        </w:rPr>
      </w:pPr>
      <w:r>
        <w:rPr>
          <w:rFonts w:hint="eastAsia" w:ascii="宋体"/>
          <w:color w:val="auto"/>
          <w:sz w:val="28"/>
          <w:szCs w:val="28"/>
          <w:highlight w:val="none"/>
        </w:rPr>
        <w:t>法定代表人：</w:t>
      </w:r>
      <w:r>
        <w:rPr>
          <w:rFonts w:hint="eastAsia" w:ascii="宋体"/>
          <w:color w:val="auto"/>
          <w:sz w:val="28"/>
          <w:szCs w:val="28"/>
          <w:highlight w:val="none"/>
          <w:u w:val="single"/>
        </w:rPr>
        <w:t xml:space="preserve">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14:paraId="6BDC3497">
      <w:pPr>
        <w:jc w:val="center"/>
        <w:rPr>
          <w:rFonts w:hint="eastAsia" w:ascii="宋体"/>
          <w:color w:val="auto"/>
          <w:sz w:val="28"/>
          <w:szCs w:val="28"/>
          <w:highlight w:val="none"/>
        </w:rPr>
      </w:pPr>
      <w:r>
        <w:rPr>
          <w:rFonts w:hint="eastAsia" w:ascii="宋体"/>
          <w:color w:val="auto"/>
          <w:sz w:val="28"/>
          <w:szCs w:val="28"/>
          <w:highlight w:val="none"/>
          <w:u w:val="single"/>
        </w:rPr>
        <w:t xml:space="preserve">        </w:t>
      </w:r>
      <w:r>
        <w:rPr>
          <w:rFonts w:hint="eastAsia" w:ascii="宋体"/>
          <w:color w:val="auto"/>
          <w:sz w:val="28"/>
          <w:szCs w:val="28"/>
          <w:highlight w:val="none"/>
        </w:rPr>
        <w:t>年</w:t>
      </w:r>
      <w:r>
        <w:rPr>
          <w:rFonts w:hint="eastAsia" w:ascii="宋体"/>
          <w:color w:val="auto"/>
          <w:sz w:val="28"/>
          <w:szCs w:val="28"/>
          <w:highlight w:val="none"/>
          <w:u w:val="single"/>
        </w:rPr>
        <w:t xml:space="preserve">        </w:t>
      </w:r>
      <w:r>
        <w:rPr>
          <w:rFonts w:hint="eastAsia" w:ascii="宋体"/>
          <w:color w:val="auto"/>
          <w:sz w:val="28"/>
          <w:szCs w:val="28"/>
          <w:highlight w:val="none"/>
        </w:rPr>
        <w:t>月</w:t>
      </w:r>
      <w:r>
        <w:rPr>
          <w:rFonts w:hint="eastAsia" w:ascii="宋体"/>
          <w:color w:val="auto"/>
          <w:sz w:val="28"/>
          <w:szCs w:val="28"/>
          <w:highlight w:val="none"/>
          <w:u w:val="single"/>
        </w:rPr>
        <w:t xml:space="preserve">        </w:t>
      </w:r>
      <w:r>
        <w:rPr>
          <w:rFonts w:hint="eastAsia" w:ascii="宋体"/>
          <w:color w:val="auto"/>
          <w:sz w:val="28"/>
          <w:szCs w:val="28"/>
          <w:highlight w:val="none"/>
        </w:rPr>
        <w:t>日</w:t>
      </w:r>
    </w:p>
    <w:p w14:paraId="14D6DDEB">
      <w:pPr>
        <w:spacing w:line="720" w:lineRule="auto"/>
        <w:jc w:val="center"/>
        <w:rPr>
          <w:rFonts w:hint="eastAsia" w:ascii="宋体"/>
          <w:b/>
          <w:color w:val="auto"/>
          <w:sz w:val="36"/>
          <w:szCs w:val="36"/>
          <w:highlight w:val="none"/>
        </w:rPr>
      </w:pPr>
    </w:p>
    <w:p w14:paraId="6DFDAB01">
      <w:pPr>
        <w:spacing w:line="400" w:lineRule="exact"/>
        <w:ind w:firstLine="4130" w:firstLineChars="935"/>
        <w:rPr>
          <w:rFonts w:hint="eastAsia"/>
          <w:b/>
          <w:color w:val="auto"/>
          <w:sz w:val="44"/>
          <w:szCs w:val="44"/>
          <w:highlight w:val="none"/>
        </w:rPr>
      </w:pPr>
    </w:p>
    <w:p w14:paraId="559A7A4D">
      <w:pPr>
        <w:rPr>
          <w:rFonts w:hint="eastAsia"/>
          <w:color w:val="auto"/>
          <w:highlight w:val="none"/>
        </w:rPr>
      </w:pPr>
      <w:r>
        <w:rPr>
          <w:rFonts w:hint="eastAsia"/>
          <w:b/>
          <w:color w:val="auto"/>
          <w:sz w:val="44"/>
          <w:szCs w:val="44"/>
          <w:highlight w:val="none"/>
        </w:rPr>
        <w:br w:type="page"/>
      </w:r>
    </w:p>
    <w:p w14:paraId="1E85CEB7">
      <w:pPr>
        <w:jc w:val="center"/>
        <w:rPr>
          <w:rFonts w:hint="eastAsia"/>
          <w:b/>
          <w:color w:val="auto"/>
          <w:sz w:val="44"/>
          <w:szCs w:val="44"/>
          <w:highlight w:val="none"/>
        </w:rPr>
      </w:pPr>
      <w:r>
        <w:rPr>
          <w:rFonts w:hint="eastAsia"/>
          <w:b/>
          <w:color w:val="auto"/>
          <w:sz w:val="36"/>
          <w:szCs w:val="36"/>
          <w:highlight w:val="none"/>
        </w:rPr>
        <w:t>目   录</w:t>
      </w:r>
    </w:p>
    <w:p w14:paraId="589A8F9A">
      <w:pPr>
        <w:spacing w:line="400" w:lineRule="exact"/>
        <w:ind w:firstLine="562" w:firstLineChars="200"/>
        <w:rPr>
          <w:rFonts w:hint="eastAsia"/>
          <w:b/>
          <w:color w:val="auto"/>
          <w:sz w:val="28"/>
          <w:szCs w:val="28"/>
          <w:highlight w:val="none"/>
        </w:rPr>
      </w:pPr>
    </w:p>
    <w:p w14:paraId="2BC581D6">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left"/>
        <w:textAlignment w:val="auto"/>
        <w:rPr>
          <w:rFonts w:hint="eastAsia" w:ascii="宋体" w:cs="Times New Roman"/>
          <w:color w:val="auto"/>
          <w:szCs w:val="21"/>
          <w:highlight w:val="none"/>
          <w:lang w:eastAsia="zh-CN"/>
        </w:rPr>
      </w:pPr>
      <w:r>
        <w:rPr>
          <w:rFonts w:hint="eastAsia" w:ascii="宋体" w:hAnsi="Times New Roman" w:eastAsia="宋体" w:cs="Times New Roman"/>
          <w:color w:val="auto"/>
          <w:szCs w:val="21"/>
          <w:highlight w:val="none"/>
          <w:lang w:eastAsia="zh-CN"/>
        </w:rPr>
        <w:t>（</w:t>
      </w:r>
      <w:r>
        <w:rPr>
          <w:rFonts w:hint="eastAsia" w:ascii="宋体" w:cs="Times New Roman"/>
          <w:color w:val="auto"/>
          <w:szCs w:val="21"/>
          <w:highlight w:val="none"/>
          <w:lang w:val="en-US" w:eastAsia="zh-CN"/>
        </w:rPr>
        <w:t>1</w:t>
      </w:r>
      <w:r>
        <w:rPr>
          <w:rFonts w:hint="eastAsia" w:ascii="宋体" w:hAnsi="Times New Roman" w:eastAsia="宋体" w:cs="Times New Roman"/>
          <w:color w:val="auto"/>
          <w:szCs w:val="21"/>
          <w:highlight w:val="none"/>
          <w:lang w:val="en-US" w:eastAsia="zh-CN"/>
        </w:rPr>
        <w:t>）</w:t>
      </w:r>
      <w:r>
        <w:rPr>
          <w:rFonts w:hint="eastAsia" w:ascii="宋体" w:hAnsi="Times New Roman" w:eastAsia="宋体" w:cs="Times New Roman"/>
          <w:color w:val="auto"/>
          <w:szCs w:val="21"/>
          <w:highlight w:val="none"/>
        </w:rPr>
        <w:t>服务承诺：是否响应招标文件要求的书面说明和服务承诺书（格式见附件）</w:t>
      </w:r>
      <w:r>
        <w:rPr>
          <w:rFonts w:hint="eastAsia" w:ascii="宋体" w:cs="Times New Roman"/>
          <w:color w:val="auto"/>
          <w:szCs w:val="21"/>
          <w:highlight w:val="none"/>
          <w:lang w:eastAsia="zh-CN"/>
        </w:rPr>
        <w:t>；</w:t>
      </w:r>
    </w:p>
    <w:p w14:paraId="78B8D1DA">
      <w:pPr>
        <w:pStyle w:val="36"/>
        <w:keepNext w:val="0"/>
        <w:keepLines w:val="0"/>
        <w:pageBreakBefore w:val="0"/>
        <w:widowControl w:val="0"/>
        <w:kinsoku/>
        <w:wordWrap/>
        <w:overflowPunct/>
        <w:topLinePunct w:val="0"/>
        <w:autoSpaceDE/>
        <w:autoSpaceDN/>
        <w:bidi w:val="0"/>
        <w:adjustRightInd/>
        <w:snapToGrid/>
        <w:spacing w:after="0" w:line="500" w:lineRule="exact"/>
        <w:ind w:left="0" w:leftChars="0" w:firstLine="420" w:firstLineChars="200"/>
        <w:jc w:val="left"/>
        <w:textAlignment w:val="auto"/>
        <w:rPr>
          <w:rFonts w:hint="default"/>
          <w:color w:val="auto"/>
          <w:highlight w:val="none"/>
          <w:lang w:val="en-US" w:eastAsia="zh-CN"/>
        </w:rPr>
      </w:pPr>
      <w:r>
        <w:rPr>
          <w:rFonts w:hint="eastAsia" w:ascii="宋体" w:cs="Times New Roman"/>
          <w:color w:val="auto"/>
          <w:szCs w:val="21"/>
          <w:highlight w:val="none"/>
          <w:lang w:eastAsia="zh-CN"/>
        </w:rPr>
        <w:t>（</w:t>
      </w:r>
      <w:r>
        <w:rPr>
          <w:rFonts w:hint="eastAsia" w:ascii="宋体" w:cs="Times New Roman"/>
          <w:color w:val="auto"/>
          <w:szCs w:val="21"/>
          <w:highlight w:val="none"/>
          <w:lang w:val="en-US" w:eastAsia="zh-CN"/>
        </w:rPr>
        <w:t>2）招标文件中要求的技术标评分支持资料。</w:t>
      </w:r>
    </w:p>
    <w:p w14:paraId="224C47E9">
      <w:pPr>
        <w:spacing w:line="588" w:lineRule="exact"/>
        <w:rPr>
          <w:color w:val="auto"/>
          <w:highlight w:val="none"/>
        </w:rPr>
      </w:pPr>
    </w:p>
    <w:p w14:paraId="65B8DEBC">
      <w:pPr>
        <w:spacing w:line="360" w:lineRule="exact"/>
        <w:rPr>
          <w:rFonts w:hint="eastAsia" w:ascii="宋体"/>
          <w:b/>
          <w:color w:val="auto"/>
          <w:sz w:val="30"/>
          <w:szCs w:val="30"/>
          <w:highlight w:val="none"/>
        </w:rPr>
      </w:pPr>
    </w:p>
    <w:bookmarkEnd w:id="201"/>
    <w:bookmarkEnd w:id="202"/>
    <w:p w14:paraId="28981F78">
      <w:pPr>
        <w:spacing w:line="360" w:lineRule="auto"/>
        <w:rPr>
          <w:rFonts w:hint="eastAsia" w:eastAsia="宋体"/>
          <w:b/>
          <w:color w:val="auto"/>
          <w:sz w:val="28"/>
          <w:szCs w:val="28"/>
          <w:highlight w:val="none"/>
          <w:lang w:eastAsia="zh-CN"/>
        </w:rPr>
      </w:pPr>
      <w:r>
        <w:rPr>
          <w:rFonts w:hint="eastAsia"/>
          <w:b/>
          <w:color w:val="auto"/>
          <w:sz w:val="28"/>
          <w:szCs w:val="28"/>
          <w:highlight w:val="none"/>
        </w:rPr>
        <w:t>附件</w:t>
      </w:r>
      <w:r>
        <w:rPr>
          <w:rFonts w:hint="eastAsia"/>
          <w:b/>
          <w:color w:val="auto"/>
          <w:sz w:val="28"/>
          <w:szCs w:val="28"/>
          <w:highlight w:val="none"/>
          <w:lang w:val="en-US" w:eastAsia="zh-CN"/>
        </w:rPr>
        <w:t>1</w:t>
      </w:r>
    </w:p>
    <w:p w14:paraId="26394BCE">
      <w:pPr>
        <w:jc w:val="center"/>
        <w:rPr>
          <w:rFonts w:hint="eastAsia" w:ascii="宋体"/>
          <w:b/>
          <w:color w:val="auto"/>
          <w:sz w:val="30"/>
          <w:szCs w:val="30"/>
          <w:highlight w:val="none"/>
        </w:rPr>
      </w:pPr>
      <w:r>
        <w:rPr>
          <w:rFonts w:hint="eastAsia" w:ascii="宋体"/>
          <w:b/>
          <w:color w:val="auto"/>
          <w:sz w:val="30"/>
          <w:szCs w:val="30"/>
          <w:highlight w:val="none"/>
        </w:rPr>
        <w:t>服务承诺书</w:t>
      </w:r>
    </w:p>
    <w:p w14:paraId="711615B3">
      <w:pPr>
        <w:ind w:firstLine="480" w:firstLineChars="200"/>
        <w:rPr>
          <w:rFonts w:hint="eastAsia" w:ascii="宋体"/>
          <w:color w:val="auto"/>
          <w:sz w:val="24"/>
          <w:highlight w:val="none"/>
        </w:rPr>
      </w:pPr>
    </w:p>
    <w:p w14:paraId="788C4665">
      <w:pPr>
        <w:ind w:firstLine="480" w:firstLineChars="200"/>
        <w:rPr>
          <w:rFonts w:hint="eastAsia" w:ascii="宋体"/>
          <w:b/>
          <w:color w:val="auto"/>
          <w:sz w:val="24"/>
          <w:highlight w:val="none"/>
        </w:rPr>
      </w:pPr>
      <w:r>
        <w:rPr>
          <w:rFonts w:hint="eastAsia" w:ascii="宋体"/>
          <w:color w:val="auto"/>
          <w:sz w:val="24"/>
          <w:highlight w:val="none"/>
        </w:rPr>
        <w:t>致：</w:t>
      </w:r>
      <w:r>
        <w:rPr>
          <w:rFonts w:hint="eastAsia" w:ascii="宋体"/>
          <w:color w:val="auto"/>
          <w:sz w:val="24"/>
          <w:highlight w:val="none"/>
          <w:u w:val="single"/>
        </w:rPr>
        <w:t xml:space="preserve">               （</w:t>
      </w:r>
      <w:r>
        <w:rPr>
          <w:rFonts w:hint="eastAsia" w:ascii="宋体"/>
          <w:color w:val="auto"/>
          <w:sz w:val="24"/>
          <w:highlight w:val="none"/>
          <w:u w:val="single"/>
          <w:lang w:eastAsia="zh-CN"/>
        </w:rPr>
        <w:t>招标人</w:t>
      </w:r>
      <w:r>
        <w:rPr>
          <w:rFonts w:hint="eastAsia" w:ascii="宋体"/>
          <w:color w:val="auto"/>
          <w:sz w:val="24"/>
          <w:highlight w:val="none"/>
          <w:u w:val="single"/>
        </w:rPr>
        <w:t>）</w:t>
      </w:r>
      <w:r>
        <w:rPr>
          <w:rFonts w:hint="eastAsia" w:ascii="宋体"/>
          <w:color w:val="auto"/>
          <w:sz w:val="24"/>
          <w:highlight w:val="none"/>
        </w:rPr>
        <w:t>：</w:t>
      </w:r>
    </w:p>
    <w:p w14:paraId="44FCC525">
      <w:pPr>
        <w:spacing w:line="800" w:lineRule="exact"/>
        <w:ind w:firstLine="480" w:firstLineChars="200"/>
        <w:rPr>
          <w:rFonts w:hint="eastAsia" w:ascii="宋体"/>
          <w:color w:val="auto"/>
          <w:sz w:val="24"/>
          <w:highlight w:val="none"/>
        </w:rPr>
      </w:pPr>
      <w:r>
        <w:rPr>
          <w:rFonts w:hint="eastAsia" w:ascii="宋体"/>
          <w:color w:val="auto"/>
          <w:sz w:val="24"/>
          <w:highlight w:val="none"/>
        </w:rPr>
        <w:t>本承诺声明：</w:t>
      </w:r>
      <w:r>
        <w:rPr>
          <w:rFonts w:hint="eastAsia" w:ascii="宋体"/>
          <w:color w:val="auto"/>
          <w:sz w:val="24"/>
          <w:highlight w:val="none"/>
          <w:u w:val="single"/>
        </w:rPr>
        <w:t xml:space="preserve">                   </w:t>
      </w:r>
      <w:r>
        <w:rPr>
          <w:rFonts w:hint="eastAsia" w:ascii="宋体"/>
          <w:color w:val="auto"/>
          <w:sz w:val="24"/>
          <w:highlight w:val="none"/>
        </w:rPr>
        <w:t>（投标人名称）对本招标文件的相关要求完全响应。若有幸中标将严格按照以上承诺进行服务。</w:t>
      </w:r>
    </w:p>
    <w:p w14:paraId="1FC8003E">
      <w:pPr>
        <w:spacing w:line="800" w:lineRule="exact"/>
        <w:ind w:firstLine="480" w:firstLineChars="200"/>
        <w:rPr>
          <w:rFonts w:hint="eastAsia" w:ascii="宋体"/>
          <w:color w:val="auto"/>
          <w:sz w:val="24"/>
          <w:highlight w:val="none"/>
        </w:rPr>
      </w:pPr>
      <w:r>
        <w:rPr>
          <w:rFonts w:hint="eastAsia" w:ascii="宋体"/>
          <w:color w:val="auto"/>
          <w:sz w:val="24"/>
          <w:highlight w:val="none"/>
        </w:rPr>
        <w:t>特此声明。</w:t>
      </w:r>
    </w:p>
    <w:p w14:paraId="23943D50">
      <w:pPr>
        <w:spacing w:line="600" w:lineRule="exact"/>
        <w:rPr>
          <w:rFonts w:hint="eastAsia" w:ascii="宋体"/>
          <w:color w:val="auto"/>
          <w:sz w:val="24"/>
          <w:highlight w:val="none"/>
        </w:rPr>
      </w:pPr>
      <w:r>
        <w:rPr>
          <w:rFonts w:hint="eastAsia" w:ascii="宋体"/>
          <w:color w:val="auto"/>
          <w:sz w:val="24"/>
          <w:highlight w:val="none"/>
        </w:rPr>
        <w:t> </w:t>
      </w:r>
    </w:p>
    <w:p w14:paraId="090D9EB2">
      <w:pPr>
        <w:spacing w:line="480" w:lineRule="auto"/>
        <w:ind w:firstLine="480" w:firstLineChars="200"/>
        <w:rPr>
          <w:rFonts w:ascii="宋体" w:hAnsi="宋体"/>
          <w:color w:val="auto"/>
          <w:sz w:val="24"/>
          <w:szCs w:val="21"/>
          <w:highlight w:val="none"/>
        </w:rPr>
      </w:pPr>
      <w:r>
        <w:rPr>
          <w:rFonts w:hint="eastAsia" w:ascii="宋体"/>
          <w:color w:val="auto"/>
          <w:sz w:val="24"/>
          <w:highlight w:val="none"/>
        </w:rPr>
        <w:t xml:space="preserve">                </w:t>
      </w:r>
      <w:r>
        <w:rPr>
          <w:rFonts w:hint="eastAsia" w:ascii="宋体" w:hAnsi="宋体"/>
          <w:color w:val="auto"/>
          <w:sz w:val="24"/>
          <w:szCs w:val="21"/>
          <w:highlight w:val="none"/>
        </w:rPr>
        <w:t>投标人名称：</w:t>
      </w:r>
      <w:r>
        <w:rPr>
          <w:rFonts w:ascii="宋体" w:hAnsi="宋体"/>
          <w:color w:val="auto"/>
          <w:sz w:val="24"/>
          <w:szCs w:val="21"/>
          <w:highlight w:val="none"/>
          <w:u w:val="single"/>
        </w:rPr>
        <w:t xml:space="preserve">      </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（盖单位章）</w:t>
      </w:r>
    </w:p>
    <w:p w14:paraId="7FA63719">
      <w:pPr>
        <w:spacing w:line="480" w:lineRule="auto"/>
        <w:ind w:firstLine="480" w:firstLineChars="200"/>
        <w:jc w:val="right"/>
        <w:rPr>
          <w:rFonts w:ascii="宋体" w:hAnsi="宋体"/>
          <w:color w:val="auto"/>
          <w:sz w:val="24"/>
          <w:szCs w:val="21"/>
          <w:highlight w:val="none"/>
        </w:rPr>
      </w:pPr>
      <w:r>
        <w:rPr>
          <w:rFonts w:hint="eastAsia" w:ascii="宋体" w:hAnsi="宋体"/>
          <w:color w:val="auto"/>
          <w:sz w:val="24"/>
          <w:szCs w:val="21"/>
          <w:highlight w:val="none"/>
        </w:rPr>
        <w:t>法定代表人：</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w:t>
      </w:r>
      <w:r>
        <w:rPr>
          <w:rFonts w:hint="eastAsia" w:ascii="宋体" w:hAnsi="宋体"/>
          <w:color w:val="auto"/>
          <w:sz w:val="24"/>
          <w:szCs w:val="21"/>
          <w:highlight w:val="none"/>
          <w:lang w:val="en-US" w:eastAsia="zh-CN"/>
        </w:rPr>
        <w:t>签字或盖章</w:t>
      </w:r>
      <w:r>
        <w:rPr>
          <w:rFonts w:hint="eastAsia" w:ascii="宋体" w:hAnsi="宋体"/>
          <w:color w:val="auto"/>
          <w:sz w:val="24"/>
          <w:szCs w:val="21"/>
          <w:highlight w:val="none"/>
        </w:rPr>
        <w:t>)</w:t>
      </w:r>
    </w:p>
    <w:p w14:paraId="3EA03897">
      <w:pPr>
        <w:spacing w:line="480" w:lineRule="auto"/>
        <w:jc w:val="right"/>
        <w:rPr>
          <w:rFonts w:hint="eastAsia"/>
          <w:b/>
          <w:color w:val="auto"/>
          <w:sz w:val="36"/>
          <w:szCs w:val="28"/>
          <w:highlight w:val="none"/>
        </w:rPr>
      </w:pPr>
      <w:r>
        <w:rPr>
          <w:rFonts w:hint="eastAsia" w:ascii="宋体" w:hAnsi="宋体"/>
          <w:color w:val="auto"/>
          <w:sz w:val="24"/>
          <w:szCs w:val="21"/>
          <w:highlight w:val="none"/>
        </w:rPr>
        <w:t xml:space="preserve">                                  日    期：</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年</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月</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日</w:t>
      </w:r>
    </w:p>
    <w:p w14:paraId="145908FB">
      <w:pPr>
        <w:pStyle w:val="2"/>
        <w:rPr>
          <w:color w:val="auto"/>
          <w:highlight w:val="none"/>
        </w:rPr>
      </w:pPr>
    </w:p>
    <w:p w14:paraId="596A7CD6">
      <w:pPr>
        <w:spacing w:line="400" w:lineRule="exact"/>
        <w:ind w:firstLine="562" w:firstLineChars="200"/>
        <w:rPr>
          <w:rFonts w:hint="eastAsia"/>
          <w:b/>
          <w:color w:val="auto"/>
          <w:sz w:val="28"/>
          <w:szCs w:val="28"/>
          <w:highlight w:val="none"/>
        </w:rPr>
      </w:pPr>
    </w:p>
    <w:p w14:paraId="7050DA6C">
      <w:pPr>
        <w:spacing w:line="400" w:lineRule="exact"/>
        <w:ind w:firstLine="562" w:firstLineChars="200"/>
        <w:rPr>
          <w:rFonts w:hint="eastAsia"/>
          <w:b/>
          <w:color w:val="auto"/>
          <w:sz w:val="28"/>
          <w:szCs w:val="28"/>
          <w:highlight w:val="none"/>
        </w:rPr>
      </w:pPr>
    </w:p>
    <w:p w14:paraId="0C9D3088">
      <w:pPr>
        <w:spacing w:line="400" w:lineRule="exact"/>
        <w:ind w:firstLine="562" w:firstLineChars="200"/>
        <w:rPr>
          <w:rFonts w:hint="eastAsia"/>
          <w:b/>
          <w:color w:val="auto"/>
          <w:sz w:val="28"/>
          <w:szCs w:val="28"/>
          <w:highlight w:val="none"/>
        </w:rPr>
      </w:pPr>
    </w:p>
    <w:p w14:paraId="1DCE1F66">
      <w:pPr>
        <w:spacing w:line="400" w:lineRule="exact"/>
        <w:ind w:firstLine="562" w:firstLineChars="200"/>
        <w:rPr>
          <w:rFonts w:hint="eastAsia"/>
          <w:b/>
          <w:color w:val="auto"/>
          <w:sz w:val="28"/>
          <w:szCs w:val="28"/>
          <w:highlight w:val="none"/>
        </w:rPr>
      </w:pPr>
    </w:p>
    <w:p w14:paraId="78E7B546">
      <w:pPr>
        <w:spacing w:line="400" w:lineRule="exact"/>
        <w:ind w:firstLine="562" w:firstLineChars="200"/>
        <w:rPr>
          <w:rFonts w:hint="eastAsia"/>
          <w:b/>
          <w:color w:val="auto"/>
          <w:sz w:val="28"/>
          <w:szCs w:val="28"/>
          <w:highlight w:val="none"/>
        </w:rPr>
      </w:pPr>
    </w:p>
    <w:p w14:paraId="634A1429">
      <w:pPr>
        <w:spacing w:line="400" w:lineRule="exact"/>
        <w:ind w:firstLine="562" w:firstLineChars="200"/>
        <w:rPr>
          <w:rFonts w:hint="eastAsia"/>
          <w:b/>
          <w:color w:val="auto"/>
          <w:sz w:val="28"/>
          <w:szCs w:val="28"/>
          <w:highlight w:val="none"/>
        </w:rPr>
      </w:pPr>
    </w:p>
    <w:p w14:paraId="60036278">
      <w:pPr>
        <w:spacing w:line="400" w:lineRule="exact"/>
        <w:ind w:firstLine="562" w:firstLineChars="200"/>
        <w:rPr>
          <w:rFonts w:hint="eastAsia"/>
          <w:b/>
          <w:color w:val="auto"/>
          <w:sz w:val="28"/>
          <w:szCs w:val="28"/>
          <w:highlight w:val="none"/>
        </w:rPr>
      </w:pPr>
    </w:p>
    <w:p w14:paraId="030D830D">
      <w:pPr>
        <w:spacing w:line="400" w:lineRule="exact"/>
        <w:ind w:firstLine="562" w:firstLineChars="200"/>
        <w:rPr>
          <w:rFonts w:hint="eastAsia"/>
          <w:b/>
          <w:color w:val="auto"/>
          <w:sz w:val="28"/>
          <w:szCs w:val="28"/>
          <w:highlight w:val="none"/>
        </w:rPr>
      </w:pPr>
    </w:p>
    <w:p w14:paraId="7A4A11C3">
      <w:pPr>
        <w:spacing w:line="400" w:lineRule="exact"/>
        <w:ind w:firstLine="562" w:firstLineChars="200"/>
        <w:rPr>
          <w:b/>
          <w:color w:val="auto"/>
          <w:sz w:val="28"/>
          <w:szCs w:val="28"/>
          <w:highlight w:val="none"/>
        </w:rPr>
      </w:pPr>
    </w:p>
    <w:p w14:paraId="1F99CDFA">
      <w:pPr>
        <w:spacing w:line="400" w:lineRule="exact"/>
        <w:ind w:firstLine="562" w:firstLineChars="200"/>
        <w:rPr>
          <w:b/>
          <w:color w:val="auto"/>
          <w:sz w:val="28"/>
          <w:szCs w:val="28"/>
          <w:highlight w:val="none"/>
        </w:rPr>
      </w:pPr>
    </w:p>
    <w:p w14:paraId="259668B3">
      <w:pPr>
        <w:spacing w:line="400" w:lineRule="exact"/>
        <w:ind w:firstLine="562" w:firstLineChars="200"/>
        <w:rPr>
          <w:b/>
          <w:color w:val="auto"/>
          <w:sz w:val="28"/>
          <w:szCs w:val="28"/>
          <w:highlight w:val="none"/>
        </w:rPr>
      </w:pPr>
    </w:p>
    <w:p w14:paraId="4BFB704F">
      <w:pPr>
        <w:pStyle w:val="36"/>
        <w:rPr>
          <w:color w:val="auto"/>
          <w:highlight w:val="none"/>
        </w:rPr>
      </w:pPr>
    </w:p>
    <w:p w14:paraId="03AE9702">
      <w:pPr>
        <w:spacing w:line="400" w:lineRule="exact"/>
        <w:ind w:firstLine="562" w:firstLineChars="200"/>
        <w:rPr>
          <w:rFonts w:hint="eastAsia"/>
          <w:b/>
          <w:color w:val="auto"/>
          <w:sz w:val="28"/>
          <w:szCs w:val="28"/>
          <w:highlight w:val="none"/>
        </w:rPr>
      </w:pPr>
    </w:p>
    <w:p w14:paraId="2A145A49">
      <w:pPr>
        <w:jc w:val="center"/>
        <w:rPr>
          <w:rFonts w:hint="eastAsia" w:ascii="宋体"/>
          <w:b/>
          <w:color w:val="auto"/>
          <w:sz w:val="44"/>
          <w:szCs w:val="44"/>
          <w:highlight w:val="none"/>
        </w:rPr>
      </w:pPr>
      <w:r>
        <w:rPr>
          <w:rFonts w:hint="eastAsia" w:ascii="宋体"/>
          <w:b/>
          <w:color w:val="auto"/>
          <w:sz w:val="44"/>
          <w:szCs w:val="44"/>
          <w:highlight w:val="none"/>
          <w:lang w:val="en-US" w:eastAsia="zh-CN"/>
        </w:rPr>
        <w:t>商务标</w:t>
      </w:r>
      <w:r>
        <w:rPr>
          <w:rFonts w:hint="eastAsia" w:ascii="宋体"/>
          <w:b/>
          <w:color w:val="auto"/>
          <w:sz w:val="44"/>
          <w:szCs w:val="44"/>
          <w:highlight w:val="none"/>
        </w:rPr>
        <w:t>文件</w:t>
      </w:r>
    </w:p>
    <w:p w14:paraId="0BB8AE61">
      <w:pPr>
        <w:jc w:val="center"/>
        <w:rPr>
          <w:rFonts w:hint="eastAsia" w:eastAsia="黑体"/>
          <w:color w:val="auto"/>
          <w:sz w:val="44"/>
          <w:szCs w:val="44"/>
          <w:highlight w:val="none"/>
        </w:rPr>
      </w:pPr>
    </w:p>
    <w:p w14:paraId="1901AF25">
      <w:pPr>
        <w:jc w:val="center"/>
        <w:rPr>
          <w:rFonts w:hint="eastAsia" w:eastAsia="黑体"/>
          <w:color w:val="auto"/>
          <w:sz w:val="44"/>
          <w:szCs w:val="44"/>
          <w:highlight w:val="none"/>
        </w:rPr>
      </w:pPr>
    </w:p>
    <w:p w14:paraId="7BA94CD7">
      <w:pPr>
        <w:jc w:val="center"/>
        <w:rPr>
          <w:rFonts w:hint="eastAsia" w:ascii="宋体"/>
          <w:color w:val="auto"/>
          <w:sz w:val="32"/>
          <w:szCs w:val="32"/>
          <w:highlight w:val="none"/>
        </w:rPr>
      </w:pPr>
      <w:r>
        <w:rPr>
          <w:rFonts w:hint="eastAsia" w:ascii="宋体"/>
          <w:color w:val="auto"/>
          <w:sz w:val="32"/>
          <w:szCs w:val="32"/>
          <w:highlight w:val="none"/>
          <w:u w:val="single"/>
        </w:rPr>
        <w:t xml:space="preserve">        </w:t>
      </w:r>
      <w:r>
        <w:rPr>
          <w:rFonts w:hint="eastAsia" w:ascii="宋体"/>
          <w:color w:val="auto"/>
          <w:sz w:val="32"/>
          <w:szCs w:val="32"/>
          <w:highlight w:val="none"/>
        </w:rPr>
        <w:t>项目</w:t>
      </w:r>
    </w:p>
    <w:p w14:paraId="52BA2D14">
      <w:pPr>
        <w:jc w:val="center"/>
        <w:rPr>
          <w:rFonts w:hint="eastAsia" w:ascii="宋体"/>
          <w:color w:val="auto"/>
          <w:sz w:val="44"/>
          <w:szCs w:val="44"/>
          <w:highlight w:val="none"/>
        </w:rPr>
      </w:pPr>
      <w:r>
        <w:rPr>
          <w:rFonts w:hint="eastAsia" w:ascii="宋体"/>
          <w:color w:val="auto"/>
          <w:sz w:val="28"/>
          <w:szCs w:val="28"/>
          <w:highlight w:val="none"/>
          <w:u w:val="single"/>
        </w:rPr>
        <w:t xml:space="preserve">  </w:t>
      </w:r>
    </w:p>
    <w:p w14:paraId="020E63B5">
      <w:pPr>
        <w:rPr>
          <w:rFonts w:hint="eastAsia" w:ascii="宋体"/>
          <w:color w:val="auto"/>
          <w:sz w:val="28"/>
          <w:szCs w:val="28"/>
          <w:highlight w:val="none"/>
        </w:rPr>
      </w:pPr>
    </w:p>
    <w:p w14:paraId="4E23C202">
      <w:pPr>
        <w:rPr>
          <w:rFonts w:hint="eastAsia" w:ascii="宋体"/>
          <w:color w:val="auto"/>
          <w:sz w:val="28"/>
          <w:szCs w:val="28"/>
          <w:highlight w:val="none"/>
        </w:rPr>
      </w:pPr>
    </w:p>
    <w:p w14:paraId="117732CA">
      <w:pPr>
        <w:rPr>
          <w:rFonts w:hint="eastAsia" w:ascii="宋体"/>
          <w:color w:val="auto"/>
          <w:sz w:val="28"/>
          <w:szCs w:val="28"/>
          <w:highlight w:val="none"/>
        </w:rPr>
      </w:pPr>
    </w:p>
    <w:p w14:paraId="1F55AAB8">
      <w:pPr>
        <w:rPr>
          <w:rFonts w:hint="eastAsia" w:ascii="宋体"/>
          <w:color w:val="auto"/>
          <w:sz w:val="28"/>
          <w:szCs w:val="28"/>
          <w:highlight w:val="none"/>
        </w:rPr>
      </w:pPr>
    </w:p>
    <w:p w14:paraId="106416D6">
      <w:pPr>
        <w:rPr>
          <w:rFonts w:hint="eastAsia" w:ascii="宋体"/>
          <w:color w:val="auto"/>
          <w:sz w:val="28"/>
          <w:szCs w:val="28"/>
          <w:highlight w:val="none"/>
        </w:rPr>
      </w:pPr>
    </w:p>
    <w:p w14:paraId="1B5C69CA">
      <w:pPr>
        <w:pStyle w:val="36"/>
        <w:rPr>
          <w:rFonts w:hint="eastAsia" w:ascii="宋体"/>
          <w:color w:val="auto"/>
          <w:sz w:val="28"/>
          <w:szCs w:val="28"/>
          <w:highlight w:val="none"/>
        </w:rPr>
      </w:pPr>
    </w:p>
    <w:p w14:paraId="759A6AFF">
      <w:pPr>
        <w:pStyle w:val="29"/>
        <w:rPr>
          <w:rFonts w:hint="eastAsia"/>
          <w:color w:val="auto"/>
          <w:highlight w:val="none"/>
        </w:rPr>
      </w:pPr>
    </w:p>
    <w:p w14:paraId="14084D90">
      <w:pPr>
        <w:rPr>
          <w:rFonts w:hint="eastAsia" w:ascii="宋体"/>
          <w:color w:val="auto"/>
          <w:sz w:val="28"/>
          <w:szCs w:val="28"/>
          <w:highlight w:val="none"/>
        </w:rPr>
      </w:pPr>
    </w:p>
    <w:p w14:paraId="79312243">
      <w:pPr>
        <w:rPr>
          <w:rFonts w:hint="eastAsia" w:ascii="宋体"/>
          <w:color w:val="auto"/>
          <w:sz w:val="28"/>
          <w:szCs w:val="28"/>
          <w:highlight w:val="none"/>
        </w:rPr>
      </w:pPr>
    </w:p>
    <w:p w14:paraId="02D72830">
      <w:pPr>
        <w:jc w:val="center"/>
        <w:rPr>
          <w:rFonts w:hint="eastAsia" w:ascii="宋体"/>
          <w:color w:val="auto"/>
          <w:sz w:val="28"/>
          <w:szCs w:val="28"/>
          <w:highlight w:val="none"/>
          <w:u w:val="single"/>
        </w:rPr>
      </w:pPr>
      <w:r>
        <w:rPr>
          <w:rFonts w:hint="eastAsia" w:ascii="宋体"/>
          <w:color w:val="auto"/>
          <w:sz w:val="28"/>
          <w:szCs w:val="28"/>
          <w:highlight w:val="none"/>
        </w:rPr>
        <w:t>投标人：</w:t>
      </w:r>
      <w:r>
        <w:rPr>
          <w:rFonts w:hint="eastAsia" w:ascii="宋体"/>
          <w:color w:val="auto"/>
          <w:sz w:val="28"/>
          <w:szCs w:val="28"/>
          <w:highlight w:val="none"/>
          <w:u w:val="single"/>
        </w:rPr>
        <w:t xml:space="preserve">                    </w:t>
      </w:r>
      <w:r>
        <w:rPr>
          <w:rFonts w:hint="eastAsia" w:ascii="宋体"/>
          <w:color w:val="auto"/>
          <w:sz w:val="28"/>
          <w:szCs w:val="28"/>
          <w:highlight w:val="none"/>
          <w:u w:val="single"/>
          <w:lang w:val="en-US" w:eastAsia="zh-CN"/>
        </w:rPr>
        <w:t xml:space="preserve">   </w:t>
      </w:r>
      <w:r>
        <w:rPr>
          <w:rFonts w:hint="eastAsia" w:ascii="宋体"/>
          <w:color w:val="auto"/>
          <w:sz w:val="28"/>
          <w:szCs w:val="28"/>
          <w:highlight w:val="none"/>
          <w:u w:val="single"/>
        </w:rPr>
        <w:t xml:space="preserve">          </w:t>
      </w:r>
      <w:r>
        <w:rPr>
          <w:rFonts w:hint="eastAsia" w:ascii="宋体"/>
          <w:color w:val="auto"/>
          <w:sz w:val="28"/>
          <w:szCs w:val="28"/>
          <w:highlight w:val="none"/>
        </w:rPr>
        <w:t>（盖单位章）</w:t>
      </w:r>
    </w:p>
    <w:p w14:paraId="7E909DBA">
      <w:pPr>
        <w:ind w:firstLine="560" w:firstLineChars="200"/>
        <w:rPr>
          <w:rFonts w:hint="eastAsia" w:ascii="宋体"/>
          <w:color w:val="auto"/>
          <w:sz w:val="28"/>
          <w:szCs w:val="28"/>
          <w:highlight w:val="none"/>
        </w:rPr>
      </w:pPr>
      <w:r>
        <w:rPr>
          <w:rFonts w:hint="eastAsia" w:ascii="宋体"/>
          <w:color w:val="auto"/>
          <w:sz w:val="28"/>
          <w:szCs w:val="28"/>
          <w:highlight w:val="none"/>
        </w:rPr>
        <w:t>法定代表人：</w:t>
      </w:r>
      <w:r>
        <w:rPr>
          <w:rFonts w:hint="eastAsia" w:ascii="宋体"/>
          <w:color w:val="auto"/>
          <w:sz w:val="28"/>
          <w:szCs w:val="28"/>
          <w:highlight w:val="none"/>
          <w:u w:val="single"/>
        </w:rPr>
        <w:t xml:space="preserve">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14:paraId="3D25F50B">
      <w:pPr>
        <w:jc w:val="center"/>
        <w:rPr>
          <w:rFonts w:hint="eastAsia" w:ascii="宋体"/>
          <w:color w:val="auto"/>
          <w:sz w:val="28"/>
          <w:szCs w:val="28"/>
          <w:highlight w:val="none"/>
        </w:rPr>
      </w:pPr>
      <w:r>
        <w:rPr>
          <w:rFonts w:hint="eastAsia" w:ascii="宋体"/>
          <w:color w:val="auto"/>
          <w:sz w:val="28"/>
          <w:szCs w:val="28"/>
          <w:highlight w:val="none"/>
          <w:u w:val="single"/>
        </w:rPr>
        <w:t xml:space="preserve">        </w:t>
      </w:r>
      <w:r>
        <w:rPr>
          <w:rFonts w:hint="eastAsia" w:ascii="宋体"/>
          <w:color w:val="auto"/>
          <w:sz w:val="28"/>
          <w:szCs w:val="28"/>
          <w:highlight w:val="none"/>
        </w:rPr>
        <w:t>年</w:t>
      </w:r>
      <w:r>
        <w:rPr>
          <w:rFonts w:hint="eastAsia" w:ascii="宋体"/>
          <w:color w:val="auto"/>
          <w:sz w:val="28"/>
          <w:szCs w:val="28"/>
          <w:highlight w:val="none"/>
          <w:u w:val="single"/>
        </w:rPr>
        <w:t xml:space="preserve">        </w:t>
      </w:r>
      <w:r>
        <w:rPr>
          <w:rFonts w:hint="eastAsia" w:ascii="宋体"/>
          <w:color w:val="auto"/>
          <w:sz w:val="28"/>
          <w:szCs w:val="28"/>
          <w:highlight w:val="none"/>
        </w:rPr>
        <w:t>月</w:t>
      </w:r>
      <w:r>
        <w:rPr>
          <w:rFonts w:hint="eastAsia" w:ascii="宋体"/>
          <w:color w:val="auto"/>
          <w:sz w:val="28"/>
          <w:szCs w:val="28"/>
          <w:highlight w:val="none"/>
          <w:u w:val="single"/>
        </w:rPr>
        <w:t xml:space="preserve">        </w:t>
      </w:r>
      <w:r>
        <w:rPr>
          <w:rFonts w:hint="eastAsia" w:ascii="宋体"/>
          <w:color w:val="auto"/>
          <w:sz w:val="28"/>
          <w:szCs w:val="28"/>
          <w:highlight w:val="none"/>
        </w:rPr>
        <w:t>日</w:t>
      </w:r>
    </w:p>
    <w:p w14:paraId="513FB4B7">
      <w:pPr>
        <w:spacing w:line="400" w:lineRule="exact"/>
        <w:rPr>
          <w:rFonts w:hint="eastAsia"/>
          <w:b/>
          <w:color w:val="auto"/>
          <w:sz w:val="44"/>
          <w:szCs w:val="44"/>
          <w:highlight w:val="none"/>
        </w:rPr>
      </w:pPr>
    </w:p>
    <w:p w14:paraId="596F9D74">
      <w:pPr>
        <w:spacing w:line="400" w:lineRule="exact"/>
        <w:ind w:firstLine="4130" w:firstLineChars="935"/>
        <w:rPr>
          <w:rFonts w:hint="eastAsia"/>
          <w:b/>
          <w:color w:val="auto"/>
          <w:sz w:val="44"/>
          <w:szCs w:val="44"/>
          <w:highlight w:val="none"/>
        </w:rPr>
      </w:pPr>
    </w:p>
    <w:p w14:paraId="19FCFA53">
      <w:pPr>
        <w:jc w:val="center"/>
        <w:rPr>
          <w:rFonts w:hint="eastAsia"/>
          <w:b/>
          <w:color w:val="auto"/>
          <w:sz w:val="36"/>
          <w:szCs w:val="36"/>
          <w:highlight w:val="none"/>
        </w:rPr>
      </w:pPr>
    </w:p>
    <w:p w14:paraId="7FFE8EAA">
      <w:pPr>
        <w:jc w:val="center"/>
        <w:rPr>
          <w:rFonts w:hint="eastAsia"/>
          <w:b/>
          <w:color w:val="auto"/>
          <w:sz w:val="44"/>
          <w:szCs w:val="44"/>
          <w:highlight w:val="none"/>
        </w:rPr>
      </w:pPr>
      <w:r>
        <w:rPr>
          <w:rFonts w:hint="eastAsia"/>
          <w:b/>
          <w:color w:val="auto"/>
          <w:sz w:val="36"/>
          <w:szCs w:val="36"/>
          <w:highlight w:val="none"/>
        </w:rPr>
        <w:t>目   录</w:t>
      </w:r>
    </w:p>
    <w:p w14:paraId="1E5D849D">
      <w:pPr>
        <w:spacing w:line="400" w:lineRule="exact"/>
        <w:ind w:firstLine="562" w:firstLineChars="200"/>
        <w:rPr>
          <w:rFonts w:hint="eastAsia"/>
          <w:b/>
          <w:color w:val="auto"/>
          <w:sz w:val="28"/>
          <w:szCs w:val="28"/>
          <w:highlight w:val="none"/>
        </w:rPr>
      </w:pPr>
    </w:p>
    <w:p w14:paraId="3216342E">
      <w:pPr>
        <w:spacing w:line="440" w:lineRule="exact"/>
        <w:ind w:left="420"/>
        <w:rPr>
          <w:rFonts w:hint="eastAsia" w:ascii="宋体"/>
          <w:color w:val="auto"/>
          <w:szCs w:val="21"/>
          <w:highlight w:val="none"/>
        </w:rPr>
      </w:pPr>
      <w:r>
        <w:rPr>
          <w:rFonts w:hint="eastAsia" w:ascii="宋体"/>
          <w:color w:val="auto"/>
          <w:szCs w:val="21"/>
          <w:highlight w:val="none"/>
        </w:rPr>
        <w:t>（</w:t>
      </w:r>
      <w:r>
        <w:rPr>
          <w:rFonts w:hint="eastAsia" w:ascii="宋体"/>
          <w:color w:val="auto"/>
          <w:szCs w:val="21"/>
          <w:highlight w:val="none"/>
          <w:lang w:val="en-US" w:eastAsia="zh-CN"/>
        </w:rPr>
        <w:t>1</w:t>
      </w:r>
      <w:r>
        <w:rPr>
          <w:rFonts w:hint="eastAsia" w:ascii="宋体"/>
          <w:color w:val="auto"/>
          <w:szCs w:val="21"/>
          <w:highlight w:val="none"/>
        </w:rPr>
        <w:t>）开标一览表（格式见附件）；</w:t>
      </w:r>
    </w:p>
    <w:p w14:paraId="1732785E">
      <w:pPr>
        <w:spacing w:line="440" w:lineRule="exact"/>
        <w:ind w:left="420"/>
        <w:rPr>
          <w:rFonts w:hint="eastAsia" w:ascii="宋体"/>
          <w:color w:val="auto"/>
          <w:szCs w:val="21"/>
          <w:highlight w:val="none"/>
        </w:rPr>
      </w:pPr>
      <w:r>
        <w:rPr>
          <w:rFonts w:hint="eastAsia" w:ascii="宋体"/>
          <w:color w:val="auto"/>
          <w:szCs w:val="21"/>
          <w:highlight w:val="none"/>
        </w:rPr>
        <w:t>（</w:t>
      </w:r>
      <w:r>
        <w:rPr>
          <w:rFonts w:hint="eastAsia" w:ascii="宋体"/>
          <w:color w:val="auto"/>
          <w:szCs w:val="21"/>
          <w:highlight w:val="none"/>
          <w:lang w:val="en-US" w:eastAsia="zh-CN"/>
        </w:rPr>
        <w:t>2</w:t>
      </w:r>
      <w:r>
        <w:rPr>
          <w:rFonts w:hint="eastAsia" w:ascii="宋体"/>
          <w:color w:val="auto"/>
          <w:szCs w:val="21"/>
          <w:highlight w:val="none"/>
        </w:rPr>
        <w:t>）投标函（格式见附件）；</w:t>
      </w:r>
    </w:p>
    <w:p w14:paraId="171D8848">
      <w:pPr>
        <w:spacing w:line="500" w:lineRule="exact"/>
        <w:ind w:firstLine="420" w:firstLineChars="200"/>
        <w:jc w:val="left"/>
        <w:rPr>
          <w:rFonts w:hint="eastAsia" w:ascii="宋体" w:hAnsi="Times New Roman" w:eastAsia="宋体" w:cs="Times New Roman"/>
          <w:color w:val="auto"/>
          <w:szCs w:val="21"/>
          <w:highlight w:val="none"/>
        </w:rPr>
      </w:pPr>
    </w:p>
    <w:p w14:paraId="1E031B47">
      <w:pPr>
        <w:spacing w:line="400" w:lineRule="exact"/>
        <w:rPr>
          <w:b/>
          <w:color w:val="auto"/>
          <w:sz w:val="28"/>
          <w:szCs w:val="28"/>
          <w:highlight w:val="none"/>
        </w:rPr>
        <w:sectPr>
          <w:pgSz w:w="11906" w:h="16838"/>
          <w:pgMar w:top="1440" w:right="1800" w:bottom="1440" w:left="1800" w:header="851" w:footer="992" w:gutter="0"/>
          <w:pgNumType w:fmt="numberInDash"/>
          <w:cols w:space="720" w:num="1"/>
          <w:docGrid w:type="lines" w:linePitch="312" w:charSpace="0"/>
        </w:sectPr>
      </w:pPr>
    </w:p>
    <w:p w14:paraId="3D7E0C31">
      <w:pPr>
        <w:spacing w:line="360" w:lineRule="exact"/>
        <w:ind w:firstLine="443" w:firstLineChars="147"/>
        <w:rPr>
          <w:rFonts w:hint="eastAsia" w:ascii="宋体" w:hAnsi="宋体" w:eastAsia="宋体"/>
          <w:b/>
          <w:color w:val="auto"/>
          <w:sz w:val="30"/>
          <w:szCs w:val="30"/>
          <w:highlight w:val="none"/>
          <w:lang w:val="en-US" w:eastAsia="zh-CN"/>
        </w:rPr>
      </w:pPr>
      <w:r>
        <w:rPr>
          <w:rFonts w:hint="eastAsia" w:ascii="宋体" w:hAnsi="宋体"/>
          <w:b/>
          <w:color w:val="auto"/>
          <w:sz w:val="30"/>
          <w:szCs w:val="30"/>
          <w:highlight w:val="none"/>
        </w:rPr>
        <w:t>附件</w:t>
      </w:r>
      <w:r>
        <w:rPr>
          <w:rFonts w:hint="eastAsia" w:ascii="宋体" w:hAnsi="宋体"/>
          <w:b/>
          <w:color w:val="auto"/>
          <w:sz w:val="30"/>
          <w:szCs w:val="30"/>
          <w:highlight w:val="none"/>
          <w:lang w:val="en-US" w:eastAsia="zh-CN"/>
        </w:rPr>
        <w:t>1</w:t>
      </w:r>
    </w:p>
    <w:p w14:paraId="70DAA496">
      <w:pPr>
        <w:spacing w:line="360" w:lineRule="exact"/>
        <w:ind w:firstLine="472" w:firstLineChars="147"/>
        <w:jc w:val="center"/>
        <w:rPr>
          <w:rFonts w:hint="eastAsia" w:ascii="宋体"/>
          <w:b/>
          <w:color w:val="auto"/>
          <w:sz w:val="32"/>
          <w:szCs w:val="32"/>
          <w:highlight w:val="none"/>
        </w:rPr>
      </w:pPr>
    </w:p>
    <w:p w14:paraId="38229AAB">
      <w:pPr>
        <w:spacing w:line="360" w:lineRule="exact"/>
        <w:ind w:firstLine="531" w:firstLineChars="147"/>
        <w:jc w:val="center"/>
        <w:rPr>
          <w:rFonts w:hint="eastAsia" w:ascii="宋体"/>
          <w:b/>
          <w:color w:val="auto"/>
          <w:sz w:val="36"/>
          <w:szCs w:val="36"/>
          <w:highlight w:val="none"/>
        </w:rPr>
      </w:pPr>
      <w:r>
        <w:rPr>
          <w:rFonts w:hint="eastAsia" w:ascii="宋体"/>
          <w:b/>
          <w:color w:val="auto"/>
          <w:sz w:val="36"/>
          <w:szCs w:val="36"/>
          <w:highlight w:val="none"/>
        </w:rPr>
        <w:t>开标一览表</w:t>
      </w:r>
    </w:p>
    <w:p w14:paraId="1CD065BF">
      <w:pPr>
        <w:spacing w:line="360" w:lineRule="exact"/>
        <w:ind w:firstLine="354" w:firstLineChars="147"/>
        <w:rPr>
          <w:rFonts w:hint="eastAsia" w:ascii="宋体"/>
          <w:b/>
          <w:color w:val="auto"/>
          <w:sz w:val="24"/>
          <w:highlight w:val="none"/>
        </w:rPr>
      </w:pPr>
    </w:p>
    <w:p w14:paraId="1649A206">
      <w:pPr>
        <w:spacing w:line="360" w:lineRule="exact"/>
        <w:ind w:firstLine="240" w:firstLineChars="100"/>
        <w:rPr>
          <w:rFonts w:hint="eastAsia" w:ascii="宋体"/>
          <w:color w:val="auto"/>
          <w:sz w:val="24"/>
          <w:highlight w:val="none"/>
        </w:rPr>
      </w:pPr>
      <w:r>
        <w:rPr>
          <w:rFonts w:hint="eastAsia" w:ascii="宋体"/>
          <w:color w:val="auto"/>
          <w:sz w:val="24"/>
          <w:highlight w:val="none"/>
        </w:rPr>
        <w:t>（注：开标一览表必须编入投标文件，唱标时，以投标文件中的开标一览表进行唱标）</w:t>
      </w:r>
    </w:p>
    <w:p w14:paraId="7B522B7A">
      <w:pPr>
        <w:snapToGrid w:val="0"/>
        <w:spacing w:line="460" w:lineRule="exact"/>
        <w:ind w:left="2940" w:leftChars="1400" w:firstLine="720" w:firstLineChars="300"/>
        <w:rPr>
          <w:rFonts w:hint="eastAsia" w:ascii="宋体"/>
          <w:color w:val="auto"/>
          <w:sz w:val="24"/>
          <w:highlight w:val="none"/>
        </w:rPr>
      </w:pPr>
    </w:p>
    <w:tbl>
      <w:tblPr>
        <w:tblStyle w:val="3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03"/>
        <w:gridCol w:w="6952"/>
      </w:tblGrid>
      <w:tr w14:paraId="4BB58F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350" w:hRule="exact"/>
        </w:trPr>
        <w:tc>
          <w:tcPr>
            <w:tcW w:w="1803" w:type="dxa"/>
            <w:tcBorders>
              <w:top w:val="single" w:color="auto" w:sz="12" w:space="0"/>
              <w:bottom w:val="single" w:color="auto" w:sz="12" w:space="0"/>
              <w:right w:val="single" w:color="auto" w:sz="12" w:space="0"/>
            </w:tcBorders>
            <w:noWrap w:val="0"/>
            <w:vAlign w:val="center"/>
          </w:tcPr>
          <w:p w14:paraId="21B23794">
            <w:pPr>
              <w:spacing w:line="460" w:lineRule="exact"/>
              <w:jc w:val="center"/>
              <w:rPr>
                <w:rFonts w:hint="eastAsia" w:ascii="宋体"/>
                <w:color w:val="auto"/>
                <w:sz w:val="24"/>
                <w:highlight w:val="none"/>
              </w:rPr>
            </w:pPr>
            <w:r>
              <w:rPr>
                <w:rFonts w:hint="eastAsia" w:ascii="宋体"/>
                <w:color w:val="auto"/>
                <w:sz w:val="24"/>
                <w:highlight w:val="none"/>
              </w:rPr>
              <w:t>项目名称</w:t>
            </w:r>
          </w:p>
        </w:tc>
        <w:tc>
          <w:tcPr>
            <w:tcW w:w="6952" w:type="dxa"/>
            <w:tcBorders>
              <w:top w:val="single" w:color="auto" w:sz="12" w:space="0"/>
              <w:left w:val="single" w:color="auto" w:sz="12" w:space="0"/>
              <w:bottom w:val="single" w:color="auto" w:sz="12" w:space="0"/>
            </w:tcBorders>
            <w:noWrap w:val="0"/>
            <w:vAlign w:val="center"/>
          </w:tcPr>
          <w:p w14:paraId="2F6CBA37">
            <w:pPr>
              <w:spacing w:line="360" w:lineRule="auto"/>
              <w:jc w:val="left"/>
              <w:rPr>
                <w:rFonts w:hint="eastAsia"/>
                <w:color w:val="auto"/>
                <w:sz w:val="24"/>
                <w:highlight w:val="none"/>
              </w:rPr>
            </w:pPr>
            <w:r>
              <w:rPr>
                <w:rFonts w:hint="eastAsia"/>
                <w:color w:val="auto"/>
                <w:sz w:val="24"/>
                <w:highlight w:val="none"/>
              </w:rPr>
              <w:t xml:space="preserve">         </w:t>
            </w:r>
          </w:p>
        </w:tc>
      </w:tr>
      <w:tr w14:paraId="5512F8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22" w:hRule="exact"/>
        </w:trPr>
        <w:tc>
          <w:tcPr>
            <w:tcW w:w="1803" w:type="dxa"/>
            <w:tcBorders>
              <w:top w:val="single" w:color="auto" w:sz="12" w:space="0"/>
              <w:right w:val="single" w:color="auto" w:sz="12" w:space="0"/>
            </w:tcBorders>
            <w:noWrap w:val="0"/>
            <w:vAlign w:val="center"/>
          </w:tcPr>
          <w:p w14:paraId="70BE8D9B">
            <w:pPr>
              <w:spacing w:line="460" w:lineRule="exact"/>
              <w:jc w:val="center"/>
              <w:rPr>
                <w:rFonts w:hint="eastAsia" w:ascii="宋体"/>
                <w:color w:val="auto"/>
                <w:sz w:val="24"/>
                <w:highlight w:val="none"/>
              </w:rPr>
            </w:pPr>
            <w:r>
              <w:rPr>
                <w:rFonts w:hint="eastAsia" w:ascii="宋体"/>
                <w:color w:val="auto"/>
                <w:sz w:val="24"/>
                <w:highlight w:val="none"/>
              </w:rPr>
              <w:t>项目编号</w:t>
            </w:r>
          </w:p>
        </w:tc>
        <w:tc>
          <w:tcPr>
            <w:tcW w:w="6952" w:type="dxa"/>
            <w:tcBorders>
              <w:top w:val="single" w:color="auto" w:sz="12" w:space="0"/>
              <w:left w:val="single" w:color="auto" w:sz="12" w:space="0"/>
            </w:tcBorders>
            <w:noWrap w:val="0"/>
            <w:vAlign w:val="center"/>
          </w:tcPr>
          <w:p w14:paraId="410AD8F1">
            <w:pPr>
              <w:rPr>
                <w:rFonts w:hint="eastAsia" w:ascii="宋体"/>
                <w:color w:val="auto"/>
                <w:sz w:val="24"/>
                <w:highlight w:val="none"/>
              </w:rPr>
            </w:pPr>
          </w:p>
        </w:tc>
      </w:tr>
      <w:tr w14:paraId="27B04A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18" w:hRule="exact"/>
        </w:trPr>
        <w:tc>
          <w:tcPr>
            <w:tcW w:w="1803" w:type="dxa"/>
            <w:tcBorders>
              <w:right w:val="single" w:color="auto" w:sz="12" w:space="0"/>
            </w:tcBorders>
            <w:noWrap w:val="0"/>
            <w:vAlign w:val="center"/>
          </w:tcPr>
          <w:p w14:paraId="4255F639">
            <w:pPr>
              <w:spacing w:line="460" w:lineRule="exact"/>
              <w:ind w:firstLine="120" w:firstLineChars="50"/>
              <w:rPr>
                <w:rFonts w:hint="eastAsia" w:ascii="宋体"/>
                <w:color w:val="auto"/>
                <w:sz w:val="24"/>
                <w:highlight w:val="none"/>
              </w:rPr>
            </w:pPr>
            <w:r>
              <w:rPr>
                <w:rFonts w:hint="eastAsia" w:ascii="宋体"/>
                <w:color w:val="auto"/>
                <w:sz w:val="24"/>
                <w:highlight w:val="none"/>
              </w:rPr>
              <w:t>投标人名称</w:t>
            </w:r>
          </w:p>
        </w:tc>
        <w:tc>
          <w:tcPr>
            <w:tcW w:w="6952" w:type="dxa"/>
            <w:tcBorders>
              <w:left w:val="single" w:color="auto" w:sz="12" w:space="0"/>
            </w:tcBorders>
            <w:noWrap w:val="0"/>
            <w:vAlign w:val="top"/>
          </w:tcPr>
          <w:p w14:paraId="71316AA0">
            <w:pPr>
              <w:pStyle w:val="21"/>
              <w:spacing w:line="460" w:lineRule="exact"/>
              <w:ind w:left="86" w:leftChars="41"/>
              <w:rPr>
                <w:rFonts w:hint="eastAsia" w:ascii="宋体" w:eastAsia="宋体"/>
                <w:color w:val="auto"/>
                <w:sz w:val="24"/>
                <w:szCs w:val="24"/>
                <w:highlight w:val="none"/>
              </w:rPr>
            </w:pPr>
          </w:p>
        </w:tc>
      </w:tr>
      <w:tr w14:paraId="59B3A2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41" w:hRule="exact"/>
        </w:trPr>
        <w:tc>
          <w:tcPr>
            <w:tcW w:w="1803" w:type="dxa"/>
            <w:tcBorders>
              <w:right w:val="single" w:color="auto" w:sz="12" w:space="0"/>
            </w:tcBorders>
            <w:noWrap w:val="0"/>
            <w:vAlign w:val="center"/>
          </w:tcPr>
          <w:p w14:paraId="0E7554A9">
            <w:pPr>
              <w:spacing w:line="360" w:lineRule="auto"/>
              <w:jc w:val="center"/>
              <w:rPr>
                <w:rFonts w:ascii="宋体"/>
                <w:color w:val="auto"/>
                <w:sz w:val="24"/>
                <w:highlight w:val="none"/>
              </w:rPr>
            </w:pPr>
            <w:r>
              <w:rPr>
                <w:rFonts w:hint="eastAsia" w:ascii="宋体"/>
                <w:color w:val="auto"/>
                <w:sz w:val="24"/>
                <w:highlight w:val="none"/>
              </w:rPr>
              <w:t>总投标价\</w:t>
            </w:r>
            <w:r>
              <w:rPr>
                <w:rFonts w:hint="eastAsia" w:ascii="宋体"/>
                <w:color w:val="auto"/>
                <w:sz w:val="24"/>
                <w:highlight w:val="none"/>
                <w:lang w:val="en-US" w:eastAsia="zh-CN"/>
              </w:rPr>
              <w:t>服务</w:t>
            </w:r>
            <w:r>
              <w:rPr>
                <w:rFonts w:hint="eastAsia" w:ascii="宋体"/>
                <w:color w:val="auto"/>
                <w:sz w:val="24"/>
                <w:highlight w:val="none"/>
              </w:rPr>
              <w:t>期</w:t>
            </w:r>
          </w:p>
        </w:tc>
        <w:tc>
          <w:tcPr>
            <w:tcW w:w="6952" w:type="dxa"/>
            <w:tcBorders>
              <w:left w:val="single" w:color="auto" w:sz="12" w:space="0"/>
            </w:tcBorders>
            <w:noWrap w:val="0"/>
            <w:vAlign w:val="center"/>
          </w:tcPr>
          <w:p w14:paraId="258EAC01">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ascii="宋体"/>
                <w:color w:val="auto"/>
                <w:sz w:val="24"/>
                <w:highlight w:val="none"/>
              </w:rPr>
            </w:pPr>
            <w:r>
              <w:rPr>
                <w:rFonts w:hint="eastAsia" w:ascii="宋体"/>
                <w:color w:val="auto"/>
                <w:sz w:val="24"/>
                <w:highlight w:val="none"/>
              </w:rPr>
              <w:t>投标报价 （大写）：</w:t>
            </w:r>
            <w:r>
              <w:rPr>
                <w:rFonts w:hint="eastAsia" w:ascii="宋体"/>
                <w:color w:val="auto"/>
                <w:sz w:val="24"/>
                <w:highlight w:val="none"/>
                <w:u w:val="single"/>
              </w:rPr>
              <w:t xml:space="preserve">                   </w:t>
            </w:r>
            <w:r>
              <w:rPr>
                <w:rFonts w:hint="eastAsia" w:ascii="宋体"/>
                <w:color w:val="auto"/>
                <w:sz w:val="24"/>
                <w:highlight w:val="none"/>
              </w:rPr>
              <w:t>；</w:t>
            </w:r>
          </w:p>
          <w:p w14:paraId="4E307885">
            <w:pPr>
              <w:keepNext w:val="0"/>
              <w:keepLines w:val="0"/>
              <w:pageBreakBefore w:val="0"/>
              <w:widowControl w:val="0"/>
              <w:kinsoku/>
              <w:wordWrap/>
              <w:overflowPunct/>
              <w:topLinePunct w:val="0"/>
              <w:autoSpaceDE/>
              <w:autoSpaceDN/>
              <w:bidi w:val="0"/>
              <w:adjustRightInd/>
              <w:snapToGrid/>
              <w:spacing w:line="900" w:lineRule="exact"/>
              <w:ind w:firstLine="1200" w:firstLineChars="500"/>
              <w:textAlignment w:val="auto"/>
              <w:rPr>
                <w:rFonts w:hint="eastAsia" w:ascii="宋体"/>
                <w:color w:val="auto"/>
                <w:sz w:val="24"/>
                <w:highlight w:val="none"/>
              </w:rPr>
            </w:pPr>
            <w:r>
              <w:rPr>
                <w:rFonts w:hint="eastAsia" w:ascii="宋体"/>
                <w:color w:val="auto"/>
                <w:sz w:val="24"/>
                <w:highlight w:val="none"/>
              </w:rPr>
              <w:t>(小写) ：</w:t>
            </w:r>
            <w:r>
              <w:rPr>
                <w:rFonts w:hint="eastAsia" w:ascii="宋体"/>
                <w:color w:val="auto"/>
                <w:sz w:val="24"/>
                <w:highlight w:val="none"/>
                <w:u w:val="single"/>
              </w:rPr>
              <w:t xml:space="preserve">                   </w:t>
            </w:r>
            <w:r>
              <w:rPr>
                <w:rFonts w:hint="eastAsia" w:ascii="宋体"/>
                <w:color w:val="auto"/>
                <w:sz w:val="24"/>
                <w:highlight w:val="none"/>
              </w:rPr>
              <w:t>；</w:t>
            </w:r>
          </w:p>
          <w:p w14:paraId="54175F55">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color w:val="auto"/>
                <w:sz w:val="24"/>
                <w:highlight w:val="none"/>
              </w:rPr>
            </w:pPr>
            <w:r>
              <w:rPr>
                <w:rFonts w:hint="eastAsia" w:ascii="宋体"/>
                <w:color w:val="auto"/>
                <w:sz w:val="24"/>
                <w:highlight w:val="none"/>
                <w:lang w:val="en-US" w:eastAsia="zh-CN"/>
              </w:rPr>
              <w:t>服务期</w:t>
            </w:r>
            <w:r>
              <w:rPr>
                <w:rFonts w:hint="eastAsia" w:ascii="宋体"/>
                <w:color w:val="auto"/>
                <w:sz w:val="24"/>
                <w:highlight w:val="none"/>
              </w:rPr>
              <w:t>：</w:t>
            </w:r>
            <w:r>
              <w:rPr>
                <w:rFonts w:hint="eastAsia" w:ascii="宋体"/>
                <w:color w:val="auto"/>
                <w:sz w:val="24"/>
                <w:highlight w:val="none"/>
                <w:lang w:val="en-US" w:eastAsia="zh-CN"/>
              </w:rPr>
              <w:t xml:space="preserve">三年 </w:t>
            </w:r>
          </w:p>
        </w:tc>
      </w:tr>
    </w:tbl>
    <w:p w14:paraId="04A7BA8D">
      <w:pPr>
        <w:snapToGrid w:val="0"/>
        <w:spacing w:line="460" w:lineRule="exact"/>
        <w:ind w:left="2940" w:leftChars="1400" w:firstLine="723" w:firstLineChars="300"/>
        <w:rPr>
          <w:rFonts w:hint="eastAsia" w:ascii="宋体"/>
          <w:b/>
          <w:color w:val="auto"/>
          <w:sz w:val="24"/>
          <w:highlight w:val="none"/>
        </w:rPr>
      </w:pPr>
    </w:p>
    <w:p w14:paraId="47CB5C70">
      <w:pPr>
        <w:rPr>
          <w:rFonts w:hint="eastAsia" w:ascii="宋体"/>
          <w:color w:val="auto"/>
          <w:sz w:val="24"/>
          <w:highlight w:val="none"/>
        </w:rPr>
      </w:pPr>
      <w:r>
        <w:rPr>
          <w:rFonts w:hint="eastAsia" w:ascii="宋体"/>
          <w:color w:val="auto"/>
          <w:sz w:val="24"/>
          <w:highlight w:val="none"/>
        </w:rPr>
        <w:t>法定代表人（</w:t>
      </w:r>
      <w:r>
        <w:rPr>
          <w:rFonts w:hint="eastAsia" w:ascii="宋体"/>
          <w:color w:val="auto"/>
          <w:sz w:val="24"/>
          <w:highlight w:val="none"/>
          <w:lang w:val="en-US" w:eastAsia="zh-CN"/>
        </w:rPr>
        <w:t>盖章</w:t>
      </w:r>
      <w:r>
        <w:rPr>
          <w:rFonts w:hint="eastAsia" w:ascii="宋体"/>
          <w:color w:val="auto"/>
          <w:sz w:val="24"/>
          <w:highlight w:val="none"/>
        </w:rPr>
        <w:t>）：         投标人（盖单位章）：</w:t>
      </w:r>
    </w:p>
    <w:p w14:paraId="11F45E3A">
      <w:pPr>
        <w:snapToGrid w:val="0"/>
        <w:spacing w:before="312" w:beforeLines="100" w:after="312" w:afterLines="100" w:line="360" w:lineRule="auto"/>
        <w:jc w:val="center"/>
        <w:rPr>
          <w:rFonts w:cs="Arial"/>
          <w:b/>
          <w:bCs/>
          <w:color w:val="auto"/>
          <w:sz w:val="30"/>
          <w:szCs w:val="30"/>
          <w:highlight w:val="none"/>
        </w:rPr>
        <w:sectPr>
          <w:pgSz w:w="11906" w:h="16838"/>
          <w:pgMar w:top="1440" w:right="1800" w:bottom="1440" w:left="1800" w:header="851" w:footer="992" w:gutter="0"/>
          <w:pgNumType w:fmt="numberInDash"/>
          <w:cols w:space="720" w:num="1"/>
          <w:docGrid w:type="lines" w:linePitch="312" w:charSpace="0"/>
        </w:sectPr>
      </w:pPr>
      <w:r>
        <w:rPr>
          <w:rFonts w:hint="eastAsia" w:ascii="宋体"/>
          <w:color w:val="auto"/>
          <w:sz w:val="24"/>
          <w:highlight w:val="none"/>
        </w:rPr>
        <w:t xml:space="preserve">                                      日  期：</w:t>
      </w:r>
      <w:r>
        <w:rPr>
          <w:rFonts w:hint="eastAsia" w:ascii="宋体" w:hAnsi="宋体"/>
          <w:color w:val="auto"/>
          <w:sz w:val="24"/>
          <w:highlight w:val="none"/>
          <w:u w:val="single"/>
        </w:rPr>
        <w:t xml:space="preserve">      </w:t>
      </w:r>
      <w:r>
        <w:rPr>
          <w:rFonts w:hint="eastAsia" w:ascii="宋体"/>
          <w:color w:val="auto"/>
          <w:sz w:val="24"/>
          <w:highlight w:val="none"/>
        </w:rPr>
        <w:t>年</w:t>
      </w:r>
      <w:r>
        <w:rPr>
          <w:rFonts w:hint="eastAsia" w:ascii="宋体" w:hAnsi="宋体"/>
          <w:color w:val="auto"/>
          <w:sz w:val="24"/>
          <w:highlight w:val="none"/>
          <w:u w:val="single"/>
        </w:rPr>
        <w:t xml:space="preserve">   </w:t>
      </w:r>
      <w:r>
        <w:rPr>
          <w:rFonts w:hint="eastAsia" w:ascii="宋体"/>
          <w:color w:val="auto"/>
          <w:sz w:val="24"/>
          <w:highlight w:val="none"/>
        </w:rPr>
        <w:t>月</w:t>
      </w:r>
      <w:r>
        <w:rPr>
          <w:rFonts w:hint="eastAsia" w:ascii="宋体" w:hAnsi="宋体"/>
          <w:color w:val="auto"/>
          <w:sz w:val="24"/>
          <w:highlight w:val="none"/>
          <w:u w:val="single"/>
        </w:rPr>
        <w:t xml:space="preserve">   </w:t>
      </w:r>
      <w:r>
        <w:rPr>
          <w:rFonts w:hint="eastAsia" w:ascii="宋体"/>
          <w:color w:val="auto"/>
          <w:sz w:val="24"/>
          <w:highlight w:val="none"/>
        </w:rPr>
        <w:t xml:space="preserve">日 </w:t>
      </w:r>
    </w:p>
    <w:p w14:paraId="1935D747">
      <w:pPr>
        <w:spacing w:line="360" w:lineRule="exact"/>
        <w:ind w:firstLine="443" w:firstLineChars="147"/>
        <w:rPr>
          <w:rFonts w:hint="eastAsia" w:ascii="宋体"/>
          <w:b/>
          <w:color w:val="auto"/>
          <w:sz w:val="30"/>
          <w:szCs w:val="30"/>
          <w:highlight w:val="none"/>
        </w:rPr>
      </w:pPr>
    </w:p>
    <w:p w14:paraId="3040811F">
      <w:pPr>
        <w:spacing w:line="360" w:lineRule="exact"/>
        <w:ind w:firstLine="443" w:firstLineChars="147"/>
        <w:rPr>
          <w:rFonts w:hint="eastAsia" w:ascii="宋体" w:hAnsi="宋体"/>
          <w:b/>
          <w:color w:val="auto"/>
          <w:sz w:val="30"/>
          <w:szCs w:val="30"/>
          <w:highlight w:val="none"/>
        </w:rPr>
      </w:pPr>
      <w:r>
        <w:rPr>
          <w:rFonts w:hint="eastAsia" w:ascii="宋体" w:hAnsi="宋体"/>
          <w:b/>
          <w:color w:val="auto"/>
          <w:sz w:val="30"/>
          <w:szCs w:val="30"/>
          <w:highlight w:val="none"/>
        </w:rPr>
        <w:t>附件2</w:t>
      </w:r>
    </w:p>
    <w:p w14:paraId="02594A90">
      <w:pPr>
        <w:spacing w:line="360" w:lineRule="exact"/>
        <w:ind w:firstLine="531" w:firstLineChars="147"/>
        <w:jc w:val="center"/>
        <w:rPr>
          <w:rFonts w:hint="eastAsia" w:ascii="宋体"/>
          <w:b/>
          <w:color w:val="auto"/>
          <w:sz w:val="36"/>
          <w:szCs w:val="36"/>
          <w:highlight w:val="none"/>
        </w:rPr>
      </w:pPr>
      <w:r>
        <w:rPr>
          <w:rFonts w:hint="eastAsia" w:ascii="宋体"/>
          <w:b/>
          <w:color w:val="auto"/>
          <w:sz w:val="36"/>
          <w:szCs w:val="36"/>
          <w:highlight w:val="none"/>
        </w:rPr>
        <w:t>投  标  函</w:t>
      </w:r>
    </w:p>
    <w:p w14:paraId="1B1AAEBB">
      <w:pPr>
        <w:spacing w:line="440" w:lineRule="exact"/>
        <w:rPr>
          <w:rFonts w:hint="eastAsia" w:ascii="宋体"/>
          <w:color w:val="auto"/>
          <w:sz w:val="24"/>
          <w:highlight w:val="none"/>
        </w:rPr>
      </w:pPr>
    </w:p>
    <w:p w14:paraId="7D1A4FE4">
      <w:pPr>
        <w:spacing w:line="50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1.我们决定参加贵单位组织的“</w:t>
      </w:r>
      <w:r>
        <w:rPr>
          <w:rFonts w:hint="eastAsia" w:ascii="宋体" w:hAnsi="宋体" w:cs="宋体"/>
          <w:color w:val="auto"/>
          <w:sz w:val="24"/>
          <w:highlight w:val="none"/>
          <w:u w:val="single"/>
        </w:rPr>
        <w:t xml:space="preserve"> （项目名称）    </w:t>
      </w:r>
      <w:r>
        <w:rPr>
          <w:rFonts w:hint="eastAsia" w:ascii="宋体" w:hAnsi="宋体" w:cs="宋体"/>
          <w:color w:val="auto"/>
          <w:sz w:val="24"/>
          <w:highlight w:val="none"/>
        </w:rPr>
        <w:t xml:space="preserve">”的采购。我方授权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(姓名和职务)代表我方</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（投标人的名称）全权处理本项目投标的有关事宜。</w:t>
      </w:r>
    </w:p>
    <w:p w14:paraId="0C0F5B67">
      <w:pPr>
        <w:spacing w:line="440" w:lineRule="exact"/>
        <w:ind w:firstLine="480" w:firstLineChars="200"/>
        <w:rPr>
          <w:rFonts w:hint="default" w:ascii="宋体" w:hAnsi="宋体" w:cs="宋体"/>
          <w:color w:val="auto"/>
          <w:sz w:val="24"/>
          <w:highlight w:val="none"/>
          <w:lang w:val="en-US" w:eastAsia="zh-CN"/>
        </w:rPr>
      </w:pPr>
      <w:r>
        <w:rPr>
          <w:rFonts w:hint="eastAsia" w:ascii="宋体" w:hAnsi="宋体" w:cs="宋体"/>
          <w:color w:val="auto"/>
          <w:sz w:val="24"/>
          <w:highlight w:val="none"/>
        </w:rPr>
        <w:t>2.我方愿意按照招标文件规定的各项要求，向</w:t>
      </w:r>
      <w:r>
        <w:rPr>
          <w:rFonts w:hint="eastAsia" w:ascii="宋体" w:hAnsi="宋体" w:cs="宋体"/>
          <w:color w:val="auto"/>
          <w:sz w:val="24"/>
          <w:highlight w:val="none"/>
          <w:lang w:eastAsia="zh-CN"/>
        </w:rPr>
        <w:t>招标人</w:t>
      </w:r>
      <w:r>
        <w:rPr>
          <w:rFonts w:hint="eastAsia" w:ascii="宋体" w:hAnsi="宋体" w:cs="宋体"/>
          <w:color w:val="auto"/>
          <w:sz w:val="24"/>
          <w:highlight w:val="none"/>
        </w:rPr>
        <w:t xml:space="preserve">提供“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项目名称）</w:t>
      </w:r>
      <w:r>
        <w:rPr>
          <w:rFonts w:hint="eastAsia" w:ascii="宋体" w:hAnsi="宋体" w:cs="宋体"/>
          <w:color w:val="auto"/>
          <w:sz w:val="24"/>
          <w:highlight w:val="none"/>
        </w:rPr>
        <w:t>”项目的服务，总投标价为人民币</w:t>
      </w:r>
      <w:r>
        <w:rPr>
          <w:rFonts w:hint="eastAsia" w:ascii="宋体" w:hAnsi="宋体" w:eastAsia="宋体" w:cs="宋体"/>
          <w:b/>
          <w:bCs/>
          <w:color w:val="auto"/>
          <w:sz w:val="22"/>
          <w:szCs w:val="22"/>
          <w:highlight w:val="none"/>
          <w:u w:val="single"/>
        </w:rPr>
        <w:t>（大写）</w:t>
      </w:r>
      <w:r>
        <w:rPr>
          <w:rFonts w:hint="eastAsia" w:ascii="宋体" w:hAnsi="宋体" w:eastAsia="宋体" w:cs="宋体"/>
          <w:b/>
          <w:bCs/>
          <w:color w:val="auto"/>
          <w:sz w:val="22"/>
          <w:szCs w:val="22"/>
          <w:highlight w:val="none"/>
          <w:u w:val="single"/>
          <w:lang w:val="en-US" w:eastAsia="zh-CN"/>
        </w:rPr>
        <w:t xml:space="preserve">           </w:t>
      </w:r>
      <w:r>
        <w:rPr>
          <w:rFonts w:hint="eastAsia" w:ascii="宋体" w:hAnsi="宋体" w:eastAsia="宋体" w:cs="宋体"/>
          <w:b/>
          <w:bCs/>
          <w:color w:val="auto"/>
          <w:sz w:val="22"/>
          <w:szCs w:val="22"/>
          <w:highlight w:val="none"/>
          <w:u w:val="single"/>
        </w:rPr>
        <w:t>（小写）</w:t>
      </w:r>
      <w:r>
        <w:rPr>
          <w:rFonts w:hint="eastAsia" w:ascii="宋体" w:hAnsi="宋体" w:eastAsia="宋体" w:cs="宋体"/>
          <w:b/>
          <w:bCs/>
          <w:color w:val="auto"/>
          <w:sz w:val="22"/>
          <w:szCs w:val="22"/>
          <w:highlight w:val="none"/>
          <w:u w:val="single"/>
          <w:lang w:val="en-US" w:eastAsia="zh-CN"/>
        </w:rPr>
        <w:t xml:space="preserve">       </w:t>
      </w:r>
      <w:r>
        <w:rPr>
          <w:rFonts w:hint="eastAsia" w:ascii="宋体" w:hAnsi="宋体" w:eastAsia="宋体" w:cs="宋体"/>
          <w:b/>
          <w:bCs/>
          <w:color w:val="auto"/>
          <w:sz w:val="22"/>
          <w:szCs w:val="22"/>
          <w:highlight w:val="none"/>
          <w:u w:val="single"/>
        </w:rPr>
        <w:t>元</w:t>
      </w:r>
      <w:r>
        <w:rPr>
          <w:rFonts w:hint="eastAsia" w:ascii="宋体" w:hAnsi="宋体" w:eastAsia="宋体" w:cs="宋体"/>
          <w:b/>
          <w:bCs/>
          <w:color w:val="auto"/>
          <w:sz w:val="22"/>
          <w:szCs w:val="22"/>
          <w:highlight w:val="none"/>
          <w:u w:val="single"/>
          <w:lang w:eastAsia="zh-CN"/>
        </w:rPr>
        <w:t>。</w:t>
      </w:r>
      <w:r>
        <w:rPr>
          <w:rFonts w:hint="eastAsia" w:ascii="宋体" w:hAnsi="宋体" w:eastAsia="宋体" w:cs="宋体"/>
          <w:b/>
          <w:bCs/>
          <w:color w:val="auto"/>
          <w:kern w:val="0"/>
          <w:sz w:val="24"/>
          <w:szCs w:val="24"/>
          <w:highlight w:val="none"/>
          <w:u w:val="single"/>
          <w:lang w:val="en-US" w:eastAsia="zh-CN"/>
        </w:rPr>
        <w:t>开具增值税专用发票，税率为    %。</w:t>
      </w:r>
      <w:r>
        <w:rPr>
          <w:rFonts w:hint="eastAsia" w:ascii="宋体" w:hAnsi="宋体" w:eastAsia="宋体" w:cs="宋体"/>
          <w:b/>
          <w:bCs/>
          <w:color w:val="auto"/>
          <w:sz w:val="24"/>
          <w:szCs w:val="24"/>
          <w:highlight w:val="none"/>
          <w:u w:val="single"/>
          <w:lang w:val="en-US" w:eastAsia="zh-CN"/>
        </w:rPr>
        <w:t>（</w:t>
      </w:r>
      <w:r>
        <w:rPr>
          <w:rFonts w:hint="eastAsia" w:ascii="宋体" w:hAnsi="宋体" w:eastAsia="宋体" w:cs="宋体"/>
          <w:b/>
          <w:bCs/>
          <w:color w:val="auto"/>
          <w:kern w:val="0"/>
          <w:sz w:val="24"/>
          <w:szCs w:val="24"/>
          <w:highlight w:val="none"/>
          <w:u w:val="single"/>
          <w:lang w:val="en-US" w:eastAsia="zh-CN"/>
        </w:rPr>
        <w:t>注：投标人须明确开具增值税发票的税率，否则按无效标处理）</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 xml:space="preserve">  </w:t>
      </w:r>
    </w:p>
    <w:p w14:paraId="0AEA47C8">
      <w:pPr>
        <w:spacing w:line="440" w:lineRule="exact"/>
        <w:ind w:firstLine="480" w:firstLineChars="200"/>
        <w:rPr>
          <w:rFonts w:hint="eastAsia" w:ascii="宋体"/>
          <w:color w:val="auto"/>
          <w:sz w:val="24"/>
          <w:highlight w:val="none"/>
        </w:rPr>
      </w:pPr>
      <w:r>
        <w:rPr>
          <w:rFonts w:hint="eastAsia" w:ascii="宋体"/>
          <w:color w:val="auto"/>
          <w:sz w:val="24"/>
          <w:highlight w:val="none"/>
        </w:rPr>
        <w:t>3.一旦我方成为合同签字人，我方将严格履行合同规定的责任和义务。</w:t>
      </w:r>
    </w:p>
    <w:p w14:paraId="149010A2">
      <w:pPr>
        <w:spacing w:line="440" w:lineRule="exact"/>
        <w:ind w:firstLine="480" w:firstLineChars="200"/>
        <w:rPr>
          <w:rFonts w:hint="eastAsia" w:ascii="宋体"/>
          <w:color w:val="auto"/>
          <w:sz w:val="24"/>
          <w:highlight w:val="none"/>
        </w:rPr>
      </w:pPr>
      <w:r>
        <w:rPr>
          <w:rFonts w:hint="eastAsia" w:ascii="宋体"/>
          <w:color w:val="auto"/>
          <w:sz w:val="24"/>
          <w:highlight w:val="none"/>
        </w:rPr>
        <w:t>4.我方愿意提供可能另外要求的、与采购投标有关的文件资料，并保证我方已提供和将要提供的文件是真实的、准确的。</w:t>
      </w:r>
    </w:p>
    <w:p w14:paraId="24C93112">
      <w:pPr>
        <w:spacing w:line="440" w:lineRule="exact"/>
        <w:ind w:firstLine="480" w:firstLineChars="200"/>
        <w:rPr>
          <w:rFonts w:hint="eastAsia" w:ascii="宋体"/>
          <w:color w:val="auto"/>
          <w:sz w:val="24"/>
          <w:highlight w:val="none"/>
        </w:rPr>
      </w:pPr>
      <w:r>
        <w:rPr>
          <w:rFonts w:hint="eastAsia" w:ascii="宋体"/>
          <w:color w:val="auto"/>
          <w:sz w:val="24"/>
          <w:highlight w:val="none"/>
        </w:rPr>
        <w:t>5、投标有效期为</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60</w:t>
      </w:r>
      <w:r>
        <w:rPr>
          <w:rFonts w:hint="eastAsia" w:ascii="宋体"/>
          <w:color w:val="auto"/>
          <w:sz w:val="24"/>
          <w:highlight w:val="none"/>
          <w:u w:val="single"/>
        </w:rPr>
        <w:t xml:space="preserve"> </w:t>
      </w:r>
      <w:r>
        <w:rPr>
          <w:rFonts w:hint="eastAsia" w:ascii="宋体"/>
          <w:color w:val="auto"/>
          <w:sz w:val="24"/>
          <w:highlight w:val="none"/>
        </w:rPr>
        <w:t>日历天（从投标截止之日算起）。</w:t>
      </w:r>
    </w:p>
    <w:p w14:paraId="022D1E03">
      <w:pPr>
        <w:spacing w:line="440" w:lineRule="exact"/>
        <w:ind w:firstLine="480" w:firstLineChars="200"/>
        <w:rPr>
          <w:rFonts w:hint="eastAsia" w:ascii="宋体"/>
          <w:color w:val="auto"/>
          <w:sz w:val="24"/>
          <w:highlight w:val="none"/>
        </w:rPr>
      </w:pPr>
      <w:r>
        <w:rPr>
          <w:rFonts w:hint="eastAsia" w:ascii="宋体"/>
          <w:color w:val="auto"/>
          <w:sz w:val="24"/>
          <w:highlight w:val="none"/>
        </w:rPr>
        <w:t>6、我单位提供如下通讯地址：</w:t>
      </w:r>
      <w:r>
        <w:rPr>
          <w:rFonts w:hint="eastAsia" w:ascii="宋体"/>
          <w:color w:val="auto"/>
          <w:sz w:val="24"/>
          <w:highlight w:val="none"/>
          <w:u w:val="single"/>
        </w:rPr>
        <w:t xml:space="preserve">                电子邮箱（地址）</w:t>
      </w:r>
      <w:r>
        <w:rPr>
          <w:rFonts w:hint="eastAsia" w:ascii="宋体"/>
          <w:color w:val="auto"/>
          <w:sz w:val="24"/>
          <w:highlight w:val="none"/>
        </w:rPr>
        <w:t>，确认本项目相关法律文书均通过提供的以上地址送达，相关文书只要发送至以上电子邮箱（地址）即视为送达，投标人愿意承担一切法律后果。</w:t>
      </w:r>
    </w:p>
    <w:p w14:paraId="265E8FF8">
      <w:pPr>
        <w:spacing w:line="440" w:lineRule="exact"/>
        <w:rPr>
          <w:rFonts w:hint="eastAsia" w:ascii="宋体"/>
          <w:color w:val="auto"/>
          <w:sz w:val="24"/>
          <w:highlight w:val="none"/>
        </w:rPr>
      </w:pPr>
      <w:r>
        <w:rPr>
          <w:rFonts w:hint="eastAsia" w:ascii="宋体"/>
          <w:color w:val="auto"/>
          <w:sz w:val="24"/>
          <w:highlight w:val="none"/>
        </w:rPr>
        <w:t> </w:t>
      </w:r>
    </w:p>
    <w:p w14:paraId="43FFD7FC">
      <w:pPr>
        <w:spacing w:line="440" w:lineRule="exact"/>
        <w:jc w:val="right"/>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（盖单位章）</w:t>
      </w:r>
    </w:p>
    <w:p w14:paraId="594FE5D9">
      <w:pPr>
        <w:spacing w:line="440" w:lineRule="exact"/>
        <w:jc w:val="right"/>
        <w:rPr>
          <w:rFonts w:hint="eastAsia" w:ascii="宋体"/>
          <w:color w:val="auto"/>
          <w:sz w:val="24"/>
          <w:highlight w:val="none"/>
        </w:rPr>
      </w:pPr>
      <w:r>
        <w:rPr>
          <w:rFonts w:hint="eastAsia" w:ascii="宋体"/>
          <w:color w:val="auto"/>
          <w:sz w:val="24"/>
          <w:highlight w:val="none"/>
        </w:rPr>
        <w:t>投标人法定代表人：</w:t>
      </w:r>
      <w:r>
        <w:rPr>
          <w:rFonts w:hint="eastAsia" w:ascii="宋体"/>
          <w:color w:val="auto"/>
          <w:sz w:val="24"/>
          <w:highlight w:val="none"/>
          <w:u w:val="single"/>
        </w:rPr>
        <w:t xml:space="preserve">                      </w:t>
      </w:r>
      <w:r>
        <w:rPr>
          <w:rFonts w:hint="eastAsia" w:ascii="宋体"/>
          <w:color w:val="auto"/>
          <w:sz w:val="24"/>
          <w:highlight w:val="none"/>
        </w:rPr>
        <w:t>（</w:t>
      </w:r>
      <w:r>
        <w:rPr>
          <w:rFonts w:hint="eastAsia" w:ascii="宋体"/>
          <w:color w:val="auto"/>
          <w:sz w:val="24"/>
          <w:highlight w:val="none"/>
          <w:lang w:val="en-US" w:eastAsia="zh-CN"/>
        </w:rPr>
        <w:t>签字或盖章</w:t>
      </w:r>
      <w:r>
        <w:rPr>
          <w:rFonts w:hint="eastAsia" w:ascii="宋体"/>
          <w:color w:val="auto"/>
          <w:sz w:val="24"/>
          <w:highlight w:val="none"/>
        </w:rPr>
        <w:t>）</w:t>
      </w:r>
    </w:p>
    <w:p w14:paraId="0BBFA6F9">
      <w:pPr>
        <w:spacing w:line="440" w:lineRule="exact"/>
        <w:ind w:firstLine="2520" w:firstLineChars="1050"/>
        <w:rPr>
          <w:rFonts w:hint="eastAsia" w:ascii="宋体"/>
          <w:color w:val="auto"/>
          <w:sz w:val="24"/>
          <w:highlight w:val="none"/>
        </w:rPr>
      </w:pPr>
      <w:r>
        <w:rPr>
          <w:rFonts w:hint="eastAsia" w:ascii="宋体"/>
          <w:color w:val="auto"/>
          <w:sz w:val="24"/>
          <w:highlight w:val="none"/>
        </w:rPr>
        <w:t>日    期：</w:t>
      </w:r>
      <w:r>
        <w:rPr>
          <w:rFonts w:hint="eastAsia" w:ascii="宋体"/>
          <w:color w:val="auto"/>
          <w:sz w:val="24"/>
          <w:highlight w:val="none"/>
          <w:u w:val="single"/>
        </w:rPr>
        <w:t xml:space="preserve">                 </w:t>
      </w:r>
    </w:p>
    <w:p w14:paraId="13B0E2BA">
      <w:pPr>
        <w:spacing w:line="440" w:lineRule="exact"/>
        <w:ind w:firstLine="2520" w:firstLineChars="1050"/>
        <w:rPr>
          <w:rFonts w:hint="eastAsia" w:ascii="宋体"/>
          <w:color w:val="auto"/>
          <w:sz w:val="24"/>
          <w:highlight w:val="none"/>
        </w:rPr>
      </w:pPr>
      <w:r>
        <w:rPr>
          <w:rFonts w:hint="eastAsia" w:ascii="宋体"/>
          <w:color w:val="auto"/>
          <w:sz w:val="24"/>
          <w:highlight w:val="none"/>
        </w:rPr>
        <w:t>通讯地址：</w:t>
      </w:r>
      <w:r>
        <w:rPr>
          <w:rFonts w:hint="eastAsia" w:ascii="宋体"/>
          <w:color w:val="auto"/>
          <w:sz w:val="24"/>
          <w:highlight w:val="none"/>
          <w:u w:val="single"/>
        </w:rPr>
        <w:t xml:space="preserve">                 </w:t>
      </w:r>
    </w:p>
    <w:p w14:paraId="6C989031">
      <w:pPr>
        <w:spacing w:line="440" w:lineRule="exact"/>
        <w:ind w:firstLine="2520" w:firstLineChars="1050"/>
        <w:rPr>
          <w:rFonts w:hint="eastAsia" w:ascii="宋体"/>
          <w:color w:val="auto"/>
          <w:sz w:val="24"/>
          <w:highlight w:val="none"/>
        </w:rPr>
      </w:pPr>
      <w:r>
        <w:rPr>
          <w:rFonts w:hint="eastAsia" w:ascii="宋体"/>
          <w:color w:val="auto"/>
          <w:sz w:val="24"/>
          <w:highlight w:val="none"/>
        </w:rPr>
        <w:t>电    话：</w:t>
      </w:r>
      <w:r>
        <w:rPr>
          <w:rFonts w:hint="eastAsia" w:ascii="宋体"/>
          <w:color w:val="auto"/>
          <w:sz w:val="24"/>
          <w:highlight w:val="none"/>
          <w:u w:val="single"/>
        </w:rPr>
        <w:t xml:space="preserve">                 </w:t>
      </w:r>
    </w:p>
    <w:p w14:paraId="772703FF">
      <w:pPr>
        <w:ind w:right="-178" w:rightChars="-85" w:firstLine="2520" w:firstLineChars="1050"/>
        <w:rPr>
          <w:rFonts w:hint="eastAsia" w:ascii="宋体"/>
          <w:color w:val="auto"/>
          <w:sz w:val="24"/>
          <w:highlight w:val="none"/>
          <w:u w:val="single"/>
        </w:rPr>
      </w:pPr>
      <w:r>
        <w:rPr>
          <w:rFonts w:hint="eastAsia" w:ascii="宋体"/>
          <w:color w:val="auto"/>
          <w:sz w:val="24"/>
          <w:highlight w:val="none"/>
        </w:rPr>
        <w:t>传    真：</w:t>
      </w:r>
      <w:r>
        <w:rPr>
          <w:rFonts w:hint="eastAsia" w:ascii="宋体"/>
          <w:color w:val="auto"/>
          <w:sz w:val="24"/>
          <w:highlight w:val="none"/>
          <w:u w:val="single"/>
        </w:rPr>
        <w:t xml:space="preserve">                 </w:t>
      </w:r>
    </w:p>
    <w:p w14:paraId="0288067A">
      <w:pPr>
        <w:spacing w:line="360" w:lineRule="exact"/>
        <w:rPr>
          <w:rFonts w:hint="eastAsia" w:ascii="宋体"/>
          <w:b/>
          <w:color w:val="auto"/>
          <w:sz w:val="28"/>
          <w:szCs w:val="28"/>
          <w:highlight w:val="none"/>
        </w:rPr>
      </w:pPr>
    </w:p>
    <w:p w14:paraId="135E20A2">
      <w:pPr>
        <w:spacing w:line="440" w:lineRule="exact"/>
        <w:jc w:val="center"/>
        <w:outlineLvl w:val="0"/>
        <w:rPr>
          <w:rFonts w:hint="eastAsia" w:ascii="宋体"/>
          <w:b/>
          <w:color w:val="auto"/>
          <w:sz w:val="32"/>
          <w:szCs w:val="32"/>
          <w:highlight w:val="none"/>
        </w:rPr>
      </w:pPr>
      <w:r>
        <w:rPr>
          <w:rFonts w:hint="eastAsia" w:ascii="宋体"/>
          <w:b/>
          <w:color w:val="auto"/>
          <w:sz w:val="32"/>
          <w:szCs w:val="32"/>
          <w:highlight w:val="none"/>
        </w:rPr>
        <w:br w:type="page"/>
      </w:r>
      <w:bookmarkEnd w:id="64"/>
      <w:bookmarkEnd w:id="65"/>
      <w:bookmarkStart w:id="203" w:name="_Toc58430333"/>
      <w:bookmarkStart w:id="204" w:name="_Toc449028957"/>
      <w:r>
        <w:rPr>
          <w:rFonts w:hint="eastAsia" w:ascii="宋体"/>
          <w:b/>
          <w:color w:val="auto"/>
          <w:sz w:val="32"/>
          <w:szCs w:val="32"/>
          <w:highlight w:val="none"/>
          <w:lang w:val="en-US" w:eastAsia="zh-CN"/>
        </w:rPr>
        <w:t>招标人</w:t>
      </w:r>
      <w:r>
        <w:rPr>
          <w:rFonts w:hint="eastAsia" w:ascii="宋体"/>
          <w:b/>
          <w:color w:val="auto"/>
          <w:sz w:val="32"/>
          <w:szCs w:val="32"/>
          <w:highlight w:val="none"/>
        </w:rPr>
        <w:t>、</w:t>
      </w:r>
      <w:r>
        <w:rPr>
          <w:rFonts w:hint="eastAsia" w:ascii="宋体"/>
          <w:b/>
          <w:color w:val="auto"/>
          <w:sz w:val="32"/>
          <w:szCs w:val="32"/>
          <w:highlight w:val="none"/>
          <w:lang w:val="en-US" w:eastAsia="zh-CN"/>
        </w:rPr>
        <w:t>招标</w:t>
      </w:r>
      <w:r>
        <w:rPr>
          <w:rFonts w:hint="eastAsia" w:ascii="宋体"/>
          <w:b/>
          <w:color w:val="auto"/>
          <w:sz w:val="32"/>
          <w:szCs w:val="32"/>
          <w:highlight w:val="none"/>
        </w:rPr>
        <w:t>代理机构对本招标文件的确认</w:t>
      </w:r>
      <w:bookmarkEnd w:id="203"/>
      <w:bookmarkEnd w:id="204"/>
    </w:p>
    <w:p w14:paraId="04E2E7F0">
      <w:pPr>
        <w:spacing w:line="440" w:lineRule="exact"/>
        <w:rPr>
          <w:rFonts w:hint="eastAsia" w:ascii="宋体"/>
          <w:color w:val="auto"/>
          <w:sz w:val="24"/>
          <w:highlight w:val="none"/>
          <w:u w:val="single"/>
        </w:rPr>
      </w:pPr>
    </w:p>
    <w:tbl>
      <w:tblPr>
        <w:tblStyle w:val="37"/>
        <w:tblW w:w="0" w:type="auto"/>
        <w:jc w:val="center"/>
        <w:tblLayout w:type="fixed"/>
        <w:tblCellMar>
          <w:top w:w="0" w:type="dxa"/>
          <w:left w:w="108" w:type="dxa"/>
          <w:bottom w:w="0" w:type="dxa"/>
          <w:right w:w="108" w:type="dxa"/>
        </w:tblCellMar>
      </w:tblPr>
      <w:tblGrid>
        <w:gridCol w:w="9374"/>
      </w:tblGrid>
      <w:tr w14:paraId="771D33CC">
        <w:tblPrEx>
          <w:tblCellMar>
            <w:top w:w="0" w:type="dxa"/>
            <w:left w:w="108" w:type="dxa"/>
            <w:bottom w:w="0" w:type="dxa"/>
            <w:right w:w="108" w:type="dxa"/>
          </w:tblCellMar>
        </w:tblPrEx>
        <w:trPr>
          <w:trHeight w:val="4493" w:hRule="atLeast"/>
          <w:jc w:val="center"/>
        </w:trPr>
        <w:tc>
          <w:tcPr>
            <w:tcW w:w="9374" w:type="dxa"/>
            <w:tcBorders>
              <w:top w:val="single" w:color="auto" w:sz="4" w:space="0"/>
              <w:left w:val="single" w:color="auto" w:sz="4" w:space="0"/>
              <w:bottom w:val="single" w:color="auto" w:sz="4" w:space="0"/>
              <w:right w:val="single" w:color="auto" w:sz="4" w:space="0"/>
            </w:tcBorders>
            <w:noWrap w:val="0"/>
            <w:vAlign w:val="top"/>
          </w:tcPr>
          <w:p w14:paraId="5A493853">
            <w:pPr>
              <w:spacing w:line="440" w:lineRule="exact"/>
              <w:ind w:firstLine="560" w:firstLineChars="200"/>
              <w:rPr>
                <w:rFonts w:hint="eastAsia" w:ascii="宋体" w:cs="宋体"/>
                <w:color w:val="auto"/>
                <w:sz w:val="28"/>
                <w:szCs w:val="28"/>
                <w:highlight w:val="none"/>
              </w:rPr>
            </w:pPr>
          </w:p>
          <w:p w14:paraId="0A2F0462">
            <w:pPr>
              <w:spacing w:line="360" w:lineRule="auto"/>
              <w:ind w:firstLine="560" w:firstLineChars="200"/>
              <w:rPr>
                <w:rFonts w:hint="eastAsia" w:ascii="宋体" w:hAnsi="宋体" w:cs="宋体"/>
                <w:color w:val="auto"/>
                <w:sz w:val="28"/>
                <w:szCs w:val="28"/>
                <w:highlight w:val="none"/>
              </w:rPr>
            </w:pPr>
            <w:r>
              <w:rPr>
                <w:rFonts w:hint="eastAsia" w:ascii="宋体" w:cs="宋体"/>
                <w:color w:val="auto"/>
                <w:sz w:val="28"/>
                <w:szCs w:val="28"/>
                <w:highlight w:val="none"/>
              </w:rPr>
              <w:t>我单位对</w:t>
            </w:r>
            <w:r>
              <w:rPr>
                <w:rFonts w:hint="eastAsia" w:ascii="宋体" w:cs="宋体"/>
                <w:color w:val="auto"/>
                <w:sz w:val="28"/>
                <w:szCs w:val="28"/>
                <w:highlight w:val="none"/>
                <w:u w:val="single"/>
                <w:lang w:val="en-US" w:eastAsia="zh-CN"/>
              </w:rPr>
              <w:t>滁州市扬子工业投资集团有限公司参股企业审计服务项目</w:t>
            </w:r>
            <w:r>
              <w:rPr>
                <w:rFonts w:hint="eastAsia" w:ascii="宋体" w:cs="宋体"/>
                <w:color w:val="auto"/>
                <w:sz w:val="28"/>
                <w:szCs w:val="28"/>
                <w:highlight w:val="none"/>
              </w:rPr>
              <w:t>的招标文件进行确认。</w:t>
            </w:r>
          </w:p>
          <w:p w14:paraId="208C4681">
            <w:pPr>
              <w:spacing w:line="360" w:lineRule="auto"/>
              <w:ind w:firstLine="560" w:firstLineChars="200"/>
              <w:rPr>
                <w:rFonts w:hint="eastAsia" w:ascii="宋体" w:hAnsi="宋体" w:cs="宋体"/>
                <w:color w:val="auto"/>
                <w:sz w:val="28"/>
                <w:szCs w:val="28"/>
                <w:highlight w:val="none"/>
              </w:rPr>
            </w:pPr>
            <w:r>
              <w:rPr>
                <w:rFonts w:hint="eastAsia" w:ascii="宋体" w:hAnsi="宋体" w:cs="宋体"/>
                <w:color w:val="auto"/>
                <w:sz w:val="28"/>
                <w:szCs w:val="28"/>
                <w:highlight w:val="none"/>
              </w:rPr>
              <w:t>招标单位：</w:t>
            </w:r>
            <w:r>
              <w:rPr>
                <w:rFonts w:hint="eastAsia" w:ascii="宋体" w:hAnsi="宋体" w:cs="宋体"/>
                <w:color w:val="auto"/>
                <w:sz w:val="28"/>
                <w:szCs w:val="28"/>
                <w:highlight w:val="none"/>
                <w:lang w:eastAsia="zh-CN"/>
              </w:rPr>
              <w:t>滁州市扬子工业投资集团有限公司</w:t>
            </w:r>
          </w:p>
          <w:p w14:paraId="33D21314">
            <w:pPr>
              <w:spacing w:line="360" w:lineRule="auto"/>
              <w:ind w:firstLine="560" w:firstLineChars="200"/>
              <w:rPr>
                <w:rFonts w:hint="default" w:ascii="宋体" w:hAnsi="宋体" w:eastAsia="宋体" w:cs="宋体"/>
                <w:color w:val="auto"/>
                <w:sz w:val="28"/>
                <w:szCs w:val="28"/>
                <w:highlight w:val="none"/>
                <w:lang w:val="en-US" w:eastAsia="zh-CN"/>
              </w:rPr>
            </w:pPr>
            <w:r>
              <w:rPr>
                <w:rFonts w:hint="eastAsia" w:ascii="宋体" w:hAnsi="宋体" w:cs="宋体"/>
                <w:color w:val="auto"/>
                <w:sz w:val="28"/>
                <w:szCs w:val="28"/>
                <w:highlight w:val="none"/>
              </w:rPr>
              <w:t>委托代理人：</w:t>
            </w:r>
            <w:r>
              <w:rPr>
                <w:rFonts w:hint="eastAsia" w:ascii="宋体" w:hAnsi="宋体" w:cs="宋体"/>
                <w:color w:val="auto"/>
                <w:sz w:val="28"/>
                <w:szCs w:val="28"/>
                <w:highlight w:val="none"/>
                <w:lang w:val="en-US" w:eastAsia="zh-CN"/>
              </w:rPr>
              <w:t>徐川</w:t>
            </w:r>
          </w:p>
          <w:p w14:paraId="6A4C4EC9">
            <w:pPr>
              <w:spacing w:line="360" w:lineRule="auto"/>
              <w:ind w:firstLine="560" w:firstLineChars="200"/>
              <w:rPr>
                <w:rFonts w:hint="default" w:ascii="宋体" w:hAnsi="宋体" w:eastAsia="宋体" w:cs="宋体"/>
                <w:color w:val="auto"/>
                <w:sz w:val="28"/>
                <w:szCs w:val="28"/>
                <w:highlight w:val="none"/>
                <w:lang w:val="en-US" w:eastAsia="zh-CN"/>
              </w:rPr>
            </w:pPr>
            <w:r>
              <w:rPr>
                <w:rFonts w:hint="eastAsia" w:ascii="宋体" w:hAnsi="宋体" w:cs="宋体"/>
                <w:color w:val="auto"/>
                <w:sz w:val="28"/>
                <w:szCs w:val="28"/>
                <w:highlight w:val="none"/>
              </w:rPr>
              <w:t>联系电话：</w:t>
            </w:r>
            <w:r>
              <w:rPr>
                <w:rFonts w:hint="eastAsia" w:ascii="宋体" w:hAnsi="宋体" w:cs="宋体"/>
                <w:color w:val="auto"/>
                <w:sz w:val="28"/>
                <w:szCs w:val="28"/>
                <w:highlight w:val="none"/>
                <w:lang w:val="en-US" w:eastAsia="zh-CN"/>
              </w:rPr>
              <w:t>0550-3018129</w:t>
            </w:r>
          </w:p>
          <w:p w14:paraId="0980A568">
            <w:pPr>
              <w:spacing w:line="540" w:lineRule="exact"/>
              <w:ind w:firstLine="560" w:firstLineChars="200"/>
              <w:jc w:val="left"/>
              <w:rPr>
                <w:rFonts w:hint="default" w:ascii="宋体" w:eastAsia="宋体" w:cs="宋体"/>
                <w:color w:val="auto"/>
                <w:sz w:val="28"/>
                <w:szCs w:val="28"/>
                <w:highlight w:val="none"/>
                <w:lang w:val="en-US" w:eastAsia="zh-CN"/>
              </w:rPr>
            </w:pPr>
            <w:r>
              <w:rPr>
                <w:rFonts w:hint="eastAsia" w:ascii="宋体" w:cs="宋体"/>
                <w:color w:val="auto"/>
                <w:sz w:val="28"/>
                <w:szCs w:val="28"/>
                <w:highlight w:val="none"/>
                <w:lang w:val="en-US" w:eastAsia="zh-CN"/>
              </w:rPr>
              <w:t>监督电话：0550-3017855</w:t>
            </w:r>
          </w:p>
          <w:p w14:paraId="03AC67FC">
            <w:pPr>
              <w:spacing w:line="540" w:lineRule="exact"/>
              <w:jc w:val="right"/>
              <w:rPr>
                <w:rFonts w:hint="eastAsia" w:ascii="宋体" w:cs="宋体"/>
                <w:color w:val="auto"/>
                <w:sz w:val="28"/>
                <w:szCs w:val="28"/>
                <w:highlight w:val="none"/>
              </w:rPr>
            </w:pPr>
            <w:r>
              <w:rPr>
                <w:rFonts w:hint="eastAsia" w:ascii="宋体" w:cs="宋体"/>
                <w:color w:val="auto"/>
                <w:sz w:val="28"/>
                <w:szCs w:val="28"/>
                <w:highlight w:val="none"/>
              </w:rPr>
              <w:t>（盖单位章）</w:t>
            </w:r>
          </w:p>
          <w:p w14:paraId="1A1E50CE">
            <w:pPr>
              <w:spacing w:line="540" w:lineRule="exact"/>
              <w:jc w:val="right"/>
              <w:rPr>
                <w:rFonts w:hint="eastAsia" w:ascii="宋体" w:cs="宋体"/>
                <w:color w:val="auto"/>
                <w:sz w:val="28"/>
                <w:szCs w:val="28"/>
                <w:highlight w:val="none"/>
              </w:rPr>
            </w:pPr>
            <w:r>
              <w:rPr>
                <w:rFonts w:hint="eastAsia" w:ascii="宋体" w:cs="宋体"/>
                <w:color w:val="auto"/>
                <w:sz w:val="28"/>
                <w:szCs w:val="28"/>
                <w:highlight w:val="none"/>
              </w:rPr>
              <w:t>202</w:t>
            </w:r>
            <w:r>
              <w:rPr>
                <w:rFonts w:hint="eastAsia" w:ascii="宋体" w:cs="宋体"/>
                <w:color w:val="auto"/>
                <w:sz w:val="28"/>
                <w:szCs w:val="28"/>
                <w:highlight w:val="none"/>
                <w:lang w:val="en-US" w:eastAsia="zh-CN"/>
              </w:rPr>
              <w:t>5</w:t>
            </w:r>
            <w:r>
              <w:rPr>
                <w:rFonts w:hint="eastAsia" w:ascii="宋体" w:cs="宋体"/>
                <w:color w:val="auto"/>
                <w:sz w:val="28"/>
                <w:szCs w:val="28"/>
                <w:highlight w:val="none"/>
              </w:rPr>
              <w:t>年</w:t>
            </w:r>
            <w:r>
              <w:rPr>
                <w:rFonts w:hint="eastAsia" w:ascii="宋体" w:cs="宋体"/>
                <w:color w:val="auto"/>
                <w:sz w:val="28"/>
                <w:szCs w:val="28"/>
                <w:highlight w:val="none"/>
                <w:lang w:val="en-US" w:eastAsia="zh-CN"/>
              </w:rPr>
              <w:t>5</w:t>
            </w:r>
            <w:r>
              <w:rPr>
                <w:rFonts w:hint="eastAsia" w:ascii="宋体" w:cs="宋体"/>
                <w:color w:val="auto"/>
                <w:sz w:val="28"/>
                <w:szCs w:val="28"/>
                <w:highlight w:val="none"/>
              </w:rPr>
              <w:t>月</w:t>
            </w:r>
          </w:p>
        </w:tc>
      </w:tr>
      <w:tr w14:paraId="43268E00">
        <w:tblPrEx>
          <w:tblCellMar>
            <w:top w:w="0" w:type="dxa"/>
            <w:left w:w="108" w:type="dxa"/>
            <w:bottom w:w="0" w:type="dxa"/>
            <w:right w:w="108" w:type="dxa"/>
          </w:tblCellMar>
        </w:tblPrEx>
        <w:trPr>
          <w:trHeight w:val="5310" w:hRule="atLeast"/>
          <w:jc w:val="center"/>
        </w:trPr>
        <w:tc>
          <w:tcPr>
            <w:tcW w:w="9374" w:type="dxa"/>
            <w:tcBorders>
              <w:top w:val="single" w:color="auto" w:sz="4" w:space="0"/>
              <w:left w:val="single" w:color="auto" w:sz="4" w:space="0"/>
              <w:bottom w:val="single" w:color="auto" w:sz="4" w:space="0"/>
              <w:right w:val="single" w:color="auto" w:sz="4" w:space="0"/>
            </w:tcBorders>
            <w:noWrap w:val="0"/>
            <w:vAlign w:val="top"/>
          </w:tcPr>
          <w:p w14:paraId="26CEC725">
            <w:pPr>
              <w:spacing w:line="440" w:lineRule="exact"/>
              <w:rPr>
                <w:rFonts w:hint="eastAsia" w:ascii="宋体" w:cs="宋体"/>
                <w:color w:val="auto"/>
                <w:sz w:val="28"/>
                <w:szCs w:val="28"/>
                <w:highlight w:val="none"/>
              </w:rPr>
            </w:pPr>
          </w:p>
          <w:p w14:paraId="73FF673E">
            <w:pPr>
              <w:spacing w:line="520" w:lineRule="exact"/>
              <w:ind w:firstLine="560" w:firstLineChars="200"/>
              <w:rPr>
                <w:rFonts w:hint="eastAsia" w:ascii="宋体" w:eastAsia="宋体" w:cs="宋体"/>
                <w:color w:val="auto"/>
                <w:sz w:val="28"/>
                <w:szCs w:val="28"/>
                <w:highlight w:val="none"/>
                <w:lang w:eastAsia="zh-CN"/>
              </w:rPr>
            </w:pPr>
            <w:r>
              <w:rPr>
                <w:rFonts w:hint="eastAsia" w:ascii="宋体" w:cs="宋体"/>
                <w:color w:val="auto"/>
                <w:sz w:val="28"/>
                <w:szCs w:val="28"/>
                <w:highlight w:val="none"/>
              </w:rPr>
              <w:t>招标代理机构：</w:t>
            </w:r>
            <w:r>
              <w:rPr>
                <w:rFonts w:hint="eastAsia" w:ascii="宋体" w:cs="宋体"/>
                <w:color w:val="auto"/>
                <w:sz w:val="28"/>
                <w:szCs w:val="28"/>
                <w:highlight w:val="none"/>
                <w:lang w:eastAsia="zh-CN"/>
              </w:rPr>
              <w:t>滁州市城投工程咨询管理有限公司</w:t>
            </w:r>
          </w:p>
          <w:p w14:paraId="0C8823D3">
            <w:pPr>
              <w:spacing w:line="520" w:lineRule="exact"/>
              <w:ind w:firstLine="560" w:firstLineChars="200"/>
              <w:rPr>
                <w:rFonts w:ascii="宋体" w:cs="宋体"/>
                <w:color w:val="auto"/>
                <w:sz w:val="28"/>
                <w:szCs w:val="28"/>
                <w:highlight w:val="none"/>
              </w:rPr>
            </w:pPr>
            <w:r>
              <w:rPr>
                <w:rFonts w:hint="eastAsia" w:ascii="宋体" w:cs="宋体"/>
                <w:color w:val="auto"/>
                <w:sz w:val="28"/>
                <w:szCs w:val="28"/>
                <w:highlight w:val="none"/>
              </w:rPr>
              <w:t>经办人：杨韦</w:t>
            </w:r>
          </w:p>
          <w:p w14:paraId="138485FE">
            <w:pPr>
              <w:spacing w:line="520" w:lineRule="exact"/>
              <w:ind w:firstLine="560" w:firstLineChars="200"/>
              <w:rPr>
                <w:rFonts w:ascii="宋体" w:cs="宋体"/>
                <w:color w:val="auto"/>
                <w:sz w:val="28"/>
                <w:szCs w:val="28"/>
                <w:highlight w:val="none"/>
              </w:rPr>
            </w:pPr>
            <w:r>
              <w:rPr>
                <w:rFonts w:hint="eastAsia" w:ascii="宋体" w:cs="宋体"/>
                <w:color w:val="auto"/>
                <w:sz w:val="28"/>
                <w:szCs w:val="28"/>
                <w:highlight w:val="none"/>
              </w:rPr>
              <w:t>电  话：0550-3519590、18005501210</w:t>
            </w:r>
          </w:p>
          <w:p w14:paraId="1BA16D76">
            <w:pPr>
              <w:spacing w:line="520" w:lineRule="exact"/>
              <w:ind w:firstLine="6300" w:firstLineChars="2250"/>
              <w:rPr>
                <w:rFonts w:hint="eastAsia" w:ascii="宋体" w:cs="宋体"/>
                <w:color w:val="auto"/>
                <w:sz w:val="28"/>
                <w:szCs w:val="28"/>
                <w:highlight w:val="none"/>
              </w:rPr>
            </w:pPr>
          </w:p>
          <w:p w14:paraId="59B20341">
            <w:pPr>
              <w:pStyle w:val="36"/>
              <w:rPr>
                <w:rFonts w:hint="eastAsia"/>
                <w:color w:val="auto"/>
                <w:highlight w:val="none"/>
              </w:rPr>
            </w:pPr>
          </w:p>
          <w:p w14:paraId="3D6B0BBC">
            <w:pPr>
              <w:spacing w:line="520" w:lineRule="exact"/>
              <w:ind w:firstLine="6580" w:firstLineChars="2350"/>
              <w:rPr>
                <w:rFonts w:hint="eastAsia" w:ascii="宋体" w:cs="宋体"/>
                <w:color w:val="auto"/>
                <w:sz w:val="28"/>
                <w:szCs w:val="28"/>
                <w:highlight w:val="none"/>
              </w:rPr>
            </w:pPr>
          </w:p>
          <w:p w14:paraId="4EDBD045">
            <w:pPr>
              <w:spacing w:line="520" w:lineRule="exact"/>
              <w:jc w:val="right"/>
              <w:rPr>
                <w:rFonts w:hint="eastAsia" w:ascii="宋体" w:cs="宋体"/>
                <w:color w:val="auto"/>
                <w:sz w:val="28"/>
                <w:szCs w:val="28"/>
                <w:highlight w:val="none"/>
              </w:rPr>
            </w:pPr>
            <w:r>
              <w:rPr>
                <w:rFonts w:hint="eastAsia" w:ascii="宋体" w:cs="宋体"/>
                <w:color w:val="auto"/>
                <w:sz w:val="28"/>
                <w:szCs w:val="28"/>
                <w:highlight w:val="none"/>
              </w:rPr>
              <w:t>（盖单位章）</w:t>
            </w:r>
          </w:p>
          <w:p w14:paraId="1DD4D9EE">
            <w:pPr>
              <w:spacing w:line="540" w:lineRule="exact"/>
              <w:jc w:val="right"/>
              <w:rPr>
                <w:rFonts w:hint="eastAsia" w:ascii="宋体" w:cs="宋体"/>
                <w:color w:val="auto"/>
                <w:sz w:val="28"/>
                <w:szCs w:val="28"/>
                <w:highlight w:val="none"/>
              </w:rPr>
            </w:pPr>
            <w:r>
              <w:rPr>
                <w:rFonts w:hint="eastAsia" w:ascii="宋体" w:cs="宋体"/>
                <w:color w:val="auto"/>
                <w:sz w:val="28"/>
                <w:szCs w:val="28"/>
                <w:highlight w:val="none"/>
              </w:rPr>
              <w:t>202</w:t>
            </w:r>
            <w:r>
              <w:rPr>
                <w:rFonts w:hint="eastAsia" w:ascii="宋体" w:cs="宋体"/>
                <w:color w:val="auto"/>
                <w:sz w:val="28"/>
                <w:szCs w:val="28"/>
                <w:highlight w:val="none"/>
                <w:lang w:val="en-US" w:eastAsia="zh-CN"/>
              </w:rPr>
              <w:t>5</w:t>
            </w:r>
            <w:r>
              <w:rPr>
                <w:rFonts w:hint="eastAsia" w:ascii="宋体" w:cs="宋体"/>
                <w:color w:val="auto"/>
                <w:sz w:val="28"/>
                <w:szCs w:val="28"/>
                <w:highlight w:val="none"/>
              </w:rPr>
              <w:t>年</w:t>
            </w:r>
            <w:r>
              <w:rPr>
                <w:rFonts w:hint="eastAsia" w:ascii="宋体" w:cs="宋体"/>
                <w:color w:val="auto"/>
                <w:sz w:val="28"/>
                <w:szCs w:val="28"/>
                <w:highlight w:val="none"/>
                <w:lang w:val="en-US" w:eastAsia="zh-CN"/>
              </w:rPr>
              <w:t>5</w:t>
            </w:r>
            <w:r>
              <w:rPr>
                <w:rFonts w:hint="eastAsia" w:ascii="宋体" w:cs="宋体"/>
                <w:color w:val="auto"/>
                <w:sz w:val="28"/>
                <w:szCs w:val="28"/>
                <w:highlight w:val="none"/>
              </w:rPr>
              <w:t>月</w:t>
            </w:r>
          </w:p>
        </w:tc>
      </w:tr>
      <w:bookmarkEnd w:id="0"/>
    </w:tbl>
    <w:p w14:paraId="06F58E31">
      <w:pPr>
        <w:rPr>
          <w:color w:val="auto"/>
          <w:highlight w:val="none"/>
        </w:rPr>
      </w:pPr>
    </w:p>
    <w:sectPr>
      <w:headerReference r:id="rId11" w:type="default"/>
      <w:footerReference r:id="rId12" w:type="default"/>
      <w:pgSz w:w="11906" w:h="16838"/>
      <w:pgMar w:top="1440" w:right="1800" w:bottom="1440" w:left="16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2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DokChampa">
    <w:altName w:val="Leelawadee UI"/>
    <w:panose1 w:val="020B0604020202020204"/>
    <w:charset w:val="00"/>
    <w:family w:val="swiss"/>
    <w:pitch w:val="default"/>
    <w:sig w:usb0="00000000" w:usb1="00000000" w:usb2="00000000" w:usb3="00000000" w:csb0="40010001" w:csb1="00000000"/>
  </w:font>
  <w:font w:name="Leelawadee UI">
    <w:panose1 w:val="020B0502040204020203"/>
    <w:charset w:val="00"/>
    <w:family w:val="auto"/>
    <w:pitch w:val="default"/>
    <w:sig w:usb0="83000003" w:usb1="00000000" w:usb2="00010000" w:usb3="00000001" w:csb0="000101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Times">
    <w:altName w:val="Times New Roman"/>
    <w:panose1 w:val="02020603050405020304"/>
    <w:charset w:val="00"/>
    <w:family w:val="roman"/>
    <w:pitch w:val="default"/>
    <w:sig w:usb0="00000000" w:usb1="00000000" w:usb2="00000009" w:usb3="00000000" w:csb0="000001FF" w:csb1="00000000"/>
  </w:font>
  <w:font w:name="宋体-18030">
    <w:altName w:val="宋体"/>
    <w:panose1 w:val="02010609060101010101"/>
    <w:charset w:val="86"/>
    <w:family w:val="modern"/>
    <w:pitch w:val="default"/>
    <w:sig w:usb0="00000000" w:usb1="00000000" w:usb2="000A005E"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082A13">
    <w:pPr>
      <w:pStyle w:val="25"/>
      <w:tabs>
        <w:tab w:val="clear" w:pos="4153"/>
        <w:tab w:val="clear" w:pos="8306"/>
      </w:tabs>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415838">
    <w:pPr>
      <w:pStyle w:val="25"/>
      <w:framePr w:wrap="around" w:vAnchor="text" w:hAnchor="margin" w:xAlign="center" w:y="1"/>
      <w:tabs>
        <w:tab w:val="clear" w:pos="4153"/>
        <w:tab w:val="clear" w:pos="8306"/>
      </w:tabs>
      <w:rPr>
        <w:rStyle w:val="41"/>
      </w:rPr>
    </w:pPr>
    <w:r>
      <w:fldChar w:fldCharType="begin"/>
    </w:r>
    <w:r>
      <w:rPr>
        <w:rStyle w:val="41"/>
      </w:rPr>
      <w:instrText xml:space="preserve">PAGE  </w:instrText>
    </w:r>
    <w:r>
      <w:fldChar w:fldCharType="separate"/>
    </w:r>
    <w:r>
      <w:t xml:space="preserve"> </w:t>
    </w:r>
    <w:r>
      <w:fldChar w:fldCharType="end"/>
    </w:r>
  </w:p>
  <w:p w14:paraId="4909F532">
    <w:pPr>
      <w:pStyle w:val="25"/>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D47B6C">
    <w:pPr>
      <w:pStyle w:val="25"/>
      <w:framePr w:wrap="around" w:vAnchor="text" w:hAnchor="margin" w:xAlign="center" w:y="1"/>
      <w:tabs>
        <w:tab w:val="clear" w:pos="4153"/>
        <w:tab w:val="clear" w:pos="8306"/>
      </w:tabs>
      <w:rPr>
        <w:rStyle w:val="41"/>
        <w:rFonts w:hint="eastAsia"/>
      </w:rPr>
    </w:pPr>
  </w:p>
  <w:p w14:paraId="6C40E2D4">
    <w:pPr>
      <w:pStyle w:val="25"/>
      <w:tabs>
        <w:tab w:val="clear" w:pos="4153"/>
        <w:tab w:val="clear" w:pos="8306"/>
      </w:tabs>
      <w:rPr>
        <w:rFonts w:hint="eastAsia"/>
        <w:szCs w:val="21"/>
      </w:rPr>
    </w:pPr>
  </w:p>
  <w:p w14:paraId="63FD2CFC">
    <w:pPr>
      <w:pStyle w:val="25"/>
      <w:tabs>
        <w:tab w:val="clear" w:pos="4153"/>
        <w:tab w:val="clear" w:pos="8306"/>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725200">
    <w:pPr>
      <w:pStyle w:val="25"/>
      <w:tabs>
        <w:tab w:val="clear" w:pos="4153"/>
        <w:tab w:val="clear" w:pos="8306"/>
      </w:tabs>
      <w:jc w:val="center"/>
      <w:rPr>
        <w:rFonts w:hint="eastAsia"/>
      </w:rPr>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230D0FB6">
                          <w:pPr>
                            <w:pStyle w:val="25"/>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4"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&#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AZKvhZ0QEAAKMDAAAOAAAAAAAAAAEAIAAAACIB&#10;AABkcnMvZTJvRG9jLnhtbFBLBQYAAAAABgAGAFkBAABlBQAAAAA=&#10;">
              <v:fill on="f" focussize="0,0"/>
              <v:stroke on="f" weight="1.25pt"/>
              <v:imagedata o:title=""/>
              <o:lock v:ext="edit" aspectratio="f"/>
              <v:textbox inset="0mm,0mm,0mm,0mm" style="mso-fit-shape-to-text:t;">
                <w:txbxContent>
                  <w:p w14:paraId="230D0FB6">
                    <w:pPr>
                      <w:pStyle w:val="2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5F890">
    <w:pPr>
      <w:pStyle w:val="25"/>
      <w:tabs>
        <w:tab w:val="clear" w:pos="4153"/>
        <w:tab w:val="clear" w:pos="8306"/>
      </w:tabs>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34B525F8">
                          <w:pPr>
                            <w:pStyle w:val="25"/>
                          </w:pPr>
                          <w:r>
                            <w:fldChar w:fldCharType="begin"/>
                          </w:r>
                          <w:r>
                            <w:instrText xml:space="preserve"> PAGE  \* MERGEFORMAT </w:instrText>
                          </w:r>
                          <w:r>
                            <w:fldChar w:fldCharType="separate"/>
                          </w:r>
                          <w:r>
                            <w:t>25</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14:paraId="34B525F8">
                    <w:pPr>
                      <w:pStyle w:val="25"/>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CC387">
    <w:pPr>
      <w:pStyle w:val="25"/>
      <w:tabs>
        <w:tab w:val="clear" w:pos="4153"/>
        <w:tab w:val="clear" w:pos="8306"/>
      </w:tabs>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119271FC">
                          <w:pPr>
                            <w:pStyle w:val="25"/>
                          </w:pPr>
                          <w:r>
                            <w:fldChar w:fldCharType="begin"/>
                          </w:r>
                          <w:r>
                            <w:instrText xml:space="preserve"> PAGE  \* MERGEFORMAT </w:instrText>
                          </w:r>
                          <w:r>
                            <w:fldChar w:fldCharType="separate"/>
                          </w:r>
                          <w:r>
                            <w:t>25</w:t>
                          </w:r>
                          <w:r>
                            <w:fldChar w:fldCharType="end"/>
                          </w: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&#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qFnQQdIBAACjAwAADgAAAAAAAAABACAAAAAi&#10;AQAAZHJzL2Uyb0RvYy54bWxQSwUGAAAAAAYABgBZAQAAZgUAAAAA&#10;">
              <v:fill on="f" focussize="0,0"/>
              <v:stroke on="f" weight="1.25pt"/>
              <v:imagedata o:title=""/>
              <o:lock v:ext="edit" aspectratio="f"/>
              <v:textbox inset="0mm,0mm,0mm,0mm" style="mso-fit-shape-to-text:t;">
                <w:txbxContent>
                  <w:p w14:paraId="119271FC">
                    <w:pPr>
                      <w:pStyle w:val="25"/>
                    </w:pPr>
                    <w:r>
                      <w:fldChar w:fldCharType="begin"/>
                    </w:r>
                    <w:r>
                      <w:instrText xml:space="preserve"> PAGE  \* MERGEFORMAT </w:instrText>
                    </w:r>
                    <w:r>
                      <w:fldChar w:fldCharType="separate"/>
                    </w:r>
                    <w:r>
                      <w:t>25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0FAA44">
    <w:pPr>
      <w:pStyle w:val="26"/>
      <w:pBdr>
        <w:bottom w:val="none" w:color="auto" w:sz="0" w:space="0"/>
      </w:pBdr>
      <w:tabs>
        <w:tab w:val="clear" w:pos="4153"/>
        <w:tab w:val="clear"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0AF5A1">
    <w:pPr>
      <w:pStyle w:val="2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E68540">
    <w:pPr>
      <w:pStyle w:val="26"/>
      <w:pBdr>
        <w:bottom w:val="none" w:color="auto" w:sz="0" w:space="0"/>
      </w:pBdr>
      <w:tabs>
        <w:tab w:val="clear" w:pos="4153"/>
        <w:tab w:val="clear" w:pos="8306"/>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386362">
    <w:pPr>
      <w:pStyle w:val="26"/>
      <w:pBdr>
        <w:bottom w:val="none" w:color="auto"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8E8E43"/>
    <w:multiLevelType w:val="singleLevel"/>
    <w:tmpl w:val="868E8E43"/>
    <w:lvl w:ilvl="0" w:tentative="0">
      <w:start w:val="11"/>
      <w:numFmt w:val="decimal"/>
      <w:suff w:val="space"/>
      <w:lvlText w:val="%1."/>
      <w:lvlJc w:val="left"/>
    </w:lvl>
  </w:abstractNum>
  <w:abstractNum w:abstractNumId="1">
    <w:nsid w:val="00000019"/>
    <w:multiLevelType w:val="multilevel"/>
    <w:tmpl w:val="00000019"/>
    <w:lvl w:ilvl="0" w:tentative="0">
      <w:start w:val="1"/>
      <w:numFmt w:val="chineseCountingThousand"/>
      <w:pStyle w:val="119"/>
      <w:suff w:val="space"/>
      <w:lvlText w:val="%1、"/>
      <w:lvlJc w:val="left"/>
      <w:pPr>
        <w:ind w:left="425" w:hanging="425"/>
      </w:pPr>
      <w:rPr>
        <w:rFonts w:hint="eastAsia"/>
      </w:rPr>
    </w:lvl>
    <w:lvl w:ilvl="1" w:tentative="0">
      <w:start w:val="1"/>
      <w:numFmt w:val="decimal"/>
      <w:lvlRestart w:val="0"/>
      <w:suff w:val="space"/>
      <w:lvlText w:val="%2、"/>
      <w:lvlJc w:val="left"/>
      <w:pPr>
        <w:ind w:left="454" w:hanging="454"/>
      </w:pPr>
      <w:rPr>
        <w:rFonts w:hint="eastAsia"/>
      </w:rPr>
    </w:lvl>
    <w:lvl w:ilvl="2" w:tentative="0">
      <w:start w:val="1"/>
      <w:numFmt w:val="decimal"/>
      <w:lvlRestart w:val="0"/>
      <w:suff w:val="space"/>
      <w:lvlText w:val="%2.%3"/>
      <w:lvlJc w:val="left"/>
      <w:pPr>
        <w:ind w:left="454" w:hanging="454"/>
      </w:pPr>
      <w:rPr>
        <w:rFonts w:hint="default" w:ascii="Cambria" w:hAnsi="Cambria"/>
      </w:rPr>
    </w:lvl>
    <w:lvl w:ilvl="3" w:tentative="0">
      <w:start w:val="1"/>
      <w:numFmt w:val="decimal"/>
      <w:lvlText w:val="%2.%3.%4"/>
      <w:lvlJc w:val="left"/>
      <w:pPr>
        <w:ind w:left="454" w:hanging="454"/>
      </w:pPr>
      <w:rPr>
        <w:rFonts w:hint="eastAsia"/>
      </w:rPr>
    </w:lvl>
    <w:lvl w:ilvl="4" w:tentative="0">
      <w:start w:val="1"/>
      <w:numFmt w:val="decimal"/>
      <w:lvlText w:val="%2.%3.%4.%5"/>
      <w:lvlJc w:val="left"/>
      <w:pPr>
        <w:ind w:left="454" w:hanging="454"/>
      </w:pPr>
      <w:rPr>
        <w:rFonts w:hint="eastAsia"/>
      </w:rPr>
    </w:lvl>
    <w:lvl w:ilvl="5" w:tentative="0">
      <w:start w:val="1"/>
      <w:numFmt w:val="decimal"/>
      <w:lvlText w:val="%1.%2.%3.%4.%5.%6"/>
      <w:lvlJc w:val="left"/>
      <w:pPr>
        <w:ind w:left="2550" w:hanging="425"/>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abstractNum w:abstractNumId="2">
    <w:nsid w:val="18995355"/>
    <w:multiLevelType w:val="multilevel"/>
    <w:tmpl w:val="18995355"/>
    <w:lvl w:ilvl="0" w:tentative="0">
      <w:start w:val="1"/>
      <w:numFmt w:val="decimal"/>
      <w:pStyle w:val="104"/>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2323379E"/>
    <w:multiLevelType w:val="multilevel"/>
    <w:tmpl w:val="2323379E"/>
    <w:lvl w:ilvl="0" w:tentative="0">
      <w:start w:val="1"/>
      <w:numFmt w:val="chineseCountingThousand"/>
      <w:pStyle w:val="34"/>
      <w:lvlText w:val="%1、"/>
      <w:lvlJc w:val="left"/>
      <w:pPr>
        <w:ind w:left="420" w:hanging="42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6857717"/>
    <w:multiLevelType w:val="multilevel"/>
    <w:tmpl w:val="26857717"/>
    <w:lvl w:ilvl="0" w:tentative="0">
      <w:start w:val="1"/>
      <w:numFmt w:val="chineseCountingThousand"/>
      <w:pStyle w:val="102"/>
      <w:lvlText w:val="%1、"/>
      <w:lvlJc w:val="left"/>
      <w:pPr>
        <w:tabs>
          <w:tab w:val="left" w:pos="425"/>
        </w:tabs>
        <w:ind w:left="425" w:hanging="425"/>
      </w:pPr>
      <w:rPr>
        <w:rFonts w:hint="eastAsia" w:cs="Times New Roman"/>
      </w:rPr>
    </w:lvl>
    <w:lvl w:ilvl="1" w:tentative="0">
      <w:start w:val="1"/>
      <w:numFmt w:val="decimal"/>
      <w:isLgl/>
      <w:lvlText w:val="%1.%2"/>
      <w:lvlJc w:val="left"/>
      <w:pPr>
        <w:tabs>
          <w:tab w:val="left" w:pos="567"/>
        </w:tabs>
        <w:ind w:left="567" w:hanging="567"/>
      </w:pPr>
      <w:rPr>
        <w:rFonts w:hint="default" w:ascii="Arial" w:hAnsi="Arial" w:cs="Arial"/>
      </w:rPr>
    </w:lvl>
    <w:lvl w:ilvl="2" w:tentative="0">
      <w:start w:val="1"/>
      <w:numFmt w:val="decimal"/>
      <w:isLgl/>
      <w:lvlText w:val="%1.%2.%3"/>
      <w:lvlJc w:val="left"/>
      <w:pPr>
        <w:tabs>
          <w:tab w:val="left" w:pos="1069"/>
        </w:tabs>
        <w:ind w:left="1069" w:hanging="709"/>
      </w:pPr>
      <w:rPr>
        <w:rFonts w:hint="default" w:ascii="Arial" w:hAnsi="Arial" w:cs="Arial"/>
      </w:rPr>
    </w:lvl>
    <w:lvl w:ilvl="3" w:tentative="0">
      <w:start w:val="1"/>
      <w:numFmt w:val="decimal"/>
      <w:isLgl/>
      <w:lvlText w:val="%1.%2.%3.%4"/>
      <w:lvlJc w:val="left"/>
      <w:pPr>
        <w:tabs>
          <w:tab w:val="left" w:pos="1080"/>
        </w:tabs>
        <w:ind w:left="851" w:hanging="851"/>
      </w:pPr>
      <w:rPr>
        <w:rFonts w:hint="default" w:ascii="Arial" w:hAnsi="Arial" w:cs="Arial"/>
        <w:sz w:val="24"/>
        <w:szCs w:val="24"/>
      </w:rPr>
    </w:lvl>
    <w:lvl w:ilvl="4" w:tentative="0">
      <w:start w:val="1"/>
      <w:numFmt w:val="decimal"/>
      <w:isLgl/>
      <w:lvlText w:val="%1.%2.%3.%4.%5"/>
      <w:lvlJc w:val="left"/>
      <w:pPr>
        <w:tabs>
          <w:tab w:val="left" w:pos="1440"/>
        </w:tabs>
        <w:ind w:left="992" w:hanging="992"/>
      </w:pPr>
      <w:rPr>
        <w:rFonts w:hint="eastAsia" w:cs="Times New Roman"/>
      </w:rPr>
    </w:lvl>
    <w:lvl w:ilvl="5" w:tentative="0">
      <w:start w:val="1"/>
      <w:numFmt w:val="decimal"/>
      <w:isLgl/>
      <w:lvlText w:val="%1.%2.%3.%4.%5.%6"/>
      <w:lvlJc w:val="left"/>
      <w:pPr>
        <w:tabs>
          <w:tab w:val="left" w:pos="1440"/>
        </w:tabs>
        <w:ind w:left="1134" w:hanging="1134"/>
      </w:pPr>
      <w:rPr>
        <w:rFonts w:hint="eastAsia" w:cs="Times New Roman"/>
      </w:rPr>
    </w:lvl>
    <w:lvl w:ilvl="6" w:tentative="0">
      <w:start w:val="1"/>
      <w:numFmt w:val="decimal"/>
      <w:isLgl/>
      <w:lvlText w:val="%1.%2.%3.%4.%5.%6.%7"/>
      <w:lvlJc w:val="left"/>
      <w:pPr>
        <w:tabs>
          <w:tab w:val="left" w:pos="1800"/>
        </w:tabs>
        <w:ind w:left="1276" w:hanging="1276"/>
      </w:pPr>
      <w:rPr>
        <w:rFonts w:hint="eastAsia" w:cs="Times New Roman"/>
      </w:rPr>
    </w:lvl>
    <w:lvl w:ilvl="7" w:tentative="0">
      <w:start w:val="1"/>
      <w:numFmt w:val="decimal"/>
      <w:isLgl/>
      <w:lvlText w:val="%1.%2.%3.%4.%5.%6.%7.%8"/>
      <w:lvlJc w:val="left"/>
      <w:pPr>
        <w:tabs>
          <w:tab w:val="left" w:pos="1800"/>
        </w:tabs>
        <w:ind w:left="1418" w:hanging="1418"/>
      </w:pPr>
      <w:rPr>
        <w:rFonts w:hint="eastAsia" w:cs="Times New Roman"/>
      </w:rPr>
    </w:lvl>
    <w:lvl w:ilvl="8" w:tentative="0">
      <w:start w:val="1"/>
      <w:numFmt w:val="decimal"/>
      <w:isLgl/>
      <w:lvlText w:val="%1.%2.%3.%4.%5.%6.%7.%8.%9"/>
      <w:lvlJc w:val="left"/>
      <w:pPr>
        <w:tabs>
          <w:tab w:val="left" w:pos="2160"/>
        </w:tabs>
        <w:ind w:left="1559" w:hanging="1559"/>
      </w:pPr>
      <w:rPr>
        <w:rFonts w:hint="eastAsia" w:cs="Times New Roman"/>
      </w:rPr>
    </w:lvl>
  </w:abstractNum>
  <w:abstractNum w:abstractNumId="5">
    <w:nsid w:val="26F2549E"/>
    <w:multiLevelType w:val="multilevel"/>
    <w:tmpl w:val="26F2549E"/>
    <w:lvl w:ilvl="0" w:tentative="0">
      <w:start w:val="1"/>
      <w:numFmt w:val="decimal"/>
      <w:lvlText w:val="%1、"/>
      <w:lvlJc w:val="left"/>
      <w:pPr>
        <w:ind w:left="371" w:hanging="360"/>
      </w:pPr>
      <w:rPr>
        <w:rFonts w:hint="default"/>
      </w:rPr>
    </w:lvl>
    <w:lvl w:ilvl="1" w:tentative="0">
      <w:start w:val="1"/>
      <w:numFmt w:val="lowerLetter"/>
      <w:pStyle w:val="6"/>
      <w:lvlText w:val="%2)"/>
      <w:lvlJc w:val="left"/>
      <w:pPr>
        <w:ind w:left="851" w:hanging="420"/>
      </w:pPr>
    </w:lvl>
    <w:lvl w:ilvl="2" w:tentative="0">
      <w:start w:val="1"/>
      <w:numFmt w:val="lowerRoman"/>
      <w:lvlText w:val="%3."/>
      <w:lvlJc w:val="right"/>
      <w:pPr>
        <w:ind w:left="1271" w:hanging="420"/>
      </w:pPr>
    </w:lvl>
    <w:lvl w:ilvl="3" w:tentative="0">
      <w:start w:val="1"/>
      <w:numFmt w:val="decimal"/>
      <w:lvlText w:val="%4."/>
      <w:lvlJc w:val="left"/>
      <w:pPr>
        <w:ind w:left="1691" w:hanging="420"/>
      </w:pPr>
    </w:lvl>
    <w:lvl w:ilvl="4" w:tentative="0">
      <w:start w:val="1"/>
      <w:numFmt w:val="lowerLetter"/>
      <w:lvlText w:val="%5)"/>
      <w:lvlJc w:val="left"/>
      <w:pPr>
        <w:ind w:left="2111" w:hanging="420"/>
      </w:pPr>
    </w:lvl>
    <w:lvl w:ilvl="5" w:tentative="0">
      <w:start w:val="1"/>
      <w:numFmt w:val="lowerRoman"/>
      <w:lvlText w:val="%6."/>
      <w:lvlJc w:val="right"/>
      <w:pPr>
        <w:ind w:left="2531" w:hanging="420"/>
      </w:pPr>
    </w:lvl>
    <w:lvl w:ilvl="6" w:tentative="0">
      <w:start w:val="1"/>
      <w:numFmt w:val="decimal"/>
      <w:lvlText w:val="%7."/>
      <w:lvlJc w:val="left"/>
      <w:pPr>
        <w:ind w:left="2951" w:hanging="420"/>
      </w:pPr>
    </w:lvl>
    <w:lvl w:ilvl="7" w:tentative="0">
      <w:start w:val="1"/>
      <w:numFmt w:val="lowerLetter"/>
      <w:lvlText w:val="%8)"/>
      <w:lvlJc w:val="left"/>
      <w:pPr>
        <w:ind w:left="3371" w:hanging="420"/>
      </w:pPr>
    </w:lvl>
    <w:lvl w:ilvl="8" w:tentative="0">
      <w:start w:val="1"/>
      <w:numFmt w:val="lowerRoman"/>
      <w:lvlText w:val="%9."/>
      <w:lvlJc w:val="right"/>
      <w:pPr>
        <w:ind w:left="3791" w:hanging="420"/>
      </w:pPr>
    </w:lvl>
  </w:abstractNum>
  <w:abstractNum w:abstractNumId="6">
    <w:nsid w:val="6CB11212"/>
    <w:multiLevelType w:val="multilevel"/>
    <w:tmpl w:val="6CB11212"/>
    <w:lvl w:ilvl="0" w:tentative="0">
      <w:start w:val="1"/>
      <w:numFmt w:val="decimal"/>
      <w:pStyle w:val="13"/>
      <w:lvlText w:val="%1"/>
      <w:lvlJc w:val="left"/>
      <w:pPr>
        <w:tabs>
          <w:tab w:val="left" w:pos="425"/>
        </w:tabs>
        <w:ind w:left="425" w:hanging="425"/>
      </w:pPr>
      <w:rPr>
        <w:rFonts w:hint="default" w:ascii="Times New Roman" w:hAnsi="Times New Roman" w:cs="Times New Roman"/>
        <w:b/>
        <w:i w:val="0"/>
        <w:sz w:val="28"/>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7">
    <w:nsid w:val="6F1D7D26"/>
    <w:multiLevelType w:val="multilevel"/>
    <w:tmpl w:val="6F1D7D26"/>
    <w:lvl w:ilvl="0" w:tentative="0">
      <w:start w:val="1"/>
      <w:numFmt w:val="decimal"/>
      <w:pStyle w:val="28"/>
      <w:lvlText w:val="%1."/>
      <w:lvlJc w:val="left"/>
      <w:pPr>
        <w:ind w:left="420" w:firstLine="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6"/>
  </w:num>
  <w:num w:numId="3">
    <w:abstractNumId w:val="7"/>
  </w:num>
  <w:num w:numId="4">
    <w:abstractNumId w:val="3"/>
  </w:num>
  <w:num w:numId="5">
    <w:abstractNumId w:val="4"/>
  </w:num>
  <w:num w:numId="6">
    <w:abstractNumId w:val="2"/>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Q5MGI3YTdkMjVkZTZjM2ZjZTQ5YjMxYTJjZjRlOWEifQ=="/>
  </w:docVars>
  <w:rsids>
    <w:rsidRoot w:val="00AE79E0"/>
    <w:rsid w:val="00000FD7"/>
    <w:rsid w:val="00001745"/>
    <w:rsid w:val="000018C2"/>
    <w:rsid w:val="00001EDD"/>
    <w:rsid w:val="00002FE3"/>
    <w:rsid w:val="00003231"/>
    <w:rsid w:val="0000387A"/>
    <w:rsid w:val="00003B78"/>
    <w:rsid w:val="00003E3C"/>
    <w:rsid w:val="00003F2A"/>
    <w:rsid w:val="00005025"/>
    <w:rsid w:val="00005C91"/>
    <w:rsid w:val="0000620B"/>
    <w:rsid w:val="0000682D"/>
    <w:rsid w:val="00007272"/>
    <w:rsid w:val="00007892"/>
    <w:rsid w:val="00011FD2"/>
    <w:rsid w:val="0001207D"/>
    <w:rsid w:val="00012CBB"/>
    <w:rsid w:val="00012CFA"/>
    <w:rsid w:val="00013187"/>
    <w:rsid w:val="000131BA"/>
    <w:rsid w:val="00014B17"/>
    <w:rsid w:val="0001582D"/>
    <w:rsid w:val="00015980"/>
    <w:rsid w:val="0001696F"/>
    <w:rsid w:val="00016F81"/>
    <w:rsid w:val="00017E3B"/>
    <w:rsid w:val="000201C1"/>
    <w:rsid w:val="000204E4"/>
    <w:rsid w:val="00020F35"/>
    <w:rsid w:val="00021C59"/>
    <w:rsid w:val="00021FD3"/>
    <w:rsid w:val="00023055"/>
    <w:rsid w:val="00023156"/>
    <w:rsid w:val="00023185"/>
    <w:rsid w:val="00026A08"/>
    <w:rsid w:val="00026B7C"/>
    <w:rsid w:val="000279EA"/>
    <w:rsid w:val="000314DB"/>
    <w:rsid w:val="000316BD"/>
    <w:rsid w:val="00032E2D"/>
    <w:rsid w:val="000334DF"/>
    <w:rsid w:val="00033536"/>
    <w:rsid w:val="00033AA1"/>
    <w:rsid w:val="00033B6A"/>
    <w:rsid w:val="00034324"/>
    <w:rsid w:val="0003496F"/>
    <w:rsid w:val="00034BA3"/>
    <w:rsid w:val="00034CDA"/>
    <w:rsid w:val="00034F63"/>
    <w:rsid w:val="0003627F"/>
    <w:rsid w:val="00037505"/>
    <w:rsid w:val="000404C6"/>
    <w:rsid w:val="000405BF"/>
    <w:rsid w:val="00040C87"/>
    <w:rsid w:val="00040CAE"/>
    <w:rsid w:val="00041067"/>
    <w:rsid w:val="00041856"/>
    <w:rsid w:val="00041921"/>
    <w:rsid w:val="000430E9"/>
    <w:rsid w:val="00044BB7"/>
    <w:rsid w:val="00044F9F"/>
    <w:rsid w:val="00045942"/>
    <w:rsid w:val="00045EE5"/>
    <w:rsid w:val="00047196"/>
    <w:rsid w:val="00050258"/>
    <w:rsid w:val="0005034F"/>
    <w:rsid w:val="00051277"/>
    <w:rsid w:val="0005173F"/>
    <w:rsid w:val="00051ECE"/>
    <w:rsid w:val="00054663"/>
    <w:rsid w:val="00055300"/>
    <w:rsid w:val="00055AB6"/>
    <w:rsid w:val="0005632F"/>
    <w:rsid w:val="00056A13"/>
    <w:rsid w:val="00061311"/>
    <w:rsid w:val="00061B85"/>
    <w:rsid w:val="00062064"/>
    <w:rsid w:val="00063028"/>
    <w:rsid w:val="00063B93"/>
    <w:rsid w:val="00063EFE"/>
    <w:rsid w:val="00064417"/>
    <w:rsid w:val="0006463B"/>
    <w:rsid w:val="00064649"/>
    <w:rsid w:val="00064BF9"/>
    <w:rsid w:val="00065388"/>
    <w:rsid w:val="00065665"/>
    <w:rsid w:val="0006601A"/>
    <w:rsid w:val="000665FE"/>
    <w:rsid w:val="000671A2"/>
    <w:rsid w:val="00067818"/>
    <w:rsid w:val="00067833"/>
    <w:rsid w:val="00067D7A"/>
    <w:rsid w:val="00070340"/>
    <w:rsid w:val="000708F9"/>
    <w:rsid w:val="000719DB"/>
    <w:rsid w:val="00071DAC"/>
    <w:rsid w:val="0007207A"/>
    <w:rsid w:val="00072CA0"/>
    <w:rsid w:val="00072FF3"/>
    <w:rsid w:val="00073F2F"/>
    <w:rsid w:val="00073F71"/>
    <w:rsid w:val="00073F84"/>
    <w:rsid w:val="000743D1"/>
    <w:rsid w:val="000746A8"/>
    <w:rsid w:val="00074FC6"/>
    <w:rsid w:val="00076052"/>
    <w:rsid w:val="00076223"/>
    <w:rsid w:val="00076436"/>
    <w:rsid w:val="00076558"/>
    <w:rsid w:val="00077068"/>
    <w:rsid w:val="0007793B"/>
    <w:rsid w:val="00077C43"/>
    <w:rsid w:val="00077D8B"/>
    <w:rsid w:val="00082390"/>
    <w:rsid w:val="00082EB0"/>
    <w:rsid w:val="00083463"/>
    <w:rsid w:val="00083C57"/>
    <w:rsid w:val="00084EFD"/>
    <w:rsid w:val="00085489"/>
    <w:rsid w:val="000863D1"/>
    <w:rsid w:val="00086A7A"/>
    <w:rsid w:val="000874E4"/>
    <w:rsid w:val="00087DEF"/>
    <w:rsid w:val="000921FF"/>
    <w:rsid w:val="000942A8"/>
    <w:rsid w:val="00094641"/>
    <w:rsid w:val="00094F01"/>
    <w:rsid w:val="00095245"/>
    <w:rsid w:val="00095368"/>
    <w:rsid w:val="00095431"/>
    <w:rsid w:val="000955A6"/>
    <w:rsid w:val="0009679B"/>
    <w:rsid w:val="00097185"/>
    <w:rsid w:val="000A2970"/>
    <w:rsid w:val="000A2A2A"/>
    <w:rsid w:val="000A3B88"/>
    <w:rsid w:val="000A3FD5"/>
    <w:rsid w:val="000A4A5B"/>
    <w:rsid w:val="000A4BA2"/>
    <w:rsid w:val="000A4C42"/>
    <w:rsid w:val="000A4D00"/>
    <w:rsid w:val="000A6219"/>
    <w:rsid w:val="000A694F"/>
    <w:rsid w:val="000A6DD1"/>
    <w:rsid w:val="000A6DF5"/>
    <w:rsid w:val="000A7BFA"/>
    <w:rsid w:val="000A7E34"/>
    <w:rsid w:val="000B071E"/>
    <w:rsid w:val="000B0A14"/>
    <w:rsid w:val="000B0B87"/>
    <w:rsid w:val="000B0C3D"/>
    <w:rsid w:val="000B2E83"/>
    <w:rsid w:val="000B40C2"/>
    <w:rsid w:val="000B428C"/>
    <w:rsid w:val="000B5B09"/>
    <w:rsid w:val="000B5CD6"/>
    <w:rsid w:val="000B5DAB"/>
    <w:rsid w:val="000B6098"/>
    <w:rsid w:val="000B615E"/>
    <w:rsid w:val="000B7097"/>
    <w:rsid w:val="000B71A8"/>
    <w:rsid w:val="000B7353"/>
    <w:rsid w:val="000B7627"/>
    <w:rsid w:val="000B7B9F"/>
    <w:rsid w:val="000B7FF5"/>
    <w:rsid w:val="000C0D0A"/>
    <w:rsid w:val="000C3114"/>
    <w:rsid w:val="000C5FF0"/>
    <w:rsid w:val="000C7F94"/>
    <w:rsid w:val="000D0783"/>
    <w:rsid w:val="000D0794"/>
    <w:rsid w:val="000D1770"/>
    <w:rsid w:val="000D1955"/>
    <w:rsid w:val="000D1963"/>
    <w:rsid w:val="000D2B25"/>
    <w:rsid w:val="000D2BE7"/>
    <w:rsid w:val="000D3563"/>
    <w:rsid w:val="000D3FE5"/>
    <w:rsid w:val="000D456B"/>
    <w:rsid w:val="000D45FF"/>
    <w:rsid w:val="000D522D"/>
    <w:rsid w:val="000D57AA"/>
    <w:rsid w:val="000D5856"/>
    <w:rsid w:val="000D5BFA"/>
    <w:rsid w:val="000D73C3"/>
    <w:rsid w:val="000E12E1"/>
    <w:rsid w:val="000E169F"/>
    <w:rsid w:val="000E18AA"/>
    <w:rsid w:val="000E1C32"/>
    <w:rsid w:val="000E3822"/>
    <w:rsid w:val="000E416E"/>
    <w:rsid w:val="000E427E"/>
    <w:rsid w:val="000E4C55"/>
    <w:rsid w:val="000E4F64"/>
    <w:rsid w:val="000E5225"/>
    <w:rsid w:val="000E7541"/>
    <w:rsid w:val="000F1DED"/>
    <w:rsid w:val="000F1DEE"/>
    <w:rsid w:val="000F1E18"/>
    <w:rsid w:val="000F2EDB"/>
    <w:rsid w:val="000F365B"/>
    <w:rsid w:val="000F3FFF"/>
    <w:rsid w:val="000F44ED"/>
    <w:rsid w:val="000F4B95"/>
    <w:rsid w:val="000F5992"/>
    <w:rsid w:val="000F6AB9"/>
    <w:rsid w:val="000F6B00"/>
    <w:rsid w:val="000F6FE4"/>
    <w:rsid w:val="000F7194"/>
    <w:rsid w:val="000F746A"/>
    <w:rsid w:val="0010047E"/>
    <w:rsid w:val="001008C8"/>
    <w:rsid w:val="0010124A"/>
    <w:rsid w:val="001017D7"/>
    <w:rsid w:val="00102D15"/>
    <w:rsid w:val="00103102"/>
    <w:rsid w:val="00104E2B"/>
    <w:rsid w:val="001051AF"/>
    <w:rsid w:val="001057AF"/>
    <w:rsid w:val="00106684"/>
    <w:rsid w:val="0010699C"/>
    <w:rsid w:val="00106EC5"/>
    <w:rsid w:val="00107005"/>
    <w:rsid w:val="001072E0"/>
    <w:rsid w:val="00107B42"/>
    <w:rsid w:val="001108D1"/>
    <w:rsid w:val="00111111"/>
    <w:rsid w:val="001123E7"/>
    <w:rsid w:val="001129B2"/>
    <w:rsid w:val="00112A7E"/>
    <w:rsid w:val="00113A3E"/>
    <w:rsid w:val="00114702"/>
    <w:rsid w:val="00114A7D"/>
    <w:rsid w:val="001159EE"/>
    <w:rsid w:val="00115E66"/>
    <w:rsid w:val="001161CF"/>
    <w:rsid w:val="001167DB"/>
    <w:rsid w:val="00116967"/>
    <w:rsid w:val="00116A34"/>
    <w:rsid w:val="00116D76"/>
    <w:rsid w:val="00116E49"/>
    <w:rsid w:val="00117062"/>
    <w:rsid w:val="001170CE"/>
    <w:rsid w:val="001178E2"/>
    <w:rsid w:val="00117C52"/>
    <w:rsid w:val="001209B7"/>
    <w:rsid w:val="001213E9"/>
    <w:rsid w:val="001214D0"/>
    <w:rsid w:val="00123DB7"/>
    <w:rsid w:val="0012425E"/>
    <w:rsid w:val="00124F09"/>
    <w:rsid w:val="0012511F"/>
    <w:rsid w:val="00125262"/>
    <w:rsid w:val="00125392"/>
    <w:rsid w:val="00126AD8"/>
    <w:rsid w:val="001276ED"/>
    <w:rsid w:val="00127E6A"/>
    <w:rsid w:val="00130067"/>
    <w:rsid w:val="001302B8"/>
    <w:rsid w:val="00131086"/>
    <w:rsid w:val="0013112F"/>
    <w:rsid w:val="0013161B"/>
    <w:rsid w:val="00131C30"/>
    <w:rsid w:val="00131D14"/>
    <w:rsid w:val="00131F24"/>
    <w:rsid w:val="00132477"/>
    <w:rsid w:val="0013362D"/>
    <w:rsid w:val="0013431D"/>
    <w:rsid w:val="00134648"/>
    <w:rsid w:val="001347EC"/>
    <w:rsid w:val="00135759"/>
    <w:rsid w:val="00135AED"/>
    <w:rsid w:val="00135BC4"/>
    <w:rsid w:val="001369C3"/>
    <w:rsid w:val="00136EE6"/>
    <w:rsid w:val="001378A8"/>
    <w:rsid w:val="00137AF4"/>
    <w:rsid w:val="00137B6B"/>
    <w:rsid w:val="001407AB"/>
    <w:rsid w:val="00141CB6"/>
    <w:rsid w:val="00142194"/>
    <w:rsid w:val="0014457C"/>
    <w:rsid w:val="001449E6"/>
    <w:rsid w:val="0014579B"/>
    <w:rsid w:val="00146A7E"/>
    <w:rsid w:val="0015132A"/>
    <w:rsid w:val="00151628"/>
    <w:rsid w:val="00151A64"/>
    <w:rsid w:val="0015210B"/>
    <w:rsid w:val="0015286F"/>
    <w:rsid w:val="001528B1"/>
    <w:rsid w:val="00152AFF"/>
    <w:rsid w:val="001554EC"/>
    <w:rsid w:val="001565DA"/>
    <w:rsid w:val="00157E12"/>
    <w:rsid w:val="001602D9"/>
    <w:rsid w:val="001605FB"/>
    <w:rsid w:val="00160863"/>
    <w:rsid w:val="00160C56"/>
    <w:rsid w:val="001621B2"/>
    <w:rsid w:val="00162769"/>
    <w:rsid w:val="00162B12"/>
    <w:rsid w:val="00163021"/>
    <w:rsid w:val="00163A4F"/>
    <w:rsid w:val="00164A96"/>
    <w:rsid w:val="001654FA"/>
    <w:rsid w:val="0016649D"/>
    <w:rsid w:val="00166692"/>
    <w:rsid w:val="0016722F"/>
    <w:rsid w:val="00167DD2"/>
    <w:rsid w:val="00167EAD"/>
    <w:rsid w:val="00170051"/>
    <w:rsid w:val="00170340"/>
    <w:rsid w:val="0017080E"/>
    <w:rsid w:val="00170C26"/>
    <w:rsid w:val="00171430"/>
    <w:rsid w:val="00173435"/>
    <w:rsid w:val="00173C5E"/>
    <w:rsid w:val="00174529"/>
    <w:rsid w:val="00174D16"/>
    <w:rsid w:val="00174E84"/>
    <w:rsid w:val="00175041"/>
    <w:rsid w:val="00175BB3"/>
    <w:rsid w:val="00176570"/>
    <w:rsid w:val="0017662E"/>
    <w:rsid w:val="0017703B"/>
    <w:rsid w:val="00177477"/>
    <w:rsid w:val="00177851"/>
    <w:rsid w:val="00177B77"/>
    <w:rsid w:val="00177E3F"/>
    <w:rsid w:val="001801CB"/>
    <w:rsid w:val="00180275"/>
    <w:rsid w:val="00180644"/>
    <w:rsid w:val="0018131E"/>
    <w:rsid w:val="00181735"/>
    <w:rsid w:val="00181BE3"/>
    <w:rsid w:val="00182153"/>
    <w:rsid w:val="00183195"/>
    <w:rsid w:val="00183525"/>
    <w:rsid w:val="0018358B"/>
    <w:rsid w:val="00183724"/>
    <w:rsid w:val="00184EAF"/>
    <w:rsid w:val="0018503D"/>
    <w:rsid w:val="0018523C"/>
    <w:rsid w:val="00185E01"/>
    <w:rsid w:val="00186292"/>
    <w:rsid w:val="00187319"/>
    <w:rsid w:val="00187533"/>
    <w:rsid w:val="0019079F"/>
    <w:rsid w:val="00190953"/>
    <w:rsid w:val="00191194"/>
    <w:rsid w:val="00192441"/>
    <w:rsid w:val="00192922"/>
    <w:rsid w:val="001935E2"/>
    <w:rsid w:val="0019444D"/>
    <w:rsid w:val="00194A22"/>
    <w:rsid w:val="00194D8F"/>
    <w:rsid w:val="001958DC"/>
    <w:rsid w:val="00196252"/>
    <w:rsid w:val="001966AA"/>
    <w:rsid w:val="00196D5E"/>
    <w:rsid w:val="00196F4B"/>
    <w:rsid w:val="001A0CAB"/>
    <w:rsid w:val="001A0E41"/>
    <w:rsid w:val="001A11EB"/>
    <w:rsid w:val="001A1D0A"/>
    <w:rsid w:val="001A3056"/>
    <w:rsid w:val="001A312F"/>
    <w:rsid w:val="001A330F"/>
    <w:rsid w:val="001A344A"/>
    <w:rsid w:val="001A3ACE"/>
    <w:rsid w:val="001A406C"/>
    <w:rsid w:val="001A62A1"/>
    <w:rsid w:val="001A63E7"/>
    <w:rsid w:val="001A64CF"/>
    <w:rsid w:val="001A6AF5"/>
    <w:rsid w:val="001B0F50"/>
    <w:rsid w:val="001B16CE"/>
    <w:rsid w:val="001B1C75"/>
    <w:rsid w:val="001B253D"/>
    <w:rsid w:val="001B31D7"/>
    <w:rsid w:val="001B4093"/>
    <w:rsid w:val="001B522A"/>
    <w:rsid w:val="001B5738"/>
    <w:rsid w:val="001B58C9"/>
    <w:rsid w:val="001B6006"/>
    <w:rsid w:val="001B6C2D"/>
    <w:rsid w:val="001B6E93"/>
    <w:rsid w:val="001B74F5"/>
    <w:rsid w:val="001B79FD"/>
    <w:rsid w:val="001B7B84"/>
    <w:rsid w:val="001C05AB"/>
    <w:rsid w:val="001C1059"/>
    <w:rsid w:val="001C2A8A"/>
    <w:rsid w:val="001C4859"/>
    <w:rsid w:val="001C54F3"/>
    <w:rsid w:val="001C5539"/>
    <w:rsid w:val="001C5E26"/>
    <w:rsid w:val="001D28A8"/>
    <w:rsid w:val="001D2F5F"/>
    <w:rsid w:val="001D30A6"/>
    <w:rsid w:val="001D44EC"/>
    <w:rsid w:val="001D58FF"/>
    <w:rsid w:val="001D59B0"/>
    <w:rsid w:val="001D6266"/>
    <w:rsid w:val="001D63FD"/>
    <w:rsid w:val="001D677E"/>
    <w:rsid w:val="001D6F3F"/>
    <w:rsid w:val="001D72FB"/>
    <w:rsid w:val="001D77EC"/>
    <w:rsid w:val="001D79C2"/>
    <w:rsid w:val="001E04A0"/>
    <w:rsid w:val="001E04F1"/>
    <w:rsid w:val="001E07BF"/>
    <w:rsid w:val="001E1E50"/>
    <w:rsid w:val="001E3BD1"/>
    <w:rsid w:val="001E3F0E"/>
    <w:rsid w:val="001E44BA"/>
    <w:rsid w:val="001E460E"/>
    <w:rsid w:val="001E4EE8"/>
    <w:rsid w:val="001E5159"/>
    <w:rsid w:val="001E5898"/>
    <w:rsid w:val="001E68D0"/>
    <w:rsid w:val="001E7E31"/>
    <w:rsid w:val="001F07C5"/>
    <w:rsid w:val="001F1324"/>
    <w:rsid w:val="001F134E"/>
    <w:rsid w:val="001F1946"/>
    <w:rsid w:val="001F1C38"/>
    <w:rsid w:val="001F1C73"/>
    <w:rsid w:val="001F3378"/>
    <w:rsid w:val="001F3C43"/>
    <w:rsid w:val="001F4719"/>
    <w:rsid w:val="001F602E"/>
    <w:rsid w:val="001F66CF"/>
    <w:rsid w:val="001F7137"/>
    <w:rsid w:val="001F7DFE"/>
    <w:rsid w:val="002005FD"/>
    <w:rsid w:val="00201180"/>
    <w:rsid w:val="00201590"/>
    <w:rsid w:val="00201F0C"/>
    <w:rsid w:val="00202157"/>
    <w:rsid w:val="002028E4"/>
    <w:rsid w:val="00202D5B"/>
    <w:rsid w:val="00202F2A"/>
    <w:rsid w:val="002036F3"/>
    <w:rsid w:val="00204191"/>
    <w:rsid w:val="002047D3"/>
    <w:rsid w:val="002054D8"/>
    <w:rsid w:val="002056FA"/>
    <w:rsid w:val="00205A83"/>
    <w:rsid w:val="00205CBD"/>
    <w:rsid w:val="00206487"/>
    <w:rsid w:val="0020674D"/>
    <w:rsid w:val="00206C3F"/>
    <w:rsid w:val="00206E10"/>
    <w:rsid w:val="00207273"/>
    <w:rsid w:val="00207E8B"/>
    <w:rsid w:val="002108DD"/>
    <w:rsid w:val="0021092F"/>
    <w:rsid w:val="0021169E"/>
    <w:rsid w:val="00211789"/>
    <w:rsid w:val="00211C20"/>
    <w:rsid w:val="00212686"/>
    <w:rsid w:val="002130FB"/>
    <w:rsid w:val="0021421B"/>
    <w:rsid w:val="002157C5"/>
    <w:rsid w:val="00215BDE"/>
    <w:rsid w:val="0021605B"/>
    <w:rsid w:val="002164F2"/>
    <w:rsid w:val="002169E6"/>
    <w:rsid w:val="0021708A"/>
    <w:rsid w:val="002173CF"/>
    <w:rsid w:val="00217490"/>
    <w:rsid w:val="00217DC1"/>
    <w:rsid w:val="00220226"/>
    <w:rsid w:val="00220734"/>
    <w:rsid w:val="002216C1"/>
    <w:rsid w:val="00222513"/>
    <w:rsid w:val="0022259D"/>
    <w:rsid w:val="0022346E"/>
    <w:rsid w:val="00224266"/>
    <w:rsid w:val="00224DB7"/>
    <w:rsid w:val="00225305"/>
    <w:rsid w:val="00225A4D"/>
    <w:rsid w:val="00226100"/>
    <w:rsid w:val="00227667"/>
    <w:rsid w:val="00227E9F"/>
    <w:rsid w:val="002306BE"/>
    <w:rsid w:val="00230CC1"/>
    <w:rsid w:val="00230D14"/>
    <w:rsid w:val="00231065"/>
    <w:rsid w:val="002314E9"/>
    <w:rsid w:val="00231F99"/>
    <w:rsid w:val="00232729"/>
    <w:rsid w:val="00233016"/>
    <w:rsid w:val="00235478"/>
    <w:rsid w:val="00235509"/>
    <w:rsid w:val="002358C7"/>
    <w:rsid w:val="002362CC"/>
    <w:rsid w:val="00237506"/>
    <w:rsid w:val="002378D0"/>
    <w:rsid w:val="00237D12"/>
    <w:rsid w:val="002402A5"/>
    <w:rsid w:val="0024055D"/>
    <w:rsid w:val="00240863"/>
    <w:rsid w:val="00240C70"/>
    <w:rsid w:val="00240ECA"/>
    <w:rsid w:val="002410F9"/>
    <w:rsid w:val="0024120B"/>
    <w:rsid w:val="002414ED"/>
    <w:rsid w:val="002423ED"/>
    <w:rsid w:val="00242A2B"/>
    <w:rsid w:val="00243A1C"/>
    <w:rsid w:val="00245ACA"/>
    <w:rsid w:val="00245C87"/>
    <w:rsid w:val="00246194"/>
    <w:rsid w:val="00246411"/>
    <w:rsid w:val="00247253"/>
    <w:rsid w:val="00247B6D"/>
    <w:rsid w:val="00252089"/>
    <w:rsid w:val="0025249A"/>
    <w:rsid w:val="00252ADA"/>
    <w:rsid w:val="00252FF5"/>
    <w:rsid w:val="0025326E"/>
    <w:rsid w:val="0025448F"/>
    <w:rsid w:val="002553EA"/>
    <w:rsid w:val="00255705"/>
    <w:rsid w:val="0025577C"/>
    <w:rsid w:val="002557DC"/>
    <w:rsid w:val="0025785F"/>
    <w:rsid w:val="00261696"/>
    <w:rsid w:val="00261984"/>
    <w:rsid w:val="0026258A"/>
    <w:rsid w:val="00262A9D"/>
    <w:rsid w:val="00263540"/>
    <w:rsid w:val="00263AF8"/>
    <w:rsid w:val="00264279"/>
    <w:rsid w:val="0026440A"/>
    <w:rsid w:val="002646DF"/>
    <w:rsid w:val="00265130"/>
    <w:rsid w:val="00265203"/>
    <w:rsid w:val="0026581B"/>
    <w:rsid w:val="00265D50"/>
    <w:rsid w:val="00265EDA"/>
    <w:rsid w:val="00266594"/>
    <w:rsid w:val="0026664B"/>
    <w:rsid w:val="00270D49"/>
    <w:rsid w:val="00270FEA"/>
    <w:rsid w:val="00272390"/>
    <w:rsid w:val="00272582"/>
    <w:rsid w:val="00272A37"/>
    <w:rsid w:val="00272B60"/>
    <w:rsid w:val="00272E91"/>
    <w:rsid w:val="002734B2"/>
    <w:rsid w:val="00273945"/>
    <w:rsid w:val="00273DEE"/>
    <w:rsid w:val="0027522C"/>
    <w:rsid w:val="0027543F"/>
    <w:rsid w:val="002760E4"/>
    <w:rsid w:val="002765B9"/>
    <w:rsid w:val="00277378"/>
    <w:rsid w:val="002775E0"/>
    <w:rsid w:val="00280BAA"/>
    <w:rsid w:val="002834D7"/>
    <w:rsid w:val="0028431C"/>
    <w:rsid w:val="00284AA1"/>
    <w:rsid w:val="00284BDB"/>
    <w:rsid w:val="00284FF3"/>
    <w:rsid w:val="00285937"/>
    <w:rsid w:val="00285CC4"/>
    <w:rsid w:val="00286851"/>
    <w:rsid w:val="002870BB"/>
    <w:rsid w:val="002909AD"/>
    <w:rsid w:val="00291B90"/>
    <w:rsid w:val="00292F4A"/>
    <w:rsid w:val="00293F97"/>
    <w:rsid w:val="00294D1A"/>
    <w:rsid w:val="002962C6"/>
    <w:rsid w:val="0029660E"/>
    <w:rsid w:val="00296FAA"/>
    <w:rsid w:val="00297134"/>
    <w:rsid w:val="0029727E"/>
    <w:rsid w:val="0029798C"/>
    <w:rsid w:val="002A04DB"/>
    <w:rsid w:val="002A1959"/>
    <w:rsid w:val="002A3638"/>
    <w:rsid w:val="002A49E9"/>
    <w:rsid w:val="002A4D9A"/>
    <w:rsid w:val="002A61A0"/>
    <w:rsid w:val="002A64B0"/>
    <w:rsid w:val="002A666B"/>
    <w:rsid w:val="002A6B50"/>
    <w:rsid w:val="002A7567"/>
    <w:rsid w:val="002A7DF4"/>
    <w:rsid w:val="002B0308"/>
    <w:rsid w:val="002B14F2"/>
    <w:rsid w:val="002B1A43"/>
    <w:rsid w:val="002B1ABC"/>
    <w:rsid w:val="002B1FB9"/>
    <w:rsid w:val="002B2690"/>
    <w:rsid w:val="002B26EC"/>
    <w:rsid w:val="002B324A"/>
    <w:rsid w:val="002B3D17"/>
    <w:rsid w:val="002B3EF5"/>
    <w:rsid w:val="002B5793"/>
    <w:rsid w:val="002B5F03"/>
    <w:rsid w:val="002B6423"/>
    <w:rsid w:val="002B65EE"/>
    <w:rsid w:val="002B6A63"/>
    <w:rsid w:val="002B6B7B"/>
    <w:rsid w:val="002B7C85"/>
    <w:rsid w:val="002B7DCD"/>
    <w:rsid w:val="002C0484"/>
    <w:rsid w:val="002C0D1E"/>
    <w:rsid w:val="002C1DFD"/>
    <w:rsid w:val="002C20CF"/>
    <w:rsid w:val="002C2381"/>
    <w:rsid w:val="002C2987"/>
    <w:rsid w:val="002C2BF7"/>
    <w:rsid w:val="002C324F"/>
    <w:rsid w:val="002C3B7F"/>
    <w:rsid w:val="002C4380"/>
    <w:rsid w:val="002C44F8"/>
    <w:rsid w:val="002C66EA"/>
    <w:rsid w:val="002D1BCB"/>
    <w:rsid w:val="002D2B6F"/>
    <w:rsid w:val="002D4617"/>
    <w:rsid w:val="002D5B85"/>
    <w:rsid w:val="002D64B1"/>
    <w:rsid w:val="002D6C02"/>
    <w:rsid w:val="002D6F6A"/>
    <w:rsid w:val="002D73D4"/>
    <w:rsid w:val="002E023A"/>
    <w:rsid w:val="002E05E3"/>
    <w:rsid w:val="002E0CF1"/>
    <w:rsid w:val="002E1533"/>
    <w:rsid w:val="002E1AF0"/>
    <w:rsid w:val="002E1F1A"/>
    <w:rsid w:val="002E2E1F"/>
    <w:rsid w:val="002E3A69"/>
    <w:rsid w:val="002E3B8A"/>
    <w:rsid w:val="002E5015"/>
    <w:rsid w:val="002E55E5"/>
    <w:rsid w:val="002E5DC8"/>
    <w:rsid w:val="002E620F"/>
    <w:rsid w:val="002E6CBA"/>
    <w:rsid w:val="002E6CF3"/>
    <w:rsid w:val="002E779E"/>
    <w:rsid w:val="002F0126"/>
    <w:rsid w:val="002F04E5"/>
    <w:rsid w:val="002F0C88"/>
    <w:rsid w:val="002F1B07"/>
    <w:rsid w:val="002F29ED"/>
    <w:rsid w:val="002F33E4"/>
    <w:rsid w:val="002F553D"/>
    <w:rsid w:val="002F5EA3"/>
    <w:rsid w:val="002F60DC"/>
    <w:rsid w:val="002F6189"/>
    <w:rsid w:val="002F62E7"/>
    <w:rsid w:val="002F6350"/>
    <w:rsid w:val="002F65D3"/>
    <w:rsid w:val="002F6C62"/>
    <w:rsid w:val="002F6E36"/>
    <w:rsid w:val="002F7307"/>
    <w:rsid w:val="002F7D96"/>
    <w:rsid w:val="003002FC"/>
    <w:rsid w:val="0030054A"/>
    <w:rsid w:val="00301451"/>
    <w:rsid w:val="00301764"/>
    <w:rsid w:val="003061F3"/>
    <w:rsid w:val="003065EA"/>
    <w:rsid w:val="0030791A"/>
    <w:rsid w:val="00310A63"/>
    <w:rsid w:val="00311D1C"/>
    <w:rsid w:val="0031215C"/>
    <w:rsid w:val="00312B46"/>
    <w:rsid w:val="00313C11"/>
    <w:rsid w:val="00313E87"/>
    <w:rsid w:val="00314E48"/>
    <w:rsid w:val="00314EAA"/>
    <w:rsid w:val="00315218"/>
    <w:rsid w:val="003162FE"/>
    <w:rsid w:val="003169FF"/>
    <w:rsid w:val="00317374"/>
    <w:rsid w:val="0031782B"/>
    <w:rsid w:val="00320797"/>
    <w:rsid w:val="003209A5"/>
    <w:rsid w:val="00321303"/>
    <w:rsid w:val="003215D0"/>
    <w:rsid w:val="00321B0F"/>
    <w:rsid w:val="00321BF5"/>
    <w:rsid w:val="00321CA7"/>
    <w:rsid w:val="00322242"/>
    <w:rsid w:val="0032294B"/>
    <w:rsid w:val="00322BDA"/>
    <w:rsid w:val="00322FEA"/>
    <w:rsid w:val="0032368B"/>
    <w:rsid w:val="00323B3C"/>
    <w:rsid w:val="00323B9B"/>
    <w:rsid w:val="00323EE0"/>
    <w:rsid w:val="003250B5"/>
    <w:rsid w:val="0032569D"/>
    <w:rsid w:val="00325E39"/>
    <w:rsid w:val="00327342"/>
    <w:rsid w:val="003275CF"/>
    <w:rsid w:val="00327958"/>
    <w:rsid w:val="00327AE8"/>
    <w:rsid w:val="003300D1"/>
    <w:rsid w:val="00330EEC"/>
    <w:rsid w:val="003310FC"/>
    <w:rsid w:val="003316A2"/>
    <w:rsid w:val="00331BA2"/>
    <w:rsid w:val="00331F09"/>
    <w:rsid w:val="0033248F"/>
    <w:rsid w:val="0033289C"/>
    <w:rsid w:val="00334294"/>
    <w:rsid w:val="00336881"/>
    <w:rsid w:val="0033705C"/>
    <w:rsid w:val="00337E3A"/>
    <w:rsid w:val="00340700"/>
    <w:rsid w:val="00341701"/>
    <w:rsid w:val="00341E1B"/>
    <w:rsid w:val="00342538"/>
    <w:rsid w:val="00343F2D"/>
    <w:rsid w:val="00345340"/>
    <w:rsid w:val="003454D9"/>
    <w:rsid w:val="003468BE"/>
    <w:rsid w:val="003468D2"/>
    <w:rsid w:val="00346D81"/>
    <w:rsid w:val="0034767C"/>
    <w:rsid w:val="003504E0"/>
    <w:rsid w:val="00351B7B"/>
    <w:rsid w:val="003520CF"/>
    <w:rsid w:val="00352130"/>
    <w:rsid w:val="00352629"/>
    <w:rsid w:val="00352F5E"/>
    <w:rsid w:val="003535C3"/>
    <w:rsid w:val="0035435C"/>
    <w:rsid w:val="00354637"/>
    <w:rsid w:val="0035480E"/>
    <w:rsid w:val="0035494E"/>
    <w:rsid w:val="00354BFF"/>
    <w:rsid w:val="00355078"/>
    <w:rsid w:val="00355BD8"/>
    <w:rsid w:val="00356AD2"/>
    <w:rsid w:val="003577C2"/>
    <w:rsid w:val="003607F7"/>
    <w:rsid w:val="00360DE5"/>
    <w:rsid w:val="00361C08"/>
    <w:rsid w:val="0036201E"/>
    <w:rsid w:val="003633E1"/>
    <w:rsid w:val="0036373E"/>
    <w:rsid w:val="003639F7"/>
    <w:rsid w:val="00363AD4"/>
    <w:rsid w:val="00363D93"/>
    <w:rsid w:val="00363EAE"/>
    <w:rsid w:val="00364893"/>
    <w:rsid w:val="00365A9D"/>
    <w:rsid w:val="00366C81"/>
    <w:rsid w:val="00366D2F"/>
    <w:rsid w:val="00367FDD"/>
    <w:rsid w:val="0037282B"/>
    <w:rsid w:val="0037338E"/>
    <w:rsid w:val="003738CE"/>
    <w:rsid w:val="0037433D"/>
    <w:rsid w:val="003764D2"/>
    <w:rsid w:val="00376B56"/>
    <w:rsid w:val="003773A5"/>
    <w:rsid w:val="003775F7"/>
    <w:rsid w:val="0037765D"/>
    <w:rsid w:val="0037791B"/>
    <w:rsid w:val="00377CC1"/>
    <w:rsid w:val="0038033E"/>
    <w:rsid w:val="003822A4"/>
    <w:rsid w:val="003822B8"/>
    <w:rsid w:val="00382429"/>
    <w:rsid w:val="00382C45"/>
    <w:rsid w:val="00382C7E"/>
    <w:rsid w:val="00383387"/>
    <w:rsid w:val="0038351C"/>
    <w:rsid w:val="00383891"/>
    <w:rsid w:val="003845F8"/>
    <w:rsid w:val="00384A94"/>
    <w:rsid w:val="003852A8"/>
    <w:rsid w:val="00385827"/>
    <w:rsid w:val="00385E7A"/>
    <w:rsid w:val="00386A77"/>
    <w:rsid w:val="00386B3B"/>
    <w:rsid w:val="003872A8"/>
    <w:rsid w:val="00387EF5"/>
    <w:rsid w:val="0039030C"/>
    <w:rsid w:val="003906A3"/>
    <w:rsid w:val="003907C0"/>
    <w:rsid w:val="00390A55"/>
    <w:rsid w:val="003916E8"/>
    <w:rsid w:val="00391F3C"/>
    <w:rsid w:val="00392149"/>
    <w:rsid w:val="00392461"/>
    <w:rsid w:val="00392690"/>
    <w:rsid w:val="0039288E"/>
    <w:rsid w:val="00393021"/>
    <w:rsid w:val="00393365"/>
    <w:rsid w:val="0039363C"/>
    <w:rsid w:val="00393D4C"/>
    <w:rsid w:val="00394B4B"/>
    <w:rsid w:val="00397EBC"/>
    <w:rsid w:val="00397F87"/>
    <w:rsid w:val="003A185C"/>
    <w:rsid w:val="003A1C83"/>
    <w:rsid w:val="003A1FAF"/>
    <w:rsid w:val="003A24EE"/>
    <w:rsid w:val="003A2A46"/>
    <w:rsid w:val="003A2BEE"/>
    <w:rsid w:val="003A4F37"/>
    <w:rsid w:val="003A53B6"/>
    <w:rsid w:val="003A5F71"/>
    <w:rsid w:val="003A6060"/>
    <w:rsid w:val="003A797D"/>
    <w:rsid w:val="003A7EA6"/>
    <w:rsid w:val="003B03DB"/>
    <w:rsid w:val="003B080C"/>
    <w:rsid w:val="003B0BC6"/>
    <w:rsid w:val="003B25FB"/>
    <w:rsid w:val="003B436D"/>
    <w:rsid w:val="003B45BC"/>
    <w:rsid w:val="003B49C5"/>
    <w:rsid w:val="003B500B"/>
    <w:rsid w:val="003B7173"/>
    <w:rsid w:val="003B76FC"/>
    <w:rsid w:val="003B7796"/>
    <w:rsid w:val="003B77DC"/>
    <w:rsid w:val="003C0070"/>
    <w:rsid w:val="003C008F"/>
    <w:rsid w:val="003C1764"/>
    <w:rsid w:val="003C1D2A"/>
    <w:rsid w:val="003C2AF5"/>
    <w:rsid w:val="003C4520"/>
    <w:rsid w:val="003C4616"/>
    <w:rsid w:val="003C4D5C"/>
    <w:rsid w:val="003C522F"/>
    <w:rsid w:val="003C562D"/>
    <w:rsid w:val="003C58A1"/>
    <w:rsid w:val="003C6DB2"/>
    <w:rsid w:val="003C7D73"/>
    <w:rsid w:val="003C7EC0"/>
    <w:rsid w:val="003D0205"/>
    <w:rsid w:val="003D086A"/>
    <w:rsid w:val="003D1587"/>
    <w:rsid w:val="003D238C"/>
    <w:rsid w:val="003D24F7"/>
    <w:rsid w:val="003D3259"/>
    <w:rsid w:val="003D38BA"/>
    <w:rsid w:val="003D589D"/>
    <w:rsid w:val="003D6965"/>
    <w:rsid w:val="003D6DAE"/>
    <w:rsid w:val="003E0184"/>
    <w:rsid w:val="003E042B"/>
    <w:rsid w:val="003E0721"/>
    <w:rsid w:val="003E0CD3"/>
    <w:rsid w:val="003E13FF"/>
    <w:rsid w:val="003E14E7"/>
    <w:rsid w:val="003E1E30"/>
    <w:rsid w:val="003E2182"/>
    <w:rsid w:val="003E333B"/>
    <w:rsid w:val="003E334E"/>
    <w:rsid w:val="003E3BF0"/>
    <w:rsid w:val="003E4056"/>
    <w:rsid w:val="003E42A7"/>
    <w:rsid w:val="003E4507"/>
    <w:rsid w:val="003E5852"/>
    <w:rsid w:val="003E5EB4"/>
    <w:rsid w:val="003E5F67"/>
    <w:rsid w:val="003E6E09"/>
    <w:rsid w:val="003E6F20"/>
    <w:rsid w:val="003E718F"/>
    <w:rsid w:val="003E7D50"/>
    <w:rsid w:val="003F101A"/>
    <w:rsid w:val="003F1095"/>
    <w:rsid w:val="003F15CD"/>
    <w:rsid w:val="003F1B20"/>
    <w:rsid w:val="003F2112"/>
    <w:rsid w:val="003F2267"/>
    <w:rsid w:val="003F2E97"/>
    <w:rsid w:val="003F3171"/>
    <w:rsid w:val="003F382F"/>
    <w:rsid w:val="003F41E8"/>
    <w:rsid w:val="003F4D4E"/>
    <w:rsid w:val="003F5570"/>
    <w:rsid w:val="003F6082"/>
    <w:rsid w:val="003F6180"/>
    <w:rsid w:val="003F6452"/>
    <w:rsid w:val="003F6931"/>
    <w:rsid w:val="003F7D6D"/>
    <w:rsid w:val="004006D6"/>
    <w:rsid w:val="00401DB1"/>
    <w:rsid w:val="00402646"/>
    <w:rsid w:val="00402C0A"/>
    <w:rsid w:val="004039CF"/>
    <w:rsid w:val="00404F09"/>
    <w:rsid w:val="00405792"/>
    <w:rsid w:val="00405802"/>
    <w:rsid w:val="00405E5E"/>
    <w:rsid w:val="004066FB"/>
    <w:rsid w:val="00407458"/>
    <w:rsid w:val="004079D9"/>
    <w:rsid w:val="00410282"/>
    <w:rsid w:val="00410585"/>
    <w:rsid w:val="0041072B"/>
    <w:rsid w:val="00410764"/>
    <w:rsid w:val="004113FC"/>
    <w:rsid w:val="0041223C"/>
    <w:rsid w:val="004126E0"/>
    <w:rsid w:val="00412E27"/>
    <w:rsid w:val="0041542E"/>
    <w:rsid w:val="004154BF"/>
    <w:rsid w:val="00415780"/>
    <w:rsid w:val="00415A8A"/>
    <w:rsid w:val="00415D23"/>
    <w:rsid w:val="0041615B"/>
    <w:rsid w:val="00416645"/>
    <w:rsid w:val="004168C5"/>
    <w:rsid w:val="00416D78"/>
    <w:rsid w:val="00417BC7"/>
    <w:rsid w:val="0042096D"/>
    <w:rsid w:val="00420E6D"/>
    <w:rsid w:val="00421C2B"/>
    <w:rsid w:val="004233B2"/>
    <w:rsid w:val="004236FB"/>
    <w:rsid w:val="004237BE"/>
    <w:rsid w:val="00423B8C"/>
    <w:rsid w:val="00423FF8"/>
    <w:rsid w:val="00424232"/>
    <w:rsid w:val="00424370"/>
    <w:rsid w:val="00424BCC"/>
    <w:rsid w:val="00427129"/>
    <w:rsid w:val="0042715C"/>
    <w:rsid w:val="004274FB"/>
    <w:rsid w:val="004301B1"/>
    <w:rsid w:val="00430339"/>
    <w:rsid w:val="004303D4"/>
    <w:rsid w:val="00432121"/>
    <w:rsid w:val="004326BA"/>
    <w:rsid w:val="004333A6"/>
    <w:rsid w:val="004338B0"/>
    <w:rsid w:val="00433900"/>
    <w:rsid w:val="00434AED"/>
    <w:rsid w:val="00434EAA"/>
    <w:rsid w:val="004350B4"/>
    <w:rsid w:val="004363E7"/>
    <w:rsid w:val="004376E9"/>
    <w:rsid w:val="00437EE6"/>
    <w:rsid w:val="004400F3"/>
    <w:rsid w:val="004416DD"/>
    <w:rsid w:val="00441D12"/>
    <w:rsid w:val="004425B4"/>
    <w:rsid w:val="00443B24"/>
    <w:rsid w:val="00445AD1"/>
    <w:rsid w:val="004460F3"/>
    <w:rsid w:val="004465A9"/>
    <w:rsid w:val="0044683C"/>
    <w:rsid w:val="00446E3D"/>
    <w:rsid w:val="00447213"/>
    <w:rsid w:val="00447CE2"/>
    <w:rsid w:val="00450FFB"/>
    <w:rsid w:val="004511E3"/>
    <w:rsid w:val="004520ED"/>
    <w:rsid w:val="00452E71"/>
    <w:rsid w:val="00453895"/>
    <w:rsid w:val="00453EBB"/>
    <w:rsid w:val="004542CB"/>
    <w:rsid w:val="0045480C"/>
    <w:rsid w:val="00454DE2"/>
    <w:rsid w:val="004555C5"/>
    <w:rsid w:val="00457544"/>
    <w:rsid w:val="0046063A"/>
    <w:rsid w:val="0046069B"/>
    <w:rsid w:val="004607F9"/>
    <w:rsid w:val="00460DA4"/>
    <w:rsid w:val="00461382"/>
    <w:rsid w:val="00462D9B"/>
    <w:rsid w:val="004630FD"/>
    <w:rsid w:val="0046342A"/>
    <w:rsid w:val="00463E1B"/>
    <w:rsid w:val="0046401C"/>
    <w:rsid w:val="00464999"/>
    <w:rsid w:val="004650EF"/>
    <w:rsid w:val="004676E9"/>
    <w:rsid w:val="00467822"/>
    <w:rsid w:val="00467898"/>
    <w:rsid w:val="00470476"/>
    <w:rsid w:val="00471219"/>
    <w:rsid w:val="00471564"/>
    <w:rsid w:val="0047382F"/>
    <w:rsid w:val="00473C03"/>
    <w:rsid w:val="00474DB3"/>
    <w:rsid w:val="004753B8"/>
    <w:rsid w:val="00475748"/>
    <w:rsid w:val="00476BBF"/>
    <w:rsid w:val="00477AEB"/>
    <w:rsid w:val="00477C21"/>
    <w:rsid w:val="00480BD3"/>
    <w:rsid w:val="00480E1C"/>
    <w:rsid w:val="00480ED4"/>
    <w:rsid w:val="004810CA"/>
    <w:rsid w:val="00481B48"/>
    <w:rsid w:val="004824DF"/>
    <w:rsid w:val="00484148"/>
    <w:rsid w:val="004845DF"/>
    <w:rsid w:val="004860C8"/>
    <w:rsid w:val="0048617F"/>
    <w:rsid w:val="004870BB"/>
    <w:rsid w:val="004874ED"/>
    <w:rsid w:val="0049006E"/>
    <w:rsid w:val="00491CA5"/>
    <w:rsid w:val="00492569"/>
    <w:rsid w:val="00492593"/>
    <w:rsid w:val="00493825"/>
    <w:rsid w:val="004946A1"/>
    <w:rsid w:val="00495EE5"/>
    <w:rsid w:val="00496239"/>
    <w:rsid w:val="00496267"/>
    <w:rsid w:val="00496540"/>
    <w:rsid w:val="00496F58"/>
    <w:rsid w:val="004A009F"/>
    <w:rsid w:val="004A1991"/>
    <w:rsid w:val="004A1F33"/>
    <w:rsid w:val="004A2693"/>
    <w:rsid w:val="004A2A11"/>
    <w:rsid w:val="004A2E1E"/>
    <w:rsid w:val="004A3F21"/>
    <w:rsid w:val="004A44AE"/>
    <w:rsid w:val="004A478F"/>
    <w:rsid w:val="004A4B21"/>
    <w:rsid w:val="004A4C5E"/>
    <w:rsid w:val="004A65D9"/>
    <w:rsid w:val="004A7286"/>
    <w:rsid w:val="004A7AB9"/>
    <w:rsid w:val="004B1083"/>
    <w:rsid w:val="004B1BB6"/>
    <w:rsid w:val="004B21D8"/>
    <w:rsid w:val="004B2282"/>
    <w:rsid w:val="004B3258"/>
    <w:rsid w:val="004B36C2"/>
    <w:rsid w:val="004B3765"/>
    <w:rsid w:val="004B39C1"/>
    <w:rsid w:val="004B3D77"/>
    <w:rsid w:val="004B46CA"/>
    <w:rsid w:val="004B4B38"/>
    <w:rsid w:val="004B6214"/>
    <w:rsid w:val="004B67D1"/>
    <w:rsid w:val="004B7182"/>
    <w:rsid w:val="004B74DD"/>
    <w:rsid w:val="004C031B"/>
    <w:rsid w:val="004C0519"/>
    <w:rsid w:val="004C0647"/>
    <w:rsid w:val="004C07D7"/>
    <w:rsid w:val="004C0F35"/>
    <w:rsid w:val="004C193F"/>
    <w:rsid w:val="004C1A8A"/>
    <w:rsid w:val="004C1D16"/>
    <w:rsid w:val="004C1E29"/>
    <w:rsid w:val="004C2023"/>
    <w:rsid w:val="004C2D1E"/>
    <w:rsid w:val="004C32E5"/>
    <w:rsid w:val="004C34B1"/>
    <w:rsid w:val="004C4357"/>
    <w:rsid w:val="004C4429"/>
    <w:rsid w:val="004C4656"/>
    <w:rsid w:val="004C50AB"/>
    <w:rsid w:val="004C5351"/>
    <w:rsid w:val="004C5697"/>
    <w:rsid w:val="004C5734"/>
    <w:rsid w:val="004C6E98"/>
    <w:rsid w:val="004C6EA0"/>
    <w:rsid w:val="004C6EFC"/>
    <w:rsid w:val="004C7260"/>
    <w:rsid w:val="004C7DF5"/>
    <w:rsid w:val="004C7FDD"/>
    <w:rsid w:val="004D067C"/>
    <w:rsid w:val="004D072B"/>
    <w:rsid w:val="004D0CC6"/>
    <w:rsid w:val="004D1634"/>
    <w:rsid w:val="004D18C2"/>
    <w:rsid w:val="004D27C4"/>
    <w:rsid w:val="004D2AC1"/>
    <w:rsid w:val="004D2C5E"/>
    <w:rsid w:val="004D3FCF"/>
    <w:rsid w:val="004D44DC"/>
    <w:rsid w:val="004D470B"/>
    <w:rsid w:val="004D4765"/>
    <w:rsid w:val="004D4CC6"/>
    <w:rsid w:val="004D4E3E"/>
    <w:rsid w:val="004D52FF"/>
    <w:rsid w:val="004D5837"/>
    <w:rsid w:val="004D63C6"/>
    <w:rsid w:val="004D7742"/>
    <w:rsid w:val="004D7796"/>
    <w:rsid w:val="004E03FE"/>
    <w:rsid w:val="004E1DDA"/>
    <w:rsid w:val="004E2027"/>
    <w:rsid w:val="004E23B9"/>
    <w:rsid w:val="004E33E6"/>
    <w:rsid w:val="004E3802"/>
    <w:rsid w:val="004E4631"/>
    <w:rsid w:val="004E4C3E"/>
    <w:rsid w:val="004E5DDF"/>
    <w:rsid w:val="004E7513"/>
    <w:rsid w:val="004E7687"/>
    <w:rsid w:val="004F0179"/>
    <w:rsid w:val="004F0776"/>
    <w:rsid w:val="004F07B4"/>
    <w:rsid w:val="004F0A2E"/>
    <w:rsid w:val="004F0A50"/>
    <w:rsid w:val="004F0BBC"/>
    <w:rsid w:val="004F158C"/>
    <w:rsid w:val="004F2179"/>
    <w:rsid w:val="004F2D39"/>
    <w:rsid w:val="004F2E66"/>
    <w:rsid w:val="004F31B6"/>
    <w:rsid w:val="00500239"/>
    <w:rsid w:val="005013C8"/>
    <w:rsid w:val="00501669"/>
    <w:rsid w:val="00501833"/>
    <w:rsid w:val="00501D1E"/>
    <w:rsid w:val="00502D77"/>
    <w:rsid w:val="00502E30"/>
    <w:rsid w:val="0050301A"/>
    <w:rsid w:val="00503965"/>
    <w:rsid w:val="00503B38"/>
    <w:rsid w:val="00503F0C"/>
    <w:rsid w:val="005048EF"/>
    <w:rsid w:val="00506243"/>
    <w:rsid w:val="00506740"/>
    <w:rsid w:val="00506AF4"/>
    <w:rsid w:val="0051007B"/>
    <w:rsid w:val="00510100"/>
    <w:rsid w:val="005103F6"/>
    <w:rsid w:val="00510FF3"/>
    <w:rsid w:val="00511A3F"/>
    <w:rsid w:val="005123B0"/>
    <w:rsid w:val="00512C46"/>
    <w:rsid w:val="00513292"/>
    <w:rsid w:val="005133F8"/>
    <w:rsid w:val="005140B3"/>
    <w:rsid w:val="00514644"/>
    <w:rsid w:val="00515E9D"/>
    <w:rsid w:val="005170DB"/>
    <w:rsid w:val="0051736C"/>
    <w:rsid w:val="0051783C"/>
    <w:rsid w:val="00517A78"/>
    <w:rsid w:val="00520130"/>
    <w:rsid w:val="00520994"/>
    <w:rsid w:val="00520DE4"/>
    <w:rsid w:val="005212D1"/>
    <w:rsid w:val="00521398"/>
    <w:rsid w:val="005216F4"/>
    <w:rsid w:val="00521A71"/>
    <w:rsid w:val="00521C4C"/>
    <w:rsid w:val="005230ED"/>
    <w:rsid w:val="0052353E"/>
    <w:rsid w:val="005241CD"/>
    <w:rsid w:val="005253CD"/>
    <w:rsid w:val="005254B6"/>
    <w:rsid w:val="00525807"/>
    <w:rsid w:val="00526CD8"/>
    <w:rsid w:val="00526EAD"/>
    <w:rsid w:val="00527552"/>
    <w:rsid w:val="00530019"/>
    <w:rsid w:val="00530813"/>
    <w:rsid w:val="00530C83"/>
    <w:rsid w:val="00531CED"/>
    <w:rsid w:val="00531D80"/>
    <w:rsid w:val="0053214E"/>
    <w:rsid w:val="005324E4"/>
    <w:rsid w:val="005329CE"/>
    <w:rsid w:val="00532A14"/>
    <w:rsid w:val="00533A96"/>
    <w:rsid w:val="00534464"/>
    <w:rsid w:val="005355C1"/>
    <w:rsid w:val="00535B0B"/>
    <w:rsid w:val="005360E0"/>
    <w:rsid w:val="005364A9"/>
    <w:rsid w:val="00536A36"/>
    <w:rsid w:val="005402D0"/>
    <w:rsid w:val="005407B3"/>
    <w:rsid w:val="0054154B"/>
    <w:rsid w:val="005425D7"/>
    <w:rsid w:val="005429C0"/>
    <w:rsid w:val="005429D8"/>
    <w:rsid w:val="00543A5B"/>
    <w:rsid w:val="005448F0"/>
    <w:rsid w:val="0054503F"/>
    <w:rsid w:val="00545325"/>
    <w:rsid w:val="005453AD"/>
    <w:rsid w:val="00545DB7"/>
    <w:rsid w:val="005462E0"/>
    <w:rsid w:val="00546C28"/>
    <w:rsid w:val="00547001"/>
    <w:rsid w:val="00547251"/>
    <w:rsid w:val="005478AA"/>
    <w:rsid w:val="00550097"/>
    <w:rsid w:val="00550481"/>
    <w:rsid w:val="00550683"/>
    <w:rsid w:val="005511C0"/>
    <w:rsid w:val="0055255E"/>
    <w:rsid w:val="0055448A"/>
    <w:rsid w:val="0055471E"/>
    <w:rsid w:val="00555A2D"/>
    <w:rsid w:val="00555DC1"/>
    <w:rsid w:val="005567A5"/>
    <w:rsid w:val="00560806"/>
    <w:rsid w:val="00560AC2"/>
    <w:rsid w:val="00560F48"/>
    <w:rsid w:val="0056185D"/>
    <w:rsid w:val="00561DE3"/>
    <w:rsid w:val="005623A4"/>
    <w:rsid w:val="00562825"/>
    <w:rsid w:val="00562CB9"/>
    <w:rsid w:val="00563E7F"/>
    <w:rsid w:val="005651DF"/>
    <w:rsid w:val="0056536A"/>
    <w:rsid w:val="0056585D"/>
    <w:rsid w:val="005667D3"/>
    <w:rsid w:val="005669E9"/>
    <w:rsid w:val="005678C9"/>
    <w:rsid w:val="00567EE8"/>
    <w:rsid w:val="0057014C"/>
    <w:rsid w:val="005713D9"/>
    <w:rsid w:val="00573793"/>
    <w:rsid w:val="005742A7"/>
    <w:rsid w:val="00576042"/>
    <w:rsid w:val="00576136"/>
    <w:rsid w:val="0057660A"/>
    <w:rsid w:val="005770D8"/>
    <w:rsid w:val="00577A29"/>
    <w:rsid w:val="00577EBF"/>
    <w:rsid w:val="00580632"/>
    <w:rsid w:val="0058170B"/>
    <w:rsid w:val="00581CF2"/>
    <w:rsid w:val="00581D96"/>
    <w:rsid w:val="005828DE"/>
    <w:rsid w:val="00582938"/>
    <w:rsid w:val="0058309C"/>
    <w:rsid w:val="005851F3"/>
    <w:rsid w:val="00586D56"/>
    <w:rsid w:val="0058721B"/>
    <w:rsid w:val="00590CD1"/>
    <w:rsid w:val="00591360"/>
    <w:rsid w:val="00591AAD"/>
    <w:rsid w:val="00591DFC"/>
    <w:rsid w:val="00592A5D"/>
    <w:rsid w:val="00592D2A"/>
    <w:rsid w:val="0059373E"/>
    <w:rsid w:val="00594EC0"/>
    <w:rsid w:val="0059545B"/>
    <w:rsid w:val="00596D16"/>
    <w:rsid w:val="00596DC4"/>
    <w:rsid w:val="005A0E19"/>
    <w:rsid w:val="005A224F"/>
    <w:rsid w:val="005A268E"/>
    <w:rsid w:val="005A3F5D"/>
    <w:rsid w:val="005A5F79"/>
    <w:rsid w:val="005A7103"/>
    <w:rsid w:val="005A7372"/>
    <w:rsid w:val="005A79B9"/>
    <w:rsid w:val="005A7A1D"/>
    <w:rsid w:val="005B0CEE"/>
    <w:rsid w:val="005B214C"/>
    <w:rsid w:val="005B2527"/>
    <w:rsid w:val="005B4E15"/>
    <w:rsid w:val="005B583B"/>
    <w:rsid w:val="005B5A2B"/>
    <w:rsid w:val="005B6758"/>
    <w:rsid w:val="005B6852"/>
    <w:rsid w:val="005B6B94"/>
    <w:rsid w:val="005B72DA"/>
    <w:rsid w:val="005B7348"/>
    <w:rsid w:val="005B79A8"/>
    <w:rsid w:val="005B7DF7"/>
    <w:rsid w:val="005B7E73"/>
    <w:rsid w:val="005C12E9"/>
    <w:rsid w:val="005C14DC"/>
    <w:rsid w:val="005C1E5C"/>
    <w:rsid w:val="005C2D29"/>
    <w:rsid w:val="005C326A"/>
    <w:rsid w:val="005C386B"/>
    <w:rsid w:val="005C3EB0"/>
    <w:rsid w:val="005C4719"/>
    <w:rsid w:val="005C47D6"/>
    <w:rsid w:val="005C50B4"/>
    <w:rsid w:val="005C61C4"/>
    <w:rsid w:val="005C6209"/>
    <w:rsid w:val="005C6232"/>
    <w:rsid w:val="005C62AB"/>
    <w:rsid w:val="005C6739"/>
    <w:rsid w:val="005C6A97"/>
    <w:rsid w:val="005C6ABF"/>
    <w:rsid w:val="005C7960"/>
    <w:rsid w:val="005D03FC"/>
    <w:rsid w:val="005D082B"/>
    <w:rsid w:val="005D146B"/>
    <w:rsid w:val="005D1CAE"/>
    <w:rsid w:val="005D2E94"/>
    <w:rsid w:val="005D32B9"/>
    <w:rsid w:val="005D3C7D"/>
    <w:rsid w:val="005D4C9D"/>
    <w:rsid w:val="005D50B8"/>
    <w:rsid w:val="005D5217"/>
    <w:rsid w:val="005D5811"/>
    <w:rsid w:val="005D6DFF"/>
    <w:rsid w:val="005D7212"/>
    <w:rsid w:val="005D72C0"/>
    <w:rsid w:val="005E04D3"/>
    <w:rsid w:val="005E0585"/>
    <w:rsid w:val="005E1071"/>
    <w:rsid w:val="005E135F"/>
    <w:rsid w:val="005E14C5"/>
    <w:rsid w:val="005E1AD4"/>
    <w:rsid w:val="005E216A"/>
    <w:rsid w:val="005E21ED"/>
    <w:rsid w:val="005E3267"/>
    <w:rsid w:val="005E424D"/>
    <w:rsid w:val="005E63E0"/>
    <w:rsid w:val="005E6A58"/>
    <w:rsid w:val="005E74AA"/>
    <w:rsid w:val="005F037B"/>
    <w:rsid w:val="005F20ED"/>
    <w:rsid w:val="005F250C"/>
    <w:rsid w:val="005F265C"/>
    <w:rsid w:val="005F272D"/>
    <w:rsid w:val="005F276A"/>
    <w:rsid w:val="005F34DC"/>
    <w:rsid w:val="005F472D"/>
    <w:rsid w:val="005F486C"/>
    <w:rsid w:val="005F4A05"/>
    <w:rsid w:val="005F515D"/>
    <w:rsid w:val="005F58F6"/>
    <w:rsid w:val="005F6A04"/>
    <w:rsid w:val="005F70C0"/>
    <w:rsid w:val="005F7D1A"/>
    <w:rsid w:val="0060026A"/>
    <w:rsid w:val="00600974"/>
    <w:rsid w:val="00600D49"/>
    <w:rsid w:val="00601AD4"/>
    <w:rsid w:val="00601EFD"/>
    <w:rsid w:val="006026B5"/>
    <w:rsid w:val="00602F06"/>
    <w:rsid w:val="0060367E"/>
    <w:rsid w:val="00603A0D"/>
    <w:rsid w:val="00604420"/>
    <w:rsid w:val="006047C3"/>
    <w:rsid w:val="00604D8B"/>
    <w:rsid w:val="0060515D"/>
    <w:rsid w:val="0060572C"/>
    <w:rsid w:val="00605ADC"/>
    <w:rsid w:val="00605E01"/>
    <w:rsid w:val="0060714A"/>
    <w:rsid w:val="006077C1"/>
    <w:rsid w:val="00610392"/>
    <w:rsid w:val="0061141D"/>
    <w:rsid w:val="00611CD4"/>
    <w:rsid w:val="00611CE4"/>
    <w:rsid w:val="00612728"/>
    <w:rsid w:val="00612914"/>
    <w:rsid w:val="00612E4C"/>
    <w:rsid w:val="006147E7"/>
    <w:rsid w:val="006148C0"/>
    <w:rsid w:val="0061506A"/>
    <w:rsid w:val="00615574"/>
    <w:rsid w:val="006156DE"/>
    <w:rsid w:val="00615AC0"/>
    <w:rsid w:val="00616E90"/>
    <w:rsid w:val="0061737F"/>
    <w:rsid w:val="006207BC"/>
    <w:rsid w:val="00621166"/>
    <w:rsid w:val="00621C81"/>
    <w:rsid w:val="00621DDA"/>
    <w:rsid w:val="00621E03"/>
    <w:rsid w:val="00623207"/>
    <w:rsid w:val="0062332E"/>
    <w:rsid w:val="00623DFC"/>
    <w:rsid w:val="0062412C"/>
    <w:rsid w:val="0062440C"/>
    <w:rsid w:val="0062472F"/>
    <w:rsid w:val="006247C0"/>
    <w:rsid w:val="00625048"/>
    <w:rsid w:val="00625D78"/>
    <w:rsid w:val="00626629"/>
    <w:rsid w:val="00626A56"/>
    <w:rsid w:val="00626E36"/>
    <w:rsid w:val="00627173"/>
    <w:rsid w:val="00627474"/>
    <w:rsid w:val="00627B8B"/>
    <w:rsid w:val="0063105D"/>
    <w:rsid w:val="0063330A"/>
    <w:rsid w:val="00633CBC"/>
    <w:rsid w:val="00633D90"/>
    <w:rsid w:val="006347A2"/>
    <w:rsid w:val="00634A5D"/>
    <w:rsid w:val="0063570F"/>
    <w:rsid w:val="00635711"/>
    <w:rsid w:val="006363D5"/>
    <w:rsid w:val="006363DA"/>
    <w:rsid w:val="00640F05"/>
    <w:rsid w:val="006421DF"/>
    <w:rsid w:val="00643884"/>
    <w:rsid w:val="0064418E"/>
    <w:rsid w:val="00644F7F"/>
    <w:rsid w:val="0064538E"/>
    <w:rsid w:val="00645472"/>
    <w:rsid w:val="00645F55"/>
    <w:rsid w:val="00646A25"/>
    <w:rsid w:val="00646EA5"/>
    <w:rsid w:val="00647A5E"/>
    <w:rsid w:val="00647B5F"/>
    <w:rsid w:val="00647B67"/>
    <w:rsid w:val="00647C7F"/>
    <w:rsid w:val="00650039"/>
    <w:rsid w:val="006510E8"/>
    <w:rsid w:val="00651C76"/>
    <w:rsid w:val="00654555"/>
    <w:rsid w:val="00654915"/>
    <w:rsid w:val="00654D9A"/>
    <w:rsid w:val="00654EEE"/>
    <w:rsid w:val="00655F87"/>
    <w:rsid w:val="006562F3"/>
    <w:rsid w:val="00656573"/>
    <w:rsid w:val="00657568"/>
    <w:rsid w:val="006600B9"/>
    <w:rsid w:val="00660260"/>
    <w:rsid w:val="00661381"/>
    <w:rsid w:val="0066164D"/>
    <w:rsid w:val="00661B4A"/>
    <w:rsid w:val="00662265"/>
    <w:rsid w:val="006624E0"/>
    <w:rsid w:val="00662FB6"/>
    <w:rsid w:val="00663804"/>
    <w:rsid w:val="00664193"/>
    <w:rsid w:val="006643DF"/>
    <w:rsid w:val="00664E12"/>
    <w:rsid w:val="006651D0"/>
    <w:rsid w:val="006653DB"/>
    <w:rsid w:val="0066573E"/>
    <w:rsid w:val="00665D65"/>
    <w:rsid w:val="006664BC"/>
    <w:rsid w:val="006665F2"/>
    <w:rsid w:val="00666FE8"/>
    <w:rsid w:val="006671DE"/>
    <w:rsid w:val="00667EA6"/>
    <w:rsid w:val="006702FE"/>
    <w:rsid w:val="00670AF3"/>
    <w:rsid w:val="00670B5E"/>
    <w:rsid w:val="00671C63"/>
    <w:rsid w:val="00671FF3"/>
    <w:rsid w:val="006726D4"/>
    <w:rsid w:val="00672BF0"/>
    <w:rsid w:val="00672EBC"/>
    <w:rsid w:val="006733E5"/>
    <w:rsid w:val="006736C1"/>
    <w:rsid w:val="006743BA"/>
    <w:rsid w:val="00674A18"/>
    <w:rsid w:val="0067528F"/>
    <w:rsid w:val="0067619F"/>
    <w:rsid w:val="00677784"/>
    <w:rsid w:val="0068001A"/>
    <w:rsid w:val="0068018B"/>
    <w:rsid w:val="00680B45"/>
    <w:rsid w:val="00680B97"/>
    <w:rsid w:val="006810FA"/>
    <w:rsid w:val="00681A38"/>
    <w:rsid w:val="00682F92"/>
    <w:rsid w:val="00683085"/>
    <w:rsid w:val="00683B4C"/>
    <w:rsid w:val="0068522C"/>
    <w:rsid w:val="0068609C"/>
    <w:rsid w:val="006874D8"/>
    <w:rsid w:val="00687E01"/>
    <w:rsid w:val="00687F19"/>
    <w:rsid w:val="00690220"/>
    <w:rsid w:val="00690638"/>
    <w:rsid w:val="00691098"/>
    <w:rsid w:val="00691980"/>
    <w:rsid w:val="006932B6"/>
    <w:rsid w:val="00694402"/>
    <w:rsid w:val="0069481D"/>
    <w:rsid w:val="00694887"/>
    <w:rsid w:val="00694C91"/>
    <w:rsid w:val="006950FD"/>
    <w:rsid w:val="006957C4"/>
    <w:rsid w:val="00696109"/>
    <w:rsid w:val="00696684"/>
    <w:rsid w:val="006967E5"/>
    <w:rsid w:val="00696B27"/>
    <w:rsid w:val="006A02CB"/>
    <w:rsid w:val="006A0D9E"/>
    <w:rsid w:val="006A10D8"/>
    <w:rsid w:val="006A1449"/>
    <w:rsid w:val="006A1797"/>
    <w:rsid w:val="006A1EAF"/>
    <w:rsid w:val="006A2403"/>
    <w:rsid w:val="006A25A4"/>
    <w:rsid w:val="006A298B"/>
    <w:rsid w:val="006A2FFC"/>
    <w:rsid w:val="006A3379"/>
    <w:rsid w:val="006A33C7"/>
    <w:rsid w:val="006A3701"/>
    <w:rsid w:val="006A39AF"/>
    <w:rsid w:val="006A3D83"/>
    <w:rsid w:val="006A5308"/>
    <w:rsid w:val="006A59BA"/>
    <w:rsid w:val="006A59DA"/>
    <w:rsid w:val="006A5D0C"/>
    <w:rsid w:val="006A6B2B"/>
    <w:rsid w:val="006A6CA2"/>
    <w:rsid w:val="006A7844"/>
    <w:rsid w:val="006B0212"/>
    <w:rsid w:val="006B1C46"/>
    <w:rsid w:val="006B1E20"/>
    <w:rsid w:val="006B2C55"/>
    <w:rsid w:val="006B32A5"/>
    <w:rsid w:val="006B38E7"/>
    <w:rsid w:val="006B404E"/>
    <w:rsid w:val="006B522D"/>
    <w:rsid w:val="006B5339"/>
    <w:rsid w:val="006B5367"/>
    <w:rsid w:val="006B5455"/>
    <w:rsid w:val="006B63AA"/>
    <w:rsid w:val="006B66C8"/>
    <w:rsid w:val="006B7579"/>
    <w:rsid w:val="006B7E61"/>
    <w:rsid w:val="006B7FD5"/>
    <w:rsid w:val="006B7FDD"/>
    <w:rsid w:val="006C0111"/>
    <w:rsid w:val="006C012F"/>
    <w:rsid w:val="006C0731"/>
    <w:rsid w:val="006C119B"/>
    <w:rsid w:val="006C1DF0"/>
    <w:rsid w:val="006C208C"/>
    <w:rsid w:val="006C3157"/>
    <w:rsid w:val="006C5277"/>
    <w:rsid w:val="006C54F9"/>
    <w:rsid w:val="006C6955"/>
    <w:rsid w:val="006C73EB"/>
    <w:rsid w:val="006C7B78"/>
    <w:rsid w:val="006D123A"/>
    <w:rsid w:val="006D2000"/>
    <w:rsid w:val="006D2689"/>
    <w:rsid w:val="006D3D6F"/>
    <w:rsid w:val="006D5A20"/>
    <w:rsid w:val="006D5FF4"/>
    <w:rsid w:val="006D6134"/>
    <w:rsid w:val="006D64C7"/>
    <w:rsid w:val="006D6704"/>
    <w:rsid w:val="006D6C92"/>
    <w:rsid w:val="006D6D53"/>
    <w:rsid w:val="006D76C3"/>
    <w:rsid w:val="006D7DF8"/>
    <w:rsid w:val="006E0634"/>
    <w:rsid w:val="006E17C0"/>
    <w:rsid w:val="006E188C"/>
    <w:rsid w:val="006E190E"/>
    <w:rsid w:val="006E2D7D"/>
    <w:rsid w:val="006E33B2"/>
    <w:rsid w:val="006E3A1F"/>
    <w:rsid w:val="006E42CB"/>
    <w:rsid w:val="006E49ED"/>
    <w:rsid w:val="006E5612"/>
    <w:rsid w:val="006E592D"/>
    <w:rsid w:val="006E62A3"/>
    <w:rsid w:val="006E6620"/>
    <w:rsid w:val="006E7719"/>
    <w:rsid w:val="006E7B1E"/>
    <w:rsid w:val="006F106B"/>
    <w:rsid w:val="006F108F"/>
    <w:rsid w:val="006F1BBF"/>
    <w:rsid w:val="006F2DED"/>
    <w:rsid w:val="006F46C4"/>
    <w:rsid w:val="006F4A9F"/>
    <w:rsid w:val="006F4FC7"/>
    <w:rsid w:val="006F5022"/>
    <w:rsid w:val="006F611E"/>
    <w:rsid w:val="006F74E4"/>
    <w:rsid w:val="006F770D"/>
    <w:rsid w:val="00700E28"/>
    <w:rsid w:val="007022E1"/>
    <w:rsid w:val="0070290A"/>
    <w:rsid w:val="0070320D"/>
    <w:rsid w:val="007033FB"/>
    <w:rsid w:val="007040AD"/>
    <w:rsid w:val="007049BE"/>
    <w:rsid w:val="00704A99"/>
    <w:rsid w:val="00704F7C"/>
    <w:rsid w:val="00705D76"/>
    <w:rsid w:val="0070660A"/>
    <w:rsid w:val="00706680"/>
    <w:rsid w:val="00706B95"/>
    <w:rsid w:val="00706F32"/>
    <w:rsid w:val="00707B58"/>
    <w:rsid w:val="00707B88"/>
    <w:rsid w:val="00707EC6"/>
    <w:rsid w:val="00707F3F"/>
    <w:rsid w:val="0071013E"/>
    <w:rsid w:val="00710702"/>
    <w:rsid w:val="007107B7"/>
    <w:rsid w:val="00710E26"/>
    <w:rsid w:val="0071121C"/>
    <w:rsid w:val="007113B6"/>
    <w:rsid w:val="007114B6"/>
    <w:rsid w:val="00711A71"/>
    <w:rsid w:val="00711C04"/>
    <w:rsid w:val="00712829"/>
    <w:rsid w:val="00713390"/>
    <w:rsid w:val="00713748"/>
    <w:rsid w:val="007151E5"/>
    <w:rsid w:val="00716902"/>
    <w:rsid w:val="007175D3"/>
    <w:rsid w:val="00717AFA"/>
    <w:rsid w:val="00717D7C"/>
    <w:rsid w:val="00720042"/>
    <w:rsid w:val="00720655"/>
    <w:rsid w:val="00720BA7"/>
    <w:rsid w:val="00722CF8"/>
    <w:rsid w:val="00723080"/>
    <w:rsid w:val="00723224"/>
    <w:rsid w:val="00723285"/>
    <w:rsid w:val="0072329B"/>
    <w:rsid w:val="00723CDC"/>
    <w:rsid w:val="0072525F"/>
    <w:rsid w:val="00725D4E"/>
    <w:rsid w:val="007272AF"/>
    <w:rsid w:val="007277E1"/>
    <w:rsid w:val="00727812"/>
    <w:rsid w:val="0072790F"/>
    <w:rsid w:val="007307A3"/>
    <w:rsid w:val="00731244"/>
    <w:rsid w:val="00731AE4"/>
    <w:rsid w:val="00731CBA"/>
    <w:rsid w:val="0073264B"/>
    <w:rsid w:val="00732771"/>
    <w:rsid w:val="007333C0"/>
    <w:rsid w:val="007349FD"/>
    <w:rsid w:val="00737C5E"/>
    <w:rsid w:val="007402C7"/>
    <w:rsid w:val="00740E95"/>
    <w:rsid w:val="00741B79"/>
    <w:rsid w:val="007425D6"/>
    <w:rsid w:val="00742777"/>
    <w:rsid w:val="00743424"/>
    <w:rsid w:val="00743AB1"/>
    <w:rsid w:val="0074550E"/>
    <w:rsid w:val="00745A48"/>
    <w:rsid w:val="00745C40"/>
    <w:rsid w:val="00747549"/>
    <w:rsid w:val="0075047D"/>
    <w:rsid w:val="00751B48"/>
    <w:rsid w:val="00752498"/>
    <w:rsid w:val="007535AE"/>
    <w:rsid w:val="00754F7F"/>
    <w:rsid w:val="00755589"/>
    <w:rsid w:val="0075760B"/>
    <w:rsid w:val="007576C7"/>
    <w:rsid w:val="00757D8F"/>
    <w:rsid w:val="00757DCD"/>
    <w:rsid w:val="00760288"/>
    <w:rsid w:val="00760490"/>
    <w:rsid w:val="00760ECE"/>
    <w:rsid w:val="00761014"/>
    <w:rsid w:val="007618D8"/>
    <w:rsid w:val="0076208F"/>
    <w:rsid w:val="00762219"/>
    <w:rsid w:val="007625DB"/>
    <w:rsid w:val="00762725"/>
    <w:rsid w:val="00762EF7"/>
    <w:rsid w:val="00762F07"/>
    <w:rsid w:val="0076323D"/>
    <w:rsid w:val="007638D6"/>
    <w:rsid w:val="00763B28"/>
    <w:rsid w:val="0076430C"/>
    <w:rsid w:val="00764A1D"/>
    <w:rsid w:val="00764DD4"/>
    <w:rsid w:val="0076535E"/>
    <w:rsid w:val="00765824"/>
    <w:rsid w:val="00766571"/>
    <w:rsid w:val="007666F9"/>
    <w:rsid w:val="00766F93"/>
    <w:rsid w:val="007704C6"/>
    <w:rsid w:val="00770543"/>
    <w:rsid w:val="007709DA"/>
    <w:rsid w:val="00770ABF"/>
    <w:rsid w:val="00770BAD"/>
    <w:rsid w:val="00772F22"/>
    <w:rsid w:val="00772F8D"/>
    <w:rsid w:val="00773132"/>
    <w:rsid w:val="0077349C"/>
    <w:rsid w:val="00773831"/>
    <w:rsid w:val="00773B22"/>
    <w:rsid w:val="00774512"/>
    <w:rsid w:val="00775C80"/>
    <w:rsid w:val="0078055F"/>
    <w:rsid w:val="00780CF2"/>
    <w:rsid w:val="007813CF"/>
    <w:rsid w:val="00784404"/>
    <w:rsid w:val="0078497E"/>
    <w:rsid w:val="00784B14"/>
    <w:rsid w:val="00784F2C"/>
    <w:rsid w:val="007850DF"/>
    <w:rsid w:val="00785674"/>
    <w:rsid w:val="00785690"/>
    <w:rsid w:val="0078692E"/>
    <w:rsid w:val="00790432"/>
    <w:rsid w:val="00790494"/>
    <w:rsid w:val="00790808"/>
    <w:rsid w:val="00790FA5"/>
    <w:rsid w:val="007913B6"/>
    <w:rsid w:val="007936DC"/>
    <w:rsid w:val="00794AFE"/>
    <w:rsid w:val="00794CA3"/>
    <w:rsid w:val="00794CEF"/>
    <w:rsid w:val="007974FA"/>
    <w:rsid w:val="0079757D"/>
    <w:rsid w:val="00797995"/>
    <w:rsid w:val="007A0212"/>
    <w:rsid w:val="007A034C"/>
    <w:rsid w:val="007A0AC9"/>
    <w:rsid w:val="007A10C2"/>
    <w:rsid w:val="007A1104"/>
    <w:rsid w:val="007A1A75"/>
    <w:rsid w:val="007A1D54"/>
    <w:rsid w:val="007A2E94"/>
    <w:rsid w:val="007A38B9"/>
    <w:rsid w:val="007A3CEB"/>
    <w:rsid w:val="007A413D"/>
    <w:rsid w:val="007A427A"/>
    <w:rsid w:val="007A4656"/>
    <w:rsid w:val="007A4D9D"/>
    <w:rsid w:val="007A59E3"/>
    <w:rsid w:val="007A6174"/>
    <w:rsid w:val="007A634A"/>
    <w:rsid w:val="007A63B5"/>
    <w:rsid w:val="007A6406"/>
    <w:rsid w:val="007A65E9"/>
    <w:rsid w:val="007A6A9E"/>
    <w:rsid w:val="007A6C84"/>
    <w:rsid w:val="007A7176"/>
    <w:rsid w:val="007A72CF"/>
    <w:rsid w:val="007A7638"/>
    <w:rsid w:val="007B0900"/>
    <w:rsid w:val="007B0B93"/>
    <w:rsid w:val="007B13C7"/>
    <w:rsid w:val="007B13EC"/>
    <w:rsid w:val="007B233C"/>
    <w:rsid w:val="007B2CBB"/>
    <w:rsid w:val="007B452D"/>
    <w:rsid w:val="007B462B"/>
    <w:rsid w:val="007B698D"/>
    <w:rsid w:val="007B7175"/>
    <w:rsid w:val="007C0011"/>
    <w:rsid w:val="007C0309"/>
    <w:rsid w:val="007C0C6B"/>
    <w:rsid w:val="007C154A"/>
    <w:rsid w:val="007C1842"/>
    <w:rsid w:val="007C24AA"/>
    <w:rsid w:val="007C2CD3"/>
    <w:rsid w:val="007C2E4D"/>
    <w:rsid w:val="007C3037"/>
    <w:rsid w:val="007C460F"/>
    <w:rsid w:val="007C65CD"/>
    <w:rsid w:val="007C71D9"/>
    <w:rsid w:val="007C77DE"/>
    <w:rsid w:val="007C7D63"/>
    <w:rsid w:val="007D0D07"/>
    <w:rsid w:val="007D0DFB"/>
    <w:rsid w:val="007D1746"/>
    <w:rsid w:val="007D1E14"/>
    <w:rsid w:val="007D2649"/>
    <w:rsid w:val="007D4838"/>
    <w:rsid w:val="007D516E"/>
    <w:rsid w:val="007D6896"/>
    <w:rsid w:val="007D6B1D"/>
    <w:rsid w:val="007D79B9"/>
    <w:rsid w:val="007D7FB5"/>
    <w:rsid w:val="007E0419"/>
    <w:rsid w:val="007E04C9"/>
    <w:rsid w:val="007E095D"/>
    <w:rsid w:val="007E15CA"/>
    <w:rsid w:val="007E2BC5"/>
    <w:rsid w:val="007E3271"/>
    <w:rsid w:val="007E3C04"/>
    <w:rsid w:val="007E4384"/>
    <w:rsid w:val="007E4E45"/>
    <w:rsid w:val="007E5646"/>
    <w:rsid w:val="007E61C8"/>
    <w:rsid w:val="007E62E8"/>
    <w:rsid w:val="007E63BF"/>
    <w:rsid w:val="007E66ED"/>
    <w:rsid w:val="007F017A"/>
    <w:rsid w:val="007F05B0"/>
    <w:rsid w:val="007F0ACA"/>
    <w:rsid w:val="007F21FB"/>
    <w:rsid w:val="007F2D2B"/>
    <w:rsid w:val="007F301F"/>
    <w:rsid w:val="007F5828"/>
    <w:rsid w:val="007F5DA7"/>
    <w:rsid w:val="007F60C9"/>
    <w:rsid w:val="007F7081"/>
    <w:rsid w:val="007F7256"/>
    <w:rsid w:val="00800178"/>
    <w:rsid w:val="00800743"/>
    <w:rsid w:val="008011CA"/>
    <w:rsid w:val="00802115"/>
    <w:rsid w:val="0080297F"/>
    <w:rsid w:val="00804653"/>
    <w:rsid w:val="008050D4"/>
    <w:rsid w:val="00805376"/>
    <w:rsid w:val="00805E6B"/>
    <w:rsid w:val="00806B48"/>
    <w:rsid w:val="00806B79"/>
    <w:rsid w:val="00807409"/>
    <w:rsid w:val="00807C05"/>
    <w:rsid w:val="00810142"/>
    <w:rsid w:val="00810D7D"/>
    <w:rsid w:val="00810E82"/>
    <w:rsid w:val="0081149E"/>
    <w:rsid w:val="0081255C"/>
    <w:rsid w:val="008139AE"/>
    <w:rsid w:val="00814123"/>
    <w:rsid w:val="008142DE"/>
    <w:rsid w:val="00814482"/>
    <w:rsid w:val="008144F4"/>
    <w:rsid w:val="00814509"/>
    <w:rsid w:val="00815814"/>
    <w:rsid w:val="0081713C"/>
    <w:rsid w:val="00817A3E"/>
    <w:rsid w:val="00817CE9"/>
    <w:rsid w:val="0082098C"/>
    <w:rsid w:val="00820C87"/>
    <w:rsid w:val="00822524"/>
    <w:rsid w:val="0082336A"/>
    <w:rsid w:val="008237D2"/>
    <w:rsid w:val="008248B1"/>
    <w:rsid w:val="00824A60"/>
    <w:rsid w:val="00824D94"/>
    <w:rsid w:val="00826543"/>
    <w:rsid w:val="00827420"/>
    <w:rsid w:val="00827500"/>
    <w:rsid w:val="00827D38"/>
    <w:rsid w:val="00830D77"/>
    <w:rsid w:val="00831610"/>
    <w:rsid w:val="0083401D"/>
    <w:rsid w:val="00834126"/>
    <w:rsid w:val="00834226"/>
    <w:rsid w:val="00834839"/>
    <w:rsid w:val="00835338"/>
    <w:rsid w:val="00835FAD"/>
    <w:rsid w:val="0083660F"/>
    <w:rsid w:val="00837CF8"/>
    <w:rsid w:val="00840530"/>
    <w:rsid w:val="00840EAF"/>
    <w:rsid w:val="0084102B"/>
    <w:rsid w:val="008411AD"/>
    <w:rsid w:val="008415D7"/>
    <w:rsid w:val="0084160B"/>
    <w:rsid w:val="00841666"/>
    <w:rsid w:val="00842134"/>
    <w:rsid w:val="00842394"/>
    <w:rsid w:val="00842B81"/>
    <w:rsid w:val="00843508"/>
    <w:rsid w:val="00844DE2"/>
    <w:rsid w:val="008452CB"/>
    <w:rsid w:val="0084548E"/>
    <w:rsid w:val="008477BC"/>
    <w:rsid w:val="00851032"/>
    <w:rsid w:val="0085148D"/>
    <w:rsid w:val="00851504"/>
    <w:rsid w:val="0085314A"/>
    <w:rsid w:val="00853ECF"/>
    <w:rsid w:val="0085439C"/>
    <w:rsid w:val="00854AD1"/>
    <w:rsid w:val="00855332"/>
    <w:rsid w:val="0085543E"/>
    <w:rsid w:val="0085578B"/>
    <w:rsid w:val="00855CB4"/>
    <w:rsid w:val="00856EEC"/>
    <w:rsid w:val="00857202"/>
    <w:rsid w:val="0085763D"/>
    <w:rsid w:val="008579B9"/>
    <w:rsid w:val="00857C72"/>
    <w:rsid w:val="00860637"/>
    <w:rsid w:val="00860E4D"/>
    <w:rsid w:val="00861337"/>
    <w:rsid w:val="00861906"/>
    <w:rsid w:val="008633F6"/>
    <w:rsid w:val="00863B59"/>
    <w:rsid w:val="00864415"/>
    <w:rsid w:val="008646F4"/>
    <w:rsid w:val="00864EE5"/>
    <w:rsid w:val="0086594A"/>
    <w:rsid w:val="00865A02"/>
    <w:rsid w:val="00865EE8"/>
    <w:rsid w:val="0086750F"/>
    <w:rsid w:val="008676F6"/>
    <w:rsid w:val="00870753"/>
    <w:rsid w:val="00870BED"/>
    <w:rsid w:val="00872B76"/>
    <w:rsid w:val="00873FFC"/>
    <w:rsid w:val="008742D4"/>
    <w:rsid w:val="00874F9C"/>
    <w:rsid w:val="00875B10"/>
    <w:rsid w:val="00875FB0"/>
    <w:rsid w:val="00880122"/>
    <w:rsid w:val="008803DB"/>
    <w:rsid w:val="0088059E"/>
    <w:rsid w:val="00880A20"/>
    <w:rsid w:val="00881014"/>
    <w:rsid w:val="0088132C"/>
    <w:rsid w:val="008814B9"/>
    <w:rsid w:val="00881613"/>
    <w:rsid w:val="008819D7"/>
    <w:rsid w:val="00881CE8"/>
    <w:rsid w:val="00882328"/>
    <w:rsid w:val="0088255E"/>
    <w:rsid w:val="00882B67"/>
    <w:rsid w:val="0088317C"/>
    <w:rsid w:val="00883B30"/>
    <w:rsid w:val="00884217"/>
    <w:rsid w:val="00884BA6"/>
    <w:rsid w:val="008855C7"/>
    <w:rsid w:val="0088645D"/>
    <w:rsid w:val="008868ED"/>
    <w:rsid w:val="00891286"/>
    <w:rsid w:val="00891B2E"/>
    <w:rsid w:val="00893590"/>
    <w:rsid w:val="00893596"/>
    <w:rsid w:val="00893C65"/>
    <w:rsid w:val="00894794"/>
    <w:rsid w:val="00894BAC"/>
    <w:rsid w:val="00894EEA"/>
    <w:rsid w:val="0089578A"/>
    <w:rsid w:val="00895CF2"/>
    <w:rsid w:val="00896B6C"/>
    <w:rsid w:val="008973DD"/>
    <w:rsid w:val="008978E4"/>
    <w:rsid w:val="008A084B"/>
    <w:rsid w:val="008A18DE"/>
    <w:rsid w:val="008A1976"/>
    <w:rsid w:val="008A1A55"/>
    <w:rsid w:val="008A2374"/>
    <w:rsid w:val="008A2709"/>
    <w:rsid w:val="008A3B0F"/>
    <w:rsid w:val="008A44CD"/>
    <w:rsid w:val="008A4910"/>
    <w:rsid w:val="008A53A8"/>
    <w:rsid w:val="008A60AD"/>
    <w:rsid w:val="008A60BD"/>
    <w:rsid w:val="008A6C6B"/>
    <w:rsid w:val="008A6CCF"/>
    <w:rsid w:val="008A76FD"/>
    <w:rsid w:val="008A7BCB"/>
    <w:rsid w:val="008B0347"/>
    <w:rsid w:val="008B03CD"/>
    <w:rsid w:val="008B0AB8"/>
    <w:rsid w:val="008B1368"/>
    <w:rsid w:val="008B2C6E"/>
    <w:rsid w:val="008B37D1"/>
    <w:rsid w:val="008B4713"/>
    <w:rsid w:val="008B4846"/>
    <w:rsid w:val="008B48F3"/>
    <w:rsid w:val="008B6593"/>
    <w:rsid w:val="008B6A09"/>
    <w:rsid w:val="008B7006"/>
    <w:rsid w:val="008C0B15"/>
    <w:rsid w:val="008C0FFE"/>
    <w:rsid w:val="008C2AB7"/>
    <w:rsid w:val="008C3219"/>
    <w:rsid w:val="008C4945"/>
    <w:rsid w:val="008C4ACB"/>
    <w:rsid w:val="008C59D3"/>
    <w:rsid w:val="008C7357"/>
    <w:rsid w:val="008D050A"/>
    <w:rsid w:val="008D08B1"/>
    <w:rsid w:val="008D1ADD"/>
    <w:rsid w:val="008D2AB4"/>
    <w:rsid w:val="008D31E0"/>
    <w:rsid w:val="008D4818"/>
    <w:rsid w:val="008D4E03"/>
    <w:rsid w:val="008D5327"/>
    <w:rsid w:val="008D6086"/>
    <w:rsid w:val="008D6A1C"/>
    <w:rsid w:val="008D6FA8"/>
    <w:rsid w:val="008D747C"/>
    <w:rsid w:val="008E0096"/>
    <w:rsid w:val="008E00B8"/>
    <w:rsid w:val="008E1259"/>
    <w:rsid w:val="008E1935"/>
    <w:rsid w:val="008E292F"/>
    <w:rsid w:val="008E29FF"/>
    <w:rsid w:val="008E31C0"/>
    <w:rsid w:val="008E329C"/>
    <w:rsid w:val="008E5051"/>
    <w:rsid w:val="008E5C69"/>
    <w:rsid w:val="008E65EC"/>
    <w:rsid w:val="008E6D1A"/>
    <w:rsid w:val="008E7021"/>
    <w:rsid w:val="008E79D3"/>
    <w:rsid w:val="008E7E7B"/>
    <w:rsid w:val="008F092E"/>
    <w:rsid w:val="008F0B62"/>
    <w:rsid w:val="008F133D"/>
    <w:rsid w:val="008F1365"/>
    <w:rsid w:val="008F1670"/>
    <w:rsid w:val="008F1B99"/>
    <w:rsid w:val="008F2132"/>
    <w:rsid w:val="008F2249"/>
    <w:rsid w:val="008F28AA"/>
    <w:rsid w:val="008F3D82"/>
    <w:rsid w:val="008F42C8"/>
    <w:rsid w:val="008F4DC2"/>
    <w:rsid w:val="008F572E"/>
    <w:rsid w:val="008F5A54"/>
    <w:rsid w:val="008F5D8C"/>
    <w:rsid w:val="008F63D2"/>
    <w:rsid w:val="008F64AE"/>
    <w:rsid w:val="008F6C65"/>
    <w:rsid w:val="00900033"/>
    <w:rsid w:val="009004DF"/>
    <w:rsid w:val="0090122B"/>
    <w:rsid w:val="009017F9"/>
    <w:rsid w:val="009019ED"/>
    <w:rsid w:val="00901D95"/>
    <w:rsid w:val="009027B1"/>
    <w:rsid w:val="00902D57"/>
    <w:rsid w:val="0090407C"/>
    <w:rsid w:val="00905504"/>
    <w:rsid w:val="00906B8F"/>
    <w:rsid w:val="00906BBF"/>
    <w:rsid w:val="00906CF9"/>
    <w:rsid w:val="009100A1"/>
    <w:rsid w:val="009102F3"/>
    <w:rsid w:val="00910587"/>
    <w:rsid w:val="00910D50"/>
    <w:rsid w:val="009114C1"/>
    <w:rsid w:val="009119E7"/>
    <w:rsid w:val="00913747"/>
    <w:rsid w:val="00913E62"/>
    <w:rsid w:val="009143FC"/>
    <w:rsid w:val="00915F1C"/>
    <w:rsid w:val="00916340"/>
    <w:rsid w:val="00917B17"/>
    <w:rsid w:val="009215B3"/>
    <w:rsid w:val="0092176E"/>
    <w:rsid w:val="00921771"/>
    <w:rsid w:val="00924006"/>
    <w:rsid w:val="009250E4"/>
    <w:rsid w:val="00925958"/>
    <w:rsid w:val="00925D5A"/>
    <w:rsid w:val="009263DA"/>
    <w:rsid w:val="0093028F"/>
    <w:rsid w:val="00930D6E"/>
    <w:rsid w:val="00931895"/>
    <w:rsid w:val="00933E6D"/>
    <w:rsid w:val="00934302"/>
    <w:rsid w:val="0093447D"/>
    <w:rsid w:val="00934ED4"/>
    <w:rsid w:val="00935C34"/>
    <w:rsid w:val="00936BB8"/>
    <w:rsid w:val="00937316"/>
    <w:rsid w:val="00937817"/>
    <w:rsid w:val="009407CC"/>
    <w:rsid w:val="00940969"/>
    <w:rsid w:val="00941460"/>
    <w:rsid w:val="009415E6"/>
    <w:rsid w:val="009416A8"/>
    <w:rsid w:val="00942307"/>
    <w:rsid w:val="009433D5"/>
    <w:rsid w:val="009436AD"/>
    <w:rsid w:val="00943C53"/>
    <w:rsid w:val="00944BB1"/>
    <w:rsid w:val="009453C4"/>
    <w:rsid w:val="0094785D"/>
    <w:rsid w:val="00947C94"/>
    <w:rsid w:val="00951727"/>
    <w:rsid w:val="00951846"/>
    <w:rsid w:val="00951F8F"/>
    <w:rsid w:val="009547A0"/>
    <w:rsid w:val="00955C3A"/>
    <w:rsid w:val="00955EFF"/>
    <w:rsid w:val="00956000"/>
    <w:rsid w:val="0095690D"/>
    <w:rsid w:val="00960CD9"/>
    <w:rsid w:val="00960E15"/>
    <w:rsid w:val="0096221C"/>
    <w:rsid w:val="009622B9"/>
    <w:rsid w:val="00962F51"/>
    <w:rsid w:val="0096360F"/>
    <w:rsid w:val="0096478B"/>
    <w:rsid w:val="009647EF"/>
    <w:rsid w:val="00966EBC"/>
    <w:rsid w:val="00967288"/>
    <w:rsid w:val="00967352"/>
    <w:rsid w:val="0096771D"/>
    <w:rsid w:val="00967CBD"/>
    <w:rsid w:val="0097026B"/>
    <w:rsid w:val="00971384"/>
    <w:rsid w:val="00972005"/>
    <w:rsid w:val="00972124"/>
    <w:rsid w:val="00973D76"/>
    <w:rsid w:val="0097450C"/>
    <w:rsid w:val="009746CD"/>
    <w:rsid w:val="00975419"/>
    <w:rsid w:val="00975672"/>
    <w:rsid w:val="00975891"/>
    <w:rsid w:val="0097591B"/>
    <w:rsid w:val="00975F53"/>
    <w:rsid w:val="009768E6"/>
    <w:rsid w:val="009809D4"/>
    <w:rsid w:val="00981545"/>
    <w:rsid w:val="009816D9"/>
    <w:rsid w:val="009818C1"/>
    <w:rsid w:val="00981D12"/>
    <w:rsid w:val="00982B4B"/>
    <w:rsid w:val="00983912"/>
    <w:rsid w:val="00983E29"/>
    <w:rsid w:val="00986183"/>
    <w:rsid w:val="00986691"/>
    <w:rsid w:val="00986F93"/>
    <w:rsid w:val="009870C7"/>
    <w:rsid w:val="009879AD"/>
    <w:rsid w:val="00990106"/>
    <w:rsid w:val="009901B3"/>
    <w:rsid w:val="009902FB"/>
    <w:rsid w:val="0099045A"/>
    <w:rsid w:val="0099063B"/>
    <w:rsid w:val="00990D70"/>
    <w:rsid w:val="00991417"/>
    <w:rsid w:val="00991731"/>
    <w:rsid w:val="00992311"/>
    <w:rsid w:val="00993604"/>
    <w:rsid w:val="00993814"/>
    <w:rsid w:val="009954B9"/>
    <w:rsid w:val="009964C4"/>
    <w:rsid w:val="00996C9B"/>
    <w:rsid w:val="009973BB"/>
    <w:rsid w:val="00997649"/>
    <w:rsid w:val="00997E5B"/>
    <w:rsid w:val="009A01DD"/>
    <w:rsid w:val="009A07F0"/>
    <w:rsid w:val="009A0E02"/>
    <w:rsid w:val="009A16EF"/>
    <w:rsid w:val="009A176E"/>
    <w:rsid w:val="009A1A84"/>
    <w:rsid w:val="009A2CCF"/>
    <w:rsid w:val="009A32AE"/>
    <w:rsid w:val="009A36FE"/>
    <w:rsid w:val="009A4AD1"/>
    <w:rsid w:val="009A5295"/>
    <w:rsid w:val="009A60BC"/>
    <w:rsid w:val="009A67B2"/>
    <w:rsid w:val="009B20FF"/>
    <w:rsid w:val="009B22BC"/>
    <w:rsid w:val="009B30FB"/>
    <w:rsid w:val="009B3593"/>
    <w:rsid w:val="009B41AF"/>
    <w:rsid w:val="009B491B"/>
    <w:rsid w:val="009B51E7"/>
    <w:rsid w:val="009B5A8B"/>
    <w:rsid w:val="009B6833"/>
    <w:rsid w:val="009B68BD"/>
    <w:rsid w:val="009B7953"/>
    <w:rsid w:val="009B7B21"/>
    <w:rsid w:val="009C11A8"/>
    <w:rsid w:val="009C23DD"/>
    <w:rsid w:val="009C242A"/>
    <w:rsid w:val="009C3469"/>
    <w:rsid w:val="009C3C24"/>
    <w:rsid w:val="009C424A"/>
    <w:rsid w:val="009C4DA6"/>
    <w:rsid w:val="009C50D9"/>
    <w:rsid w:val="009C514B"/>
    <w:rsid w:val="009C5DB1"/>
    <w:rsid w:val="009C5E4A"/>
    <w:rsid w:val="009C78F7"/>
    <w:rsid w:val="009C796C"/>
    <w:rsid w:val="009C7A44"/>
    <w:rsid w:val="009C7D7A"/>
    <w:rsid w:val="009D0398"/>
    <w:rsid w:val="009D0998"/>
    <w:rsid w:val="009D09C4"/>
    <w:rsid w:val="009D0F17"/>
    <w:rsid w:val="009D1679"/>
    <w:rsid w:val="009D176A"/>
    <w:rsid w:val="009D1D9B"/>
    <w:rsid w:val="009D1E2D"/>
    <w:rsid w:val="009D250D"/>
    <w:rsid w:val="009D39E9"/>
    <w:rsid w:val="009D3A7E"/>
    <w:rsid w:val="009D4A03"/>
    <w:rsid w:val="009D4BBA"/>
    <w:rsid w:val="009D5FBF"/>
    <w:rsid w:val="009D68F6"/>
    <w:rsid w:val="009D6930"/>
    <w:rsid w:val="009D7CB3"/>
    <w:rsid w:val="009E069C"/>
    <w:rsid w:val="009E1851"/>
    <w:rsid w:val="009E1E47"/>
    <w:rsid w:val="009E249C"/>
    <w:rsid w:val="009E2F96"/>
    <w:rsid w:val="009E40EF"/>
    <w:rsid w:val="009E4275"/>
    <w:rsid w:val="009E4A2A"/>
    <w:rsid w:val="009E4BCE"/>
    <w:rsid w:val="009E5B01"/>
    <w:rsid w:val="009E70DA"/>
    <w:rsid w:val="009E7DE5"/>
    <w:rsid w:val="009F18CE"/>
    <w:rsid w:val="009F2CF8"/>
    <w:rsid w:val="009F31B6"/>
    <w:rsid w:val="009F3EEF"/>
    <w:rsid w:val="009F4065"/>
    <w:rsid w:val="009F4552"/>
    <w:rsid w:val="009F4B67"/>
    <w:rsid w:val="009F4C1D"/>
    <w:rsid w:val="009F5503"/>
    <w:rsid w:val="009F5866"/>
    <w:rsid w:val="009F615F"/>
    <w:rsid w:val="009F6F81"/>
    <w:rsid w:val="009F71A9"/>
    <w:rsid w:val="00A01176"/>
    <w:rsid w:val="00A0257C"/>
    <w:rsid w:val="00A039E6"/>
    <w:rsid w:val="00A03F0D"/>
    <w:rsid w:val="00A0479D"/>
    <w:rsid w:val="00A05AF4"/>
    <w:rsid w:val="00A05CF3"/>
    <w:rsid w:val="00A0632E"/>
    <w:rsid w:val="00A0748F"/>
    <w:rsid w:val="00A0753F"/>
    <w:rsid w:val="00A07754"/>
    <w:rsid w:val="00A10319"/>
    <w:rsid w:val="00A10453"/>
    <w:rsid w:val="00A10C44"/>
    <w:rsid w:val="00A117A1"/>
    <w:rsid w:val="00A11FFF"/>
    <w:rsid w:val="00A120C7"/>
    <w:rsid w:val="00A1237F"/>
    <w:rsid w:val="00A12592"/>
    <w:rsid w:val="00A12B88"/>
    <w:rsid w:val="00A12B90"/>
    <w:rsid w:val="00A139C2"/>
    <w:rsid w:val="00A13A72"/>
    <w:rsid w:val="00A13CEC"/>
    <w:rsid w:val="00A15247"/>
    <w:rsid w:val="00A15567"/>
    <w:rsid w:val="00A15664"/>
    <w:rsid w:val="00A15A35"/>
    <w:rsid w:val="00A15D28"/>
    <w:rsid w:val="00A16C2D"/>
    <w:rsid w:val="00A16FAF"/>
    <w:rsid w:val="00A202D9"/>
    <w:rsid w:val="00A206EA"/>
    <w:rsid w:val="00A208DF"/>
    <w:rsid w:val="00A2097D"/>
    <w:rsid w:val="00A2121E"/>
    <w:rsid w:val="00A21BD9"/>
    <w:rsid w:val="00A22490"/>
    <w:rsid w:val="00A235C2"/>
    <w:rsid w:val="00A2437C"/>
    <w:rsid w:val="00A27CB5"/>
    <w:rsid w:val="00A27D6F"/>
    <w:rsid w:val="00A30CD0"/>
    <w:rsid w:val="00A3113C"/>
    <w:rsid w:val="00A3196C"/>
    <w:rsid w:val="00A34E38"/>
    <w:rsid w:val="00A35F68"/>
    <w:rsid w:val="00A36840"/>
    <w:rsid w:val="00A3735F"/>
    <w:rsid w:val="00A374CF"/>
    <w:rsid w:val="00A375FB"/>
    <w:rsid w:val="00A37CA6"/>
    <w:rsid w:val="00A37FDE"/>
    <w:rsid w:val="00A40174"/>
    <w:rsid w:val="00A40184"/>
    <w:rsid w:val="00A41747"/>
    <w:rsid w:val="00A41770"/>
    <w:rsid w:val="00A41B9C"/>
    <w:rsid w:val="00A422F9"/>
    <w:rsid w:val="00A42695"/>
    <w:rsid w:val="00A44AC4"/>
    <w:rsid w:val="00A450FD"/>
    <w:rsid w:val="00A45114"/>
    <w:rsid w:val="00A46894"/>
    <w:rsid w:val="00A46CBB"/>
    <w:rsid w:val="00A46E36"/>
    <w:rsid w:val="00A47A03"/>
    <w:rsid w:val="00A512F8"/>
    <w:rsid w:val="00A51E34"/>
    <w:rsid w:val="00A521ED"/>
    <w:rsid w:val="00A52588"/>
    <w:rsid w:val="00A534B2"/>
    <w:rsid w:val="00A54D04"/>
    <w:rsid w:val="00A54DE3"/>
    <w:rsid w:val="00A55626"/>
    <w:rsid w:val="00A55D1E"/>
    <w:rsid w:val="00A5673B"/>
    <w:rsid w:val="00A567D2"/>
    <w:rsid w:val="00A56E67"/>
    <w:rsid w:val="00A572A2"/>
    <w:rsid w:val="00A57D9B"/>
    <w:rsid w:val="00A60EE0"/>
    <w:rsid w:val="00A6193F"/>
    <w:rsid w:val="00A62702"/>
    <w:rsid w:val="00A62800"/>
    <w:rsid w:val="00A62A44"/>
    <w:rsid w:val="00A63099"/>
    <w:rsid w:val="00A63186"/>
    <w:rsid w:val="00A632D6"/>
    <w:rsid w:val="00A63AD6"/>
    <w:rsid w:val="00A64FBA"/>
    <w:rsid w:val="00A659F2"/>
    <w:rsid w:val="00A66887"/>
    <w:rsid w:val="00A6748D"/>
    <w:rsid w:val="00A67496"/>
    <w:rsid w:val="00A674A8"/>
    <w:rsid w:val="00A705DC"/>
    <w:rsid w:val="00A705F0"/>
    <w:rsid w:val="00A70FE2"/>
    <w:rsid w:val="00A719FC"/>
    <w:rsid w:val="00A71CD7"/>
    <w:rsid w:val="00A7331D"/>
    <w:rsid w:val="00A742C5"/>
    <w:rsid w:val="00A77171"/>
    <w:rsid w:val="00A77297"/>
    <w:rsid w:val="00A77377"/>
    <w:rsid w:val="00A7793E"/>
    <w:rsid w:val="00A77B5C"/>
    <w:rsid w:val="00A80323"/>
    <w:rsid w:val="00A80505"/>
    <w:rsid w:val="00A807C2"/>
    <w:rsid w:val="00A808E2"/>
    <w:rsid w:val="00A81616"/>
    <w:rsid w:val="00A818FF"/>
    <w:rsid w:val="00A81E2D"/>
    <w:rsid w:val="00A82819"/>
    <w:rsid w:val="00A8334B"/>
    <w:rsid w:val="00A8397B"/>
    <w:rsid w:val="00A8440D"/>
    <w:rsid w:val="00A84C32"/>
    <w:rsid w:val="00A85053"/>
    <w:rsid w:val="00A8521D"/>
    <w:rsid w:val="00A858B6"/>
    <w:rsid w:val="00A85BE2"/>
    <w:rsid w:val="00A876E2"/>
    <w:rsid w:val="00A90CBB"/>
    <w:rsid w:val="00A91064"/>
    <w:rsid w:val="00A922B6"/>
    <w:rsid w:val="00A92BDA"/>
    <w:rsid w:val="00A931B2"/>
    <w:rsid w:val="00A93D56"/>
    <w:rsid w:val="00A94E4F"/>
    <w:rsid w:val="00A96B4F"/>
    <w:rsid w:val="00AA0428"/>
    <w:rsid w:val="00AA0801"/>
    <w:rsid w:val="00AA0D56"/>
    <w:rsid w:val="00AA0DE8"/>
    <w:rsid w:val="00AA1D19"/>
    <w:rsid w:val="00AA2590"/>
    <w:rsid w:val="00AA273D"/>
    <w:rsid w:val="00AA2758"/>
    <w:rsid w:val="00AA3063"/>
    <w:rsid w:val="00AA3ADB"/>
    <w:rsid w:val="00AA4298"/>
    <w:rsid w:val="00AA47C8"/>
    <w:rsid w:val="00AA579E"/>
    <w:rsid w:val="00AA5A39"/>
    <w:rsid w:val="00AA6128"/>
    <w:rsid w:val="00AA7811"/>
    <w:rsid w:val="00AA7EAA"/>
    <w:rsid w:val="00AB004A"/>
    <w:rsid w:val="00AB04F4"/>
    <w:rsid w:val="00AB0536"/>
    <w:rsid w:val="00AB0757"/>
    <w:rsid w:val="00AB1AA8"/>
    <w:rsid w:val="00AB1E03"/>
    <w:rsid w:val="00AB1E5B"/>
    <w:rsid w:val="00AB200C"/>
    <w:rsid w:val="00AB227C"/>
    <w:rsid w:val="00AB244B"/>
    <w:rsid w:val="00AB3106"/>
    <w:rsid w:val="00AB3B84"/>
    <w:rsid w:val="00AB4A2B"/>
    <w:rsid w:val="00AB56CA"/>
    <w:rsid w:val="00AB5731"/>
    <w:rsid w:val="00AB5EA2"/>
    <w:rsid w:val="00AB6B57"/>
    <w:rsid w:val="00AB6F2C"/>
    <w:rsid w:val="00AC399B"/>
    <w:rsid w:val="00AC4381"/>
    <w:rsid w:val="00AC4AC9"/>
    <w:rsid w:val="00AC4BD5"/>
    <w:rsid w:val="00AC6506"/>
    <w:rsid w:val="00AC6F58"/>
    <w:rsid w:val="00AC7E02"/>
    <w:rsid w:val="00AD0CFD"/>
    <w:rsid w:val="00AD105A"/>
    <w:rsid w:val="00AD12F6"/>
    <w:rsid w:val="00AD15B0"/>
    <w:rsid w:val="00AD1D1A"/>
    <w:rsid w:val="00AD1E38"/>
    <w:rsid w:val="00AD221E"/>
    <w:rsid w:val="00AD2CA8"/>
    <w:rsid w:val="00AD307C"/>
    <w:rsid w:val="00AD30C8"/>
    <w:rsid w:val="00AD34D4"/>
    <w:rsid w:val="00AD3E2A"/>
    <w:rsid w:val="00AD41CC"/>
    <w:rsid w:val="00AD421D"/>
    <w:rsid w:val="00AD4DEC"/>
    <w:rsid w:val="00AD5CD6"/>
    <w:rsid w:val="00AD6CE1"/>
    <w:rsid w:val="00AE02EC"/>
    <w:rsid w:val="00AE1953"/>
    <w:rsid w:val="00AE1DFC"/>
    <w:rsid w:val="00AE2ADB"/>
    <w:rsid w:val="00AE2C01"/>
    <w:rsid w:val="00AE35E2"/>
    <w:rsid w:val="00AE4E58"/>
    <w:rsid w:val="00AE5259"/>
    <w:rsid w:val="00AE5C9B"/>
    <w:rsid w:val="00AE6772"/>
    <w:rsid w:val="00AE7646"/>
    <w:rsid w:val="00AE79E0"/>
    <w:rsid w:val="00AE7CEB"/>
    <w:rsid w:val="00AF0336"/>
    <w:rsid w:val="00AF0580"/>
    <w:rsid w:val="00AF080A"/>
    <w:rsid w:val="00AF208F"/>
    <w:rsid w:val="00AF2D16"/>
    <w:rsid w:val="00AF3186"/>
    <w:rsid w:val="00AF40BA"/>
    <w:rsid w:val="00AF4FD5"/>
    <w:rsid w:val="00AF58BD"/>
    <w:rsid w:val="00AF5CF3"/>
    <w:rsid w:val="00AF5E95"/>
    <w:rsid w:val="00AF5F90"/>
    <w:rsid w:val="00AF673A"/>
    <w:rsid w:val="00AF7284"/>
    <w:rsid w:val="00AF7926"/>
    <w:rsid w:val="00AF7F56"/>
    <w:rsid w:val="00B01A5E"/>
    <w:rsid w:val="00B01D40"/>
    <w:rsid w:val="00B021A2"/>
    <w:rsid w:val="00B02486"/>
    <w:rsid w:val="00B02C35"/>
    <w:rsid w:val="00B02FFE"/>
    <w:rsid w:val="00B04B6C"/>
    <w:rsid w:val="00B05154"/>
    <w:rsid w:val="00B05DCC"/>
    <w:rsid w:val="00B06CB4"/>
    <w:rsid w:val="00B072A3"/>
    <w:rsid w:val="00B07A86"/>
    <w:rsid w:val="00B1057A"/>
    <w:rsid w:val="00B12215"/>
    <w:rsid w:val="00B12B49"/>
    <w:rsid w:val="00B12BE1"/>
    <w:rsid w:val="00B12CC9"/>
    <w:rsid w:val="00B12E11"/>
    <w:rsid w:val="00B13263"/>
    <w:rsid w:val="00B13953"/>
    <w:rsid w:val="00B1663B"/>
    <w:rsid w:val="00B16A4F"/>
    <w:rsid w:val="00B16D49"/>
    <w:rsid w:val="00B17262"/>
    <w:rsid w:val="00B17DF6"/>
    <w:rsid w:val="00B2032E"/>
    <w:rsid w:val="00B208E7"/>
    <w:rsid w:val="00B20CAE"/>
    <w:rsid w:val="00B217E8"/>
    <w:rsid w:val="00B22EC9"/>
    <w:rsid w:val="00B232AF"/>
    <w:rsid w:val="00B25206"/>
    <w:rsid w:val="00B2573C"/>
    <w:rsid w:val="00B268BB"/>
    <w:rsid w:val="00B268F8"/>
    <w:rsid w:val="00B27682"/>
    <w:rsid w:val="00B277C1"/>
    <w:rsid w:val="00B27EE7"/>
    <w:rsid w:val="00B319D1"/>
    <w:rsid w:val="00B320BE"/>
    <w:rsid w:val="00B34323"/>
    <w:rsid w:val="00B358BA"/>
    <w:rsid w:val="00B366A1"/>
    <w:rsid w:val="00B36B52"/>
    <w:rsid w:val="00B3738C"/>
    <w:rsid w:val="00B37C19"/>
    <w:rsid w:val="00B400EF"/>
    <w:rsid w:val="00B40C1D"/>
    <w:rsid w:val="00B41572"/>
    <w:rsid w:val="00B42442"/>
    <w:rsid w:val="00B43EFE"/>
    <w:rsid w:val="00B44600"/>
    <w:rsid w:val="00B447D3"/>
    <w:rsid w:val="00B44F95"/>
    <w:rsid w:val="00B456EF"/>
    <w:rsid w:val="00B45C89"/>
    <w:rsid w:val="00B47884"/>
    <w:rsid w:val="00B5021E"/>
    <w:rsid w:val="00B508DA"/>
    <w:rsid w:val="00B5094E"/>
    <w:rsid w:val="00B50D86"/>
    <w:rsid w:val="00B50D8A"/>
    <w:rsid w:val="00B50FBC"/>
    <w:rsid w:val="00B50FF6"/>
    <w:rsid w:val="00B5125D"/>
    <w:rsid w:val="00B52414"/>
    <w:rsid w:val="00B5266A"/>
    <w:rsid w:val="00B535A1"/>
    <w:rsid w:val="00B535F4"/>
    <w:rsid w:val="00B53A6F"/>
    <w:rsid w:val="00B53CAD"/>
    <w:rsid w:val="00B54769"/>
    <w:rsid w:val="00B547A7"/>
    <w:rsid w:val="00B55363"/>
    <w:rsid w:val="00B55596"/>
    <w:rsid w:val="00B5599A"/>
    <w:rsid w:val="00B55AEE"/>
    <w:rsid w:val="00B55ECC"/>
    <w:rsid w:val="00B56EAE"/>
    <w:rsid w:val="00B57380"/>
    <w:rsid w:val="00B61080"/>
    <w:rsid w:val="00B61E45"/>
    <w:rsid w:val="00B62043"/>
    <w:rsid w:val="00B62A55"/>
    <w:rsid w:val="00B635D6"/>
    <w:rsid w:val="00B639F0"/>
    <w:rsid w:val="00B6438D"/>
    <w:rsid w:val="00B6469B"/>
    <w:rsid w:val="00B648D2"/>
    <w:rsid w:val="00B6518D"/>
    <w:rsid w:val="00B652EA"/>
    <w:rsid w:val="00B65A58"/>
    <w:rsid w:val="00B65DBB"/>
    <w:rsid w:val="00B67A3D"/>
    <w:rsid w:val="00B70670"/>
    <w:rsid w:val="00B7140F"/>
    <w:rsid w:val="00B71493"/>
    <w:rsid w:val="00B719E8"/>
    <w:rsid w:val="00B71EBF"/>
    <w:rsid w:val="00B72A0C"/>
    <w:rsid w:val="00B72DDC"/>
    <w:rsid w:val="00B7364C"/>
    <w:rsid w:val="00B73D5D"/>
    <w:rsid w:val="00B74007"/>
    <w:rsid w:val="00B74319"/>
    <w:rsid w:val="00B74320"/>
    <w:rsid w:val="00B743FE"/>
    <w:rsid w:val="00B753CD"/>
    <w:rsid w:val="00B7570C"/>
    <w:rsid w:val="00B75D60"/>
    <w:rsid w:val="00B7660D"/>
    <w:rsid w:val="00B7710E"/>
    <w:rsid w:val="00B775B8"/>
    <w:rsid w:val="00B77F0D"/>
    <w:rsid w:val="00B801AA"/>
    <w:rsid w:val="00B803B2"/>
    <w:rsid w:val="00B80855"/>
    <w:rsid w:val="00B82219"/>
    <w:rsid w:val="00B82761"/>
    <w:rsid w:val="00B827D7"/>
    <w:rsid w:val="00B82CDD"/>
    <w:rsid w:val="00B82EB1"/>
    <w:rsid w:val="00B83506"/>
    <w:rsid w:val="00B838CD"/>
    <w:rsid w:val="00B83C1A"/>
    <w:rsid w:val="00B86290"/>
    <w:rsid w:val="00B8656B"/>
    <w:rsid w:val="00B86A31"/>
    <w:rsid w:val="00B87913"/>
    <w:rsid w:val="00B87949"/>
    <w:rsid w:val="00B87B26"/>
    <w:rsid w:val="00B907DE"/>
    <w:rsid w:val="00B90B20"/>
    <w:rsid w:val="00B91F0D"/>
    <w:rsid w:val="00B92058"/>
    <w:rsid w:val="00B92BA4"/>
    <w:rsid w:val="00B9307D"/>
    <w:rsid w:val="00B93847"/>
    <w:rsid w:val="00B940D6"/>
    <w:rsid w:val="00B94110"/>
    <w:rsid w:val="00B95DB5"/>
    <w:rsid w:val="00B96D93"/>
    <w:rsid w:val="00B96E0A"/>
    <w:rsid w:val="00BA086D"/>
    <w:rsid w:val="00BA17C8"/>
    <w:rsid w:val="00BA1A83"/>
    <w:rsid w:val="00BA1AEE"/>
    <w:rsid w:val="00BA2F77"/>
    <w:rsid w:val="00BA38CF"/>
    <w:rsid w:val="00BA396A"/>
    <w:rsid w:val="00BA3B4D"/>
    <w:rsid w:val="00BA3BB9"/>
    <w:rsid w:val="00BA3E03"/>
    <w:rsid w:val="00BA440E"/>
    <w:rsid w:val="00BA5988"/>
    <w:rsid w:val="00BA5EA9"/>
    <w:rsid w:val="00BA6677"/>
    <w:rsid w:val="00BA6CF0"/>
    <w:rsid w:val="00BA7DB6"/>
    <w:rsid w:val="00BB07BE"/>
    <w:rsid w:val="00BB07CA"/>
    <w:rsid w:val="00BB107C"/>
    <w:rsid w:val="00BB2243"/>
    <w:rsid w:val="00BB26BD"/>
    <w:rsid w:val="00BB3259"/>
    <w:rsid w:val="00BB3BCA"/>
    <w:rsid w:val="00BB3FFB"/>
    <w:rsid w:val="00BB4A80"/>
    <w:rsid w:val="00BB5340"/>
    <w:rsid w:val="00BB5558"/>
    <w:rsid w:val="00BB6C1E"/>
    <w:rsid w:val="00BC0938"/>
    <w:rsid w:val="00BC0BD8"/>
    <w:rsid w:val="00BC2228"/>
    <w:rsid w:val="00BC2FB5"/>
    <w:rsid w:val="00BC5DFE"/>
    <w:rsid w:val="00BC6258"/>
    <w:rsid w:val="00BD14DA"/>
    <w:rsid w:val="00BD16A2"/>
    <w:rsid w:val="00BD16CA"/>
    <w:rsid w:val="00BD17B8"/>
    <w:rsid w:val="00BD17DC"/>
    <w:rsid w:val="00BD2385"/>
    <w:rsid w:val="00BD4AF8"/>
    <w:rsid w:val="00BD581A"/>
    <w:rsid w:val="00BD58F4"/>
    <w:rsid w:val="00BD6551"/>
    <w:rsid w:val="00BD6B29"/>
    <w:rsid w:val="00BD7267"/>
    <w:rsid w:val="00BD7941"/>
    <w:rsid w:val="00BD7959"/>
    <w:rsid w:val="00BD7AB8"/>
    <w:rsid w:val="00BE085B"/>
    <w:rsid w:val="00BE0887"/>
    <w:rsid w:val="00BE0D35"/>
    <w:rsid w:val="00BE266C"/>
    <w:rsid w:val="00BE2894"/>
    <w:rsid w:val="00BE2988"/>
    <w:rsid w:val="00BE43EF"/>
    <w:rsid w:val="00BE48A9"/>
    <w:rsid w:val="00BE4D39"/>
    <w:rsid w:val="00BE4DC8"/>
    <w:rsid w:val="00BE5175"/>
    <w:rsid w:val="00BE6E37"/>
    <w:rsid w:val="00BE6F4B"/>
    <w:rsid w:val="00BE7AE5"/>
    <w:rsid w:val="00BE7FDF"/>
    <w:rsid w:val="00BF05F5"/>
    <w:rsid w:val="00BF0B19"/>
    <w:rsid w:val="00BF0C21"/>
    <w:rsid w:val="00BF0C83"/>
    <w:rsid w:val="00BF0CD5"/>
    <w:rsid w:val="00BF10DC"/>
    <w:rsid w:val="00BF11EE"/>
    <w:rsid w:val="00BF1246"/>
    <w:rsid w:val="00BF30D4"/>
    <w:rsid w:val="00BF3216"/>
    <w:rsid w:val="00BF35F2"/>
    <w:rsid w:val="00BF454F"/>
    <w:rsid w:val="00BF480E"/>
    <w:rsid w:val="00BF4B19"/>
    <w:rsid w:val="00BF4BF4"/>
    <w:rsid w:val="00BF51F8"/>
    <w:rsid w:val="00BF60FB"/>
    <w:rsid w:val="00BF6BC2"/>
    <w:rsid w:val="00BF75DD"/>
    <w:rsid w:val="00BF7616"/>
    <w:rsid w:val="00BF7620"/>
    <w:rsid w:val="00C01054"/>
    <w:rsid w:val="00C012B3"/>
    <w:rsid w:val="00C012D5"/>
    <w:rsid w:val="00C0222E"/>
    <w:rsid w:val="00C02634"/>
    <w:rsid w:val="00C0398A"/>
    <w:rsid w:val="00C0420F"/>
    <w:rsid w:val="00C0470E"/>
    <w:rsid w:val="00C04D71"/>
    <w:rsid w:val="00C050DB"/>
    <w:rsid w:val="00C06666"/>
    <w:rsid w:val="00C06C13"/>
    <w:rsid w:val="00C074CA"/>
    <w:rsid w:val="00C07F30"/>
    <w:rsid w:val="00C10750"/>
    <w:rsid w:val="00C112F8"/>
    <w:rsid w:val="00C1189D"/>
    <w:rsid w:val="00C11ABA"/>
    <w:rsid w:val="00C12496"/>
    <w:rsid w:val="00C12C03"/>
    <w:rsid w:val="00C12EFC"/>
    <w:rsid w:val="00C130E8"/>
    <w:rsid w:val="00C1366B"/>
    <w:rsid w:val="00C1469A"/>
    <w:rsid w:val="00C14C24"/>
    <w:rsid w:val="00C155C9"/>
    <w:rsid w:val="00C16047"/>
    <w:rsid w:val="00C20872"/>
    <w:rsid w:val="00C20C2B"/>
    <w:rsid w:val="00C22F14"/>
    <w:rsid w:val="00C23BD9"/>
    <w:rsid w:val="00C23DE0"/>
    <w:rsid w:val="00C23E3F"/>
    <w:rsid w:val="00C248E4"/>
    <w:rsid w:val="00C24E48"/>
    <w:rsid w:val="00C30357"/>
    <w:rsid w:val="00C308AD"/>
    <w:rsid w:val="00C30E75"/>
    <w:rsid w:val="00C312C1"/>
    <w:rsid w:val="00C31EAC"/>
    <w:rsid w:val="00C31ED5"/>
    <w:rsid w:val="00C321BE"/>
    <w:rsid w:val="00C32A23"/>
    <w:rsid w:val="00C334CC"/>
    <w:rsid w:val="00C3468F"/>
    <w:rsid w:val="00C35560"/>
    <w:rsid w:val="00C35754"/>
    <w:rsid w:val="00C36452"/>
    <w:rsid w:val="00C37C37"/>
    <w:rsid w:val="00C40878"/>
    <w:rsid w:val="00C408BB"/>
    <w:rsid w:val="00C40A89"/>
    <w:rsid w:val="00C40B12"/>
    <w:rsid w:val="00C40BF0"/>
    <w:rsid w:val="00C40DA6"/>
    <w:rsid w:val="00C40EAB"/>
    <w:rsid w:val="00C411AB"/>
    <w:rsid w:val="00C425AA"/>
    <w:rsid w:val="00C433DF"/>
    <w:rsid w:val="00C44303"/>
    <w:rsid w:val="00C44393"/>
    <w:rsid w:val="00C448B7"/>
    <w:rsid w:val="00C45145"/>
    <w:rsid w:val="00C46202"/>
    <w:rsid w:val="00C46E5A"/>
    <w:rsid w:val="00C47624"/>
    <w:rsid w:val="00C47901"/>
    <w:rsid w:val="00C47F66"/>
    <w:rsid w:val="00C500FA"/>
    <w:rsid w:val="00C50869"/>
    <w:rsid w:val="00C51601"/>
    <w:rsid w:val="00C53602"/>
    <w:rsid w:val="00C54BBD"/>
    <w:rsid w:val="00C55023"/>
    <w:rsid w:val="00C55728"/>
    <w:rsid w:val="00C5585F"/>
    <w:rsid w:val="00C558D9"/>
    <w:rsid w:val="00C57223"/>
    <w:rsid w:val="00C6012A"/>
    <w:rsid w:val="00C612F0"/>
    <w:rsid w:val="00C61AEE"/>
    <w:rsid w:val="00C629F5"/>
    <w:rsid w:val="00C629FD"/>
    <w:rsid w:val="00C62B8A"/>
    <w:rsid w:val="00C63946"/>
    <w:rsid w:val="00C63D40"/>
    <w:rsid w:val="00C640D9"/>
    <w:rsid w:val="00C644A0"/>
    <w:rsid w:val="00C6488D"/>
    <w:rsid w:val="00C64CCF"/>
    <w:rsid w:val="00C66EE0"/>
    <w:rsid w:val="00C67A89"/>
    <w:rsid w:val="00C67E7E"/>
    <w:rsid w:val="00C700B2"/>
    <w:rsid w:val="00C700F9"/>
    <w:rsid w:val="00C704CE"/>
    <w:rsid w:val="00C70CCA"/>
    <w:rsid w:val="00C72794"/>
    <w:rsid w:val="00C72869"/>
    <w:rsid w:val="00C7318D"/>
    <w:rsid w:val="00C7389D"/>
    <w:rsid w:val="00C74011"/>
    <w:rsid w:val="00C74AD3"/>
    <w:rsid w:val="00C74FB7"/>
    <w:rsid w:val="00C7504C"/>
    <w:rsid w:val="00C75318"/>
    <w:rsid w:val="00C759C1"/>
    <w:rsid w:val="00C764DB"/>
    <w:rsid w:val="00C76BB7"/>
    <w:rsid w:val="00C77793"/>
    <w:rsid w:val="00C808CA"/>
    <w:rsid w:val="00C81E1A"/>
    <w:rsid w:val="00C83AA4"/>
    <w:rsid w:val="00C842C7"/>
    <w:rsid w:val="00C8532E"/>
    <w:rsid w:val="00C85DE4"/>
    <w:rsid w:val="00C866F6"/>
    <w:rsid w:val="00C86E3F"/>
    <w:rsid w:val="00C8793D"/>
    <w:rsid w:val="00C87B1E"/>
    <w:rsid w:val="00C90091"/>
    <w:rsid w:val="00C92600"/>
    <w:rsid w:val="00C93782"/>
    <w:rsid w:val="00C94032"/>
    <w:rsid w:val="00C9439C"/>
    <w:rsid w:val="00C94EA9"/>
    <w:rsid w:val="00C95011"/>
    <w:rsid w:val="00C95513"/>
    <w:rsid w:val="00C95C89"/>
    <w:rsid w:val="00C97834"/>
    <w:rsid w:val="00C97AEC"/>
    <w:rsid w:val="00C97CDD"/>
    <w:rsid w:val="00C97F5B"/>
    <w:rsid w:val="00CA03AB"/>
    <w:rsid w:val="00CA0B0A"/>
    <w:rsid w:val="00CA1540"/>
    <w:rsid w:val="00CA17EE"/>
    <w:rsid w:val="00CA2332"/>
    <w:rsid w:val="00CA3355"/>
    <w:rsid w:val="00CA4DA6"/>
    <w:rsid w:val="00CA7945"/>
    <w:rsid w:val="00CA7A4C"/>
    <w:rsid w:val="00CB109B"/>
    <w:rsid w:val="00CB1B6F"/>
    <w:rsid w:val="00CB1BC6"/>
    <w:rsid w:val="00CB2250"/>
    <w:rsid w:val="00CB289A"/>
    <w:rsid w:val="00CB328A"/>
    <w:rsid w:val="00CB3D0A"/>
    <w:rsid w:val="00CB4A4F"/>
    <w:rsid w:val="00CB5982"/>
    <w:rsid w:val="00CB59B4"/>
    <w:rsid w:val="00CB6058"/>
    <w:rsid w:val="00CB6081"/>
    <w:rsid w:val="00CB7142"/>
    <w:rsid w:val="00CB7ADB"/>
    <w:rsid w:val="00CC1AF7"/>
    <w:rsid w:val="00CC2A25"/>
    <w:rsid w:val="00CC2C3B"/>
    <w:rsid w:val="00CC5645"/>
    <w:rsid w:val="00CC608F"/>
    <w:rsid w:val="00CC60EA"/>
    <w:rsid w:val="00CC69CB"/>
    <w:rsid w:val="00CC78DD"/>
    <w:rsid w:val="00CC7A0B"/>
    <w:rsid w:val="00CC7AF9"/>
    <w:rsid w:val="00CD17D5"/>
    <w:rsid w:val="00CD185E"/>
    <w:rsid w:val="00CD1D2C"/>
    <w:rsid w:val="00CD216C"/>
    <w:rsid w:val="00CD34B3"/>
    <w:rsid w:val="00CD3933"/>
    <w:rsid w:val="00CD3E25"/>
    <w:rsid w:val="00CD44D3"/>
    <w:rsid w:val="00CD4F85"/>
    <w:rsid w:val="00CD5205"/>
    <w:rsid w:val="00CD54D9"/>
    <w:rsid w:val="00CD54DA"/>
    <w:rsid w:val="00CD6B8C"/>
    <w:rsid w:val="00CD73DC"/>
    <w:rsid w:val="00CE047F"/>
    <w:rsid w:val="00CE11FE"/>
    <w:rsid w:val="00CE279C"/>
    <w:rsid w:val="00CE2E5D"/>
    <w:rsid w:val="00CE3476"/>
    <w:rsid w:val="00CE3F73"/>
    <w:rsid w:val="00CE58BA"/>
    <w:rsid w:val="00CF0C11"/>
    <w:rsid w:val="00CF126E"/>
    <w:rsid w:val="00CF1B95"/>
    <w:rsid w:val="00CF2654"/>
    <w:rsid w:val="00CF2A17"/>
    <w:rsid w:val="00CF2C79"/>
    <w:rsid w:val="00CF2F34"/>
    <w:rsid w:val="00CF4433"/>
    <w:rsid w:val="00CF5640"/>
    <w:rsid w:val="00CF5872"/>
    <w:rsid w:val="00CF6C37"/>
    <w:rsid w:val="00CF7E51"/>
    <w:rsid w:val="00D001EF"/>
    <w:rsid w:val="00D00265"/>
    <w:rsid w:val="00D02657"/>
    <w:rsid w:val="00D0266E"/>
    <w:rsid w:val="00D041F1"/>
    <w:rsid w:val="00D04A21"/>
    <w:rsid w:val="00D04E0B"/>
    <w:rsid w:val="00D05A65"/>
    <w:rsid w:val="00D0635D"/>
    <w:rsid w:val="00D07D31"/>
    <w:rsid w:val="00D07F09"/>
    <w:rsid w:val="00D101D9"/>
    <w:rsid w:val="00D1126C"/>
    <w:rsid w:val="00D11A14"/>
    <w:rsid w:val="00D12228"/>
    <w:rsid w:val="00D12A1E"/>
    <w:rsid w:val="00D133F8"/>
    <w:rsid w:val="00D146FC"/>
    <w:rsid w:val="00D14B54"/>
    <w:rsid w:val="00D15336"/>
    <w:rsid w:val="00D16DF7"/>
    <w:rsid w:val="00D16F70"/>
    <w:rsid w:val="00D1768D"/>
    <w:rsid w:val="00D17B8B"/>
    <w:rsid w:val="00D17DCF"/>
    <w:rsid w:val="00D20F6E"/>
    <w:rsid w:val="00D21313"/>
    <w:rsid w:val="00D213C7"/>
    <w:rsid w:val="00D22168"/>
    <w:rsid w:val="00D22E0B"/>
    <w:rsid w:val="00D2318D"/>
    <w:rsid w:val="00D23463"/>
    <w:rsid w:val="00D23520"/>
    <w:rsid w:val="00D242C6"/>
    <w:rsid w:val="00D247B7"/>
    <w:rsid w:val="00D255C8"/>
    <w:rsid w:val="00D26BF4"/>
    <w:rsid w:val="00D2741E"/>
    <w:rsid w:val="00D27FC7"/>
    <w:rsid w:val="00D3001E"/>
    <w:rsid w:val="00D30AFC"/>
    <w:rsid w:val="00D30B3A"/>
    <w:rsid w:val="00D32873"/>
    <w:rsid w:val="00D32C4F"/>
    <w:rsid w:val="00D337A9"/>
    <w:rsid w:val="00D34183"/>
    <w:rsid w:val="00D349E6"/>
    <w:rsid w:val="00D353D9"/>
    <w:rsid w:val="00D36A63"/>
    <w:rsid w:val="00D36BE7"/>
    <w:rsid w:val="00D402A3"/>
    <w:rsid w:val="00D40AE2"/>
    <w:rsid w:val="00D41262"/>
    <w:rsid w:val="00D42E40"/>
    <w:rsid w:val="00D44487"/>
    <w:rsid w:val="00D44C3F"/>
    <w:rsid w:val="00D4559A"/>
    <w:rsid w:val="00D459B6"/>
    <w:rsid w:val="00D47242"/>
    <w:rsid w:val="00D479F2"/>
    <w:rsid w:val="00D50142"/>
    <w:rsid w:val="00D501B4"/>
    <w:rsid w:val="00D50C22"/>
    <w:rsid w:val="00D50CF9"/>
    <w:rsid w:val="00D523BE"/>
    <w:rsid w:val="00D52C26"/>
    <w:rsid w:val="00D52CB4"/>
    <w:rsid w:val="00D536BF"/>
    <w:rsid w:val="00D53932"/>
    <w:rsid w:val="00D54FBC"/>
    <w:rsid w:val="00D56ADB"/>
    <w:rsid w:val="00D60E9A"/>
    <w:rsid w:val="00D61141"/>
    <w:rsid w:val="00D61520"/>
    <w:rsid w:val="00D61CF0"/>
    <w:rsid w:val="00D6300D"/>
    <w:rsid w:val="00D63840"/>
    <w:rsid w:val="00D64361"/>
    <w:rsid w:val="00D64AAF"/>
    <w:rsid w:val="00D64ADE"/>
    <w:rsid w:val="00D659E4"/>
    <w:rsid w:val="00D65E99"/>
    <w:rsid w:val="00D661E3"/>
    <w:rsid w:val="00D6673E"/>
    <w:rsid w:val="00D67BCF"/>
    <w:rsid w:val="00D67EF9"/>
    <w:rsid w:val="00D709AD"/>
    <w:rsid w:val="00D7111B"/>
    <w:rsid w:val="00D71682"/>
    <w:rsid w:val="00D739A3"/>
    <w:rsid w:val="00D740A8"/>
    <w:rsid w:val="00D74585"/>
    <w:rsid w:val="00D745B3"/>
    <w:rsid w:val="00D74EA2"/>
    <w:rsid w:val="00D75129"/>
    <w:rsid w:val="00D75B60"/>
    <w:rsid w:val="00D77100"/>
    <w:rsid w:val="00D77997"/>
    <w:rsid w:val="00D801B6"/>
    <w:rsid w:val="00D80B9F"/>
    <w:rsid w:val="00D81BE3"/>
    <w:rsid w:val="00D829CD"/>
    <w:rsid w:val="00D82DE9"/>
    <w:rsid w:val="00D83412"/>
    <w:rsid w:val="00D835A7"/>
    <w:rsid w:val="00D83759"/>
    <w:rsid w:val="00D84ABE"/>
    <w:rsid w:val="00D85255"/>
    <w:rsid w:val="00D855E5"/>
    <w:rsid w:val="00D86D1E"/>
    <w:rsid w:val="00D87420"/>
    <w:rsid w:val="00D87B2E"/>
    <w:rsid w:val="00D91D13"/>
    <w:rsid w:val="00D91D38"/>
    <w:rsid w:val="00D927DD"/>
    <w:rsid w:val="00D92F8D"/>
    <w:rsid w:val="00D936AD"/>
    <w:rsid w:val="00D939EE"/>
    <w:rsid w:val="00D95501"/>
    <w:rsid w:val="00D95823"/>
    <w:rsid w:val="00D95E59"/>
    <w:rsid w:val="00D95EBC"/>
    <w:rsid w:val="00D96608"/>
    <w:rsid w:val="00D974CF"/>
    <w:rsid w:val="00D976F8"/>
    <w:rsid w:val="00D97F5F"/>
    <w:rsid w:val="00DA0F36"/>
    <w:rsid w:val="00DA181E"/>
    <w:rsid w:val="00DA1A1C"/>
    <w:rsid w:val="00DA21E6"/>
    <w:rsid w:val="00DA2F4B"/>
    <w:rsid w:val="00DA2F8B"/>
    <w:rsid w:val="00DA3253"/>
    <w:rsid w:val="00DA39B7"/>
    <w:rsid w:val="00DA3EA5"/>
    <w:rsid w:val="00DA496E"/>
    <w:rsid w:val="00DA5358"/>
    <w:rsid w:val="00DA5796"/>
    <w:rsid w:val="00DA5940"/>
    <w:rsid w:val="00DA5F8D"/>
    <w:rsid w:val="00DA618B"/>
    <w:rsid w:val="00DA6C8E"/>
    <w:rsid w:val="00DA7549"/>
    <w:rsid w:val="00DA7571"/>
    <w:rsid w:val="00DA7628"/>
    <w:rsid w:val="00DA78B6"/>
    <w:rsid w:val="00DA7CD3"/>
    <w:rsid w:val="00DB05E3"/>
    <w:rsid w:val="00DB1494"/>
    <w:rsid w:val="00DB1667"/>
    <w:rsid w:val="00DB22EC"/>
    <w:rsid w:val="00DB2842"/>
    <w:rsid w:val="00DB3A7F"/>
    <w:rsid w:val="00DB41CD"/>
    <w:rsid w:val="00DB6970"/>
    <w:rsid w:val="00DB6E92"/>
    <w:rsid w:val="00DC019B"/>
    <w:rsid w:val="00DC0695"/>
    <w:rsid w:val="00DC06CC"/>
    <w:rsid w:val="00DC0920"/>
    <w:rsid w:val="00DC2451"/>
    <w:rsid w:val="00DC2BB3"/>
    <w:rsid w:val="00DC4508"/>
    <w:rsid w:val="00DC4673"/>
    <w:rsid w:val="00DC4CE9"/>
    <w:rsid w:val="00DC4E38"/>
    <w:rsid w:val="00DC5325"/>
    <w:rsid w:val="00DC5349"/>
    <w:rsid w:val="00DC57B7"/>
    <w:rsid w:val="00DC5A5A"/>
    <w:rsid w:val="00DC5C08"/>
    <w:rsid w:val="00DC634F"/>
    <w:rsid w:val="00DC6DB7"/>
    <w:rsid w:val="00DC6F77"/>
    <w:rsid w:val="00DC759D"/>
    <w:rsid w:val="00DD05DB"/>
    <w:rsid w:val="00DD0974"/>
    <w:rsid w:val="00DD1447"/>
    <w:rsid w:val="00DD1BE8"/>
    <w:rsid w:val="00DD1EA0"/>
    <w:rsid w:val="00DD22C5"/>
    <w:rsid w:val="00DD32B7"/>
    <w:rsid w:val="00DD4059"/>
    <w:rsid w:val="00DD4C91"/>
    <w:rsid w:val="00DD50C5"/>
    <w:rsid w:val="00DD7F04"/>
    <w:rsid w:val="00DE041D"/>
    <w:rsid w:val="00DE0744"/>
    <w:rsid w:val="00DE0912"/>
    <w:rsid w:val="00DE10B9"/>
    <w:rsid w:val="00DE1962"/>
    <w:rsid w:val="00DE3EA2"/>
    <w:rsid w:val="00DE40EC"/>
    <w:rsid w:val="00DE42AF"/>
    <w:rsid w:val="00DE43B2"/>
    <w:rsid w:val="00DE4C68"/>
    <w:rsid w:val="00DE517F"/>
    <w:rsid w:val="00DE583F"/>
    <w:rsid w:val="00DE69D6"/>
    <w:rsid w:val="00DF0F6F"/>
    <w:rsid w:val="00DF2B2F"/>
    <w:rsid w:val="00DF383A"/>
    <w:rsid w:val="00DF419D"/>
    <w:rsid w:val="00DF5195"/>
    <w:rsid w:val="00DF601B"/>
    <w:rsid w:val="00E02DFF"/>
    <w:rsid w:val="00E03A48"/>
    <w:rsid w:val="00E03A69"/>
    <w:rsid w:val="00E0561C"/>
    <w:rsid w:val="00E0575B"/>
    <w:rsid w:val="00E10CA5"/>
    <w:rsid w:val="00E10F77"/>
    <w:rsid w:val="00E11102"/>
    <w:rsid w:val="00E111CE"/>
    <w:rsid w:val="00E12696"/>
    <w:rsid w:val="00E12CD0"/>
    <w:rsid w:val="00E12FC8"/>
    <w:rsid w:val="00E131BD"/>
    <w:rsid w:val="00E133DB"/>
    <w:rsid w:val="00E140FB"/>
    <w:rsid w:val="00E14D32"/>
    <w:rsid w:val="00E15D18"/>
    <w:rsid w:val="00E15DB7"/>
    <w:rsid w:val="00E163FB"/>
    <w:rsid w:val="00E16941"/>
    <w:rsid w:val="00E17235"/>
    <w:rsid w:val="00E17509"/>
    <w:rsid w:val="00E17DA9"/>
    <w:rsid w:val="00E20A78"/>
    <w:rsid w:val="00E21B81"/>
    <w:rsid w:val="00E22006"/>
    <w:rsid w:val="00E2240F"/>
    <w:rsid w:val="00E22A59"/>
    <w:rsid w:val="00E22E75"/>
    <w:rsid w:val="00E236A0"/>
    <w:rsid w:val="00E24853"/>
    <w:rsid w:val="00E24E2C"/>
    <w:rsid w:val="00E25E1A"/>
    <w:rsid w:val="00E25EBE"/>
    <w:rsid w:val="00E26367"/>
    <w:rsid w:val="00E27B5C"/>
    <w:rsid w:val="00E27B8C"/>
    <w:rsid w:val="00E3021E"/>
    <w:rsid w:val="00E30DB4"/>
    <w:rsid w:val="00E31715"/>
    <w:rsid w:val="00E31E1C"/>
    <w:rsid w:val="00E3247D"/>
    <w:rsid w:val="00E32DDC"/>
    <w:rsid w:val="00E33305"/>
    <w:rsid w:val="00E33611"/>
    <w:rsid w:val="00E33A5A"/>
    <w:rsid w:val="00E346CB"/>
    <w:rsid w:val="00E34BBE"/>
    <w:rsid w:val="00E37E76"/>
    <w:rsid w:val="00E410E7"/>
    <w:rsid w:val="00E41AAA"/>
    <w:rsid w:val="00E42C7B"/>
    <w:rsid w:val="00E43C15"/>
    <w:rsid w:val="00E453E2"/>
    <w:rsid w:val="00E4636B"/>
    <w:rsid w:val="00E46B21"/>
    <w:rsid w:val="00E47A9A"/>
    <w:rsid w:val="00E47D33"/>
    <w:rsid w:val="00E51D75"/>
    <w:rsid w:val="00E52B75"/>
    <w:rsid w:val="00E53911"/>
    <w:rsid w:val="00E53AD9"/>
    <w:rsid w:val="00E543FC"/>
    <w:rsid w:val="00E54C1A"/>
    <w:rsid w:val="00E556C8"/>
    <w:rsid w:val="00E5698B"/>
    <w:rsid w:val="00E57317"/>
    <w:rsid w:val="00E605CA"/>
    <w:rsid w:val="00E61DD8"/>
    <w:rsid w:val="00E623FA"/>
    <w:rsid w:val="00E62D0A"/>
    <w:rsid w:val="00E6333D"/>
    <w:rsid w:val="00E63409"/>
    <w:rsid w:val="00E63F28"/>
    <w:rsid w:val="00E64D67"/>
    <w:rsid w:val="00E65822"/>
    <w:rsid w:val="00E6628F"/>
    <w:rsid w:val="00E66B87"/>
    <w:rsid w:val="00E66CE3"/>
    <w:rsid w:val="00E67725"/>
    <w:rsid w:val="00E7007E"/>
    <w:rsid w:val="00E707CA"/>
    <w:rsid w:val="00E716F9"/>
    <w:rsid w:val="00E718E9"/>
    <w:rsid w:val="00E7190B"/>
    <w:rsid w:val="00E730C9"/>
    <w:rsid w:val="00E7398E"/>
    <w:rsid w:val="00E73B79"/>
    <w:rsid w:val="00E74078"/>
    <w:rsid w:val="00E74BEA"/>
    <w:rsid w:val="00E74E3A"/>
    <w:rsid w:val="00E75D2E"/>
    <w:rsid w:val="00E75D79"/>
    <w:rsid w:val="00E7605E"/>
    <w:rsid w:val="00E76186"/>
    <w:rsid w:val="00E77B2E"/>
    <w:rsid w:val="00E80386"/>
    <w:rsid w:val="00E80438"/>
    <w:rsid w:val="00E808C8"/>
    <w:rsid w:val="00E8111A"/>
    <w:rsid w:val="00E812F9"/>
    <w:rsid w:val="00E814C8"/>
    <w:rsid w:val="00E81554"/>
    <w:rsid w:val="00E81A0D"/>
    <w:rsid w:val="00E8220A"/>
    <w:rsid w:val="00E826AE"/>
    <w:rsid w:val="00E832F9"/>
    <w:rsid w:val="00E83309"/>
    <w:rsid w:val="00E84074"/>
    <w:rsid w:val="00E84BF8"/>
    <w:rsid w:val="00E84C7E"/>
    <w:rsid w:val="00E84D69"/>
    <w:rsid w:val="00E86E07"/>
    <w:rsid w:val="00E86E5E"/>
    <w:rsid w:val="00E87EE9"/>
    <w:rsid w:val="00E90F76"/>
    <w:rsid w:val="00E91D49"/>
    <w:rsid w:val="00E924F6"/>
    <w:rsid w:val="00E9292D"/>
    <w:rsid w:val="00E92ED0"/>
    <w:rsid w:val="00E93238"/>
    <w:rsid w:val="00E937E9"/>
    <w:rsid w:val="00E94268"/>
    <w:rsid w:val="00E9519D"/>
    <w:rsid w:val="00E9526A"/>
    <w:rsid w:val="00E95A9D"/>
    <w:rsid w:val="00E961FD"/>
    <w:rsid w:val="00E9705F"/>
    <w:rsid w:val="00E971B2"/>
    <w:rsid w:val="00E975CA"/>
    <w:rsid w:val="00E97FDF"/>
    <w:rsid w:val="00EA0274"/>
    <w:rsid w:val="00EA05C5"/>
    <w:rsid w:val="00EA1AE3"/>
    <w:rsid w:val="00EA1BB6"/>
    <w:rsid w:val="00EA1CC0"/>
    <w:rsid w:val="00EA20BE"/>
    <w:rsid w:val="00EA3D4C"/>
    <w:rsid w:val="00EA42C7"/>
    <w:rsid w:val="00EA42DA"/>
    <w:rsid w:val="00EA5675"/>
    <w:rsid w:val="00EA59E1"/>
    <w:rsid w:val="00EA5C70"/>
    <w:rsid w:val="00EA68BC"/>
    <w:rsid w:val="00EA6F04"/>
    <w:rsid w:val="00EB05F5"/>
    <w:rsid w:val="00EB1255"/>
    <w:rsid w:val="00EB2F2E"/>
    <w:rsid w:val="00EB4941"/>
    <w:rsid w:val="00EB4A95"/>
    <w:rsid w:val="00EB4B53"/>
    <w:rsid w:val="00EB4CC3"/>
    <w:rsid w:val="00EB533C"/>
    <w:rsid w:val="00EB5BB7"/>
    <w:rsid w:val="00EB641D"/>
    <w:rsid w:val="00EB6EC1"/>
    <w:rsid w:val="00EB7189"/>
    <w:rsid w:val="00EB7CAA"/>
    <w:rsid w:val="00EC0232"/>
    <w:rsid w:val="00EC0844"/>
    <w:rsid w:val="00EC0ABA"/>
    <w:rsid w:val="00EC2ED3"/>
    <w:rsid w:val="00EC333F"/>
    <w:rsid w:val="00EC354E"/>
    <w:rsid w:val="00EC375B"/>
    <w:rsid w:val="00EC4E1B"/>
    <w:rsid w:val="00EC5757"/>
    <w:rsid w:val="00EC59BE"/>
    <w:rsid w:val="00EC6190"/>
    <w:rsid w:val="00EC6F9C"/>
    <w:rsid w:val="00EC7131"/>
    <w:rsid w:val="00EC7566"/>
    <w:rsid w:val="00EC7676"/>
    <w:rsid w:val="00EC7F98"/>
    <w:rsid w:val="00ED199B"/>
    <w:rsid w:val="00ED1BE6"/>
    <w:rsid w:val="00ED1E66"/>
    <w:rsid w:val="00ED2248"/>
    <w:rsid w:val="00ED2E55"/>
    <w:rsid w:val="00ED4161"/>
    <w:rsid w:val="00ED5AB8"/>
    <w:rsid w:val="00ED6332"/>
    <w:rsid w:val="00ED7446"/>
    <w:rsid w:val="00ED7B42"/>
    <w:rsid w:val="00EE3592"/>
    <w:rsid w:val="00EE35C0"/>
    <w:rsid w:val="00EE371F"/>
    <w:rsid w:val="00EE3F6D"/>
    <w:rsid w:val="00EE4177"/>
    <w:rsid w:val="00EE45D0"/>
    <w:rsid w:val="00EE4733"/>
    <w:rsid w:val="00EE634B"/>
    <w:rsid w:val="00EE648B"/>
    <w:rsid w:val="00EE65A8"/>
    <w:rsid w:val="00EE7028"/>
    <w:rsid w:val="00EF03F1"/>
    <w:rsid w:val="00EF0BB8"/>
    <w:rsid w:val="00EF0E62"/>
    <w:rsid w:val="00EF1922"/>
    <w:rsid w:val="00EF235C"/>
    <w:rsid w:val="00EF23AE"/>
    <w:rsid w:val="00EF2713"/>
    <w:rsid w:val="00EF2817"/>
    <w:rsid w:val="00EF2956"/>
    <w:rsid w:val="00EF2C3A"/>
    <w:rsid w:val="00EF2E65"/>
    <w:rsid w:val="00EF35E0"/>
    <w:rsid w:val="00EF406E"/>
    <w:rsid w:val="00EF4457"/>
    <w:rsid w:val="00EF4F36"/>
    <w:rsid w:val="00EF5E0B"/>
    <w:rsid w:val="00EF5ED5"/>
    <w:rsid w:val="00EF63E9"/>
    <w:rsid w:val="00EF699F"/>
    <w:rsid w:val="00EF7015"/>
    <w:rsid w:val="00EF7271"/>
    <w:rsid w:val="00EF745B"/>
    <w:rsid w:val="00EF7A2C"/>
    <w:rsid w:val="00F001FE"/>
    <w:rsid w:val="00F00A68"/>
    <w:rsid w:val="00F00A84"/>
    <w:rsid w:val="00F00BA3"/>
    <w:rsid w:val="00F00D28"/>
    <w:rsid w:val="00F01554"/>
    <w:rsid w:val="00F02ACC"/>
    <w:rsid w:val="00F0317C"/>
    <w:rsid w:val="00F03E68"/>
    <w:rsid w:val="00F04A3D"/>
    <w:rsid w:val="00F0698C"/>
    <w:rsid w:val="00F069CD"/>
    <w:rsid w:val="00F070AC"/>
    <w:rsid w:val="00F07F19"/>
    <w:rsid w:val="00F1182D"/>
    <w:rsid w:val="00F11B1D"/>
    <w:rsid w:val="00F126FF"/>
    <w:rsid w:val="00F12CEB"/>
    <w:rsid w:val="00F12E45"/>
    <w:rsid w:val="00F14708"/>
    <w:rsid w:val="00F15255"/>
    <w:rsid w:val="00F152BC"/>
    <w:rsid w:val="00F15D2A"/>
    <w:rsid w:val="00F15E2F"/>
    <w:rsid w:val="00F1659B"/>
    <w:rsid w:val="00F17B6E"/>
    <w:rsid w:val="00F17CCB"/>
    <w:rsid w:val="00F202E8"/>
    <w:rsid w:val="00F2036F"/>
    <w:rsid w:val="00F21F66"/>
    <w:rsid w:val="00F229EA"/>
    <w:rsid w:val="00F233AA"/>
    <w:rsid w:val="00F23527"/>
    <w:rsid w:val="00F23E3B"/>
    <w:rsid w:val="00F23EE9"/>
    <w:rsid w:val="00F2636C"/>
    <w:rsid w:val="00F26AC3"/>
    <w:rsid w:val="00F26D51"/>
    <w:rsid w:val="00F270E6"/>
    <w:rsid w:val="00F274C3"/>
    <w:rsid w:val="00F30660"/>
    <w:rsid w:val="00F309AE"/>
    <w:rsid w:val="00F30E10"/>
    <w:rsid w:val="00F30E75"/>
    <w:rsid w:val="00F311DC"/>
    <w:rsid w:val="00F3180A"/>
    <w:rsid w:val="00F31C34"/>
    <w:rsid w:val="00F31F0A"/>
    <w:rsid w:val="00F31F33"/>
    <w:rsid w:val="00F31FC6"/>
    <w:rsid w:val="00F32175"/>
    <w:rsid w:val="00F3233D"/>
    <w:rsid w:val="00F323EA"/>
    <w:rsid w:val="00F325B2"/>
    <w:rsid w:val="00F3420D"/>
    <w:rsid w:val="00F346E5"/>
    <w:rsid w:val="00F34C32"/>
    <w:rsid w:val="00F361B0"/>
    <w:rsid w:val="00F36936"/>
    <w:rsid w:val="00F371C8"/>
    <w:rsid w:val="00F37B12"/>
    <w:rsid w:val="00F4004F"/>
    <w:rsid w:val="00F40A7D"/>
    <w:rsid w:val="00F40DF4"/>
    <w:rsid w:val="00F4130C"/>
    <w:rsid w:val="00F41788"/>
    <w:rsid w:val="00F41AA8"/>
    <w:rsid w:val="00F41C79"/>
    <w:rsid w:val="00F41F05"/>
    <w:rsid w:val="00F42085"/>
    <w:rsid w:val="00F420D8"/>
    <w:rsid w:val="00F43602"/>
    <w:rsid w:val="00F43736"/>
    <w:rsid w:val="00F44343"/>
    <w:rsid w:val="00F45082"/>
    <w:rsid w:val="00F45675"/>
    <w:rsid w:val="00F45A11"/>
    <w:rsid w:val="00F45B5A"/>
    <w:rsid w:val="00F46DA2"/>
    <w:rsid w:val="00F477B5"/>
    <w:rsid w:val="00F5006D"/>
    <w:rsid w:val="00F50AB0"/>
    <w:rsid w:val="00F51128"/>
    <w:rsid w:val="00F511D2"/>
    <w:rsid w:val="00F514C2"/>
    <w:rsid w:val="00F5173D"/>
    <w:rsid w:val="00F532D7"/>
    <w:rsid w:val="00F53C02"/>
    <w:rsid w:val="00F53DB7"/>
    <w:rsid w:val="00F554B1"/>
    <w:rsid w:val="00F558D1"/>
    <w:rsid w:val="00F55ADC"/>
    <w:rsid w:val="00F564DD"/>
    <w:rsid w:val="00F56628"/>
    <w:rsid w:val="00F5666C"/>
    <w:rsid w:val="00F566BA"/>
    <w:rsid w:val="00F56BE6"/>
    <w:rsid w:val="00F56CC8"/>
    <w:rsid w:val="00F578F1"/>
    <w:rsid w:val="00F57B80"/>
    <w:rsid w:val="00F57CA6"/>
    <w:rsid w:val="00F60472"/>
    <w:rsid w:val="00F604D1"/>
    <w:rsid w:val="00F609C7"/>
    <w:rsid w:val="00F60F9F"/>
    <w:rsid w:val="00F612F5"/>
    <w:rsid w:val="00F61384"/>
    <w:rsid w:val="00F61AF2"/>
    <w:rsid w:val="00F6209B"/>
    <w:rsid w:val="00F6252F"/>
    <w:rsid w:val="00F628AF"/>
    <w:rsid w:val="00F62F22"/>
    <w:rsid w:val="00F63A74"/>
    <w:rsid w:val="00F64354"/>
    <w:rsid w:val="00F64798"/>
    <w:rsid w:val="00F64A4B"/>
    <w:rsid w:val="00F64AC6"/>
    <w:rsid w:val="00F65288"/>
    <w:rsid w:val="00F6588E"/>
    <w:rsid w:val="00F66F40"/>
    <w:rsid w:val="00F676EB"/>
    <w:rsid w:val="00F67E0A"/>
    <w:rsid w:val="00F70005"/>
    <w:rsid w:val="00F71012"/>
    <w:rsid w:val="00F734A4"/>
    <w:rsid w:val="00F7394B"/>
    <w:rsid w:val="00F73C1B"/>
    <w:rsid w:val="00F73E84"/>
    <w:rsid w:val="00F74577"/>
    <w:rsid w:val="00F74A43"/>
    <w:rsid w:val="00F7676F"/>
    <w:rsid w:val="00F7717A"/>
    <w:rsid w:val="00F77233"/>
    <w:rsid w:val="00F778E0"/>
    <w:rsid w:val="00F80277"/>
    <w:rsid w:val="00F80AB8"/>
    <w:rsid w:val="00F811C9"/>
    <w:rsid w:val="00F81234"/>
    <w:rsid w:val="00F812D5"/>
    <w:rsid w:val="00F81AD1"/>
    <w:rsid w:val="00F82545"/>
    <w:rsid w:val="00F829A5"/>
    <w:rsid w:val="00F83C08"/>
    <w:rsid w:val="00F83CD2"/>
    <w:rsid w:val="00F8499E"/>
    <w:rsid w:val="00F86091"/>
    <w:rsid w:val="00F86B43"/>
    <w:rsid w:val="00F90560"/>
    <w:rsid w:val="00F90864"/>
    <w:rsid w:val="00F91AD4"/>
    <w:rsid w:val="00F9202C"/>
    <w:rsid w:val="00F92421"/>
    <w:rsid w:val="00F92531"/>
    <w:rsid w:val="00F92A28"/>
    <w:rsid w:val="00F93778"/>
    <w:rsid w:val="00F948A4"/>
    <w:rsid w:val="00F94C79"/>
    <w:rsid w:val="00F95067"/>
    <w:rsid w:val="00F95ED3"/>
    <w:rsid w:val="00F963DD"/>
    <w:rsid w:val="00F972CD"/>
    <w:rsid w:val="00F97950"/>
    <w:rsid w:val="00F97DF5"/>
    <w:rsid w:val="00FA0BB9"/>
    <w:rsid w:val="00FA0F12"/>
    <w:rsid w:val="00FA155D"/>
    <w:rsid w:val="00FA17B0"/>
    <w:rsid w:val="00FA3553"/>
    <w:rsid w:val="00FA365D"/>
    <w:rsid w:val="00FA3776"/>
    <w:rsid w:val="00FA37CC"/>
    <w:rsid w:val="00FA4416"/>
    <w:rsid w:val="00FA55AA"/>
    <w:rsid w:val="00FA6871"/>
    <w:rsid w:val="00FA7A2E"/>
    <w:rsid w:val="00FB18E9"/>
    <w:rsid w:val="00FB19FF"/>
    <w:rsid w:val="00FB1BBF"/>
    <w:rsid w:val="00FB1CC0"/>
    <w:rsid w:val="00FB234F"/>
    <w:rsid w:val="00FB2AB7"/>
    <w:rsid w:val="00FB4720"/>
    <w:rsid w:val="00FB472A"/>
    <w:rsid w:val="00FB491F"/>
    <w:rsid w:val="00FB4970"/>
    <w:rsid w:val="00FB49F4"/>
    <w:rsid w:val="00FB67B4"/>
    <w:rsid w:val="00FB68BB"/>
    <w:rsid w:val="00FB6ADF"/>
    <w:rsid w:val="00FB71F1"/>
    <w:rsid w:val="00FB731B"/>
    <w:rsid w:val="00FB7553"/>
    <w:rsid w:val="00FC052F"/>
    <w:rsid w:val="00FC13EA"/>
    <w:rsid w:val="00FC2C14"/>
    <w:rsid w:val="00FC2CF1"/>
    <w:rsid w:val="00FC30FA"/>
    <w:rsid w:val="00FC336B"/>
    <w:rsid w:val="00FC3E3B"/>
    <w:rsid w:val="00FC5154"/>
    <w:rsid w:val="00FC73AB"/>
    <w:rsid w:val="00FC7E36"/>
    <w:rsid w:val="00FC7E99"/>
    <w:rsid w:val="00FD0C5B"/>
    <w:rsid w:val="00FD10D1"/>
    <w:rsid w:val="00FD173C"/>
    <w:rsid w:val="00FD1FC1"/>
    <w:rsid w:val="00FD3324"/>
    <w:rsid w:val="00FD34D9"/>
    <w:rsid w:val="00FD4129"/>
    <w:rsid w:val="00FD487A"/>
    <w:rsid w:val="00FD4EBA"/>
    <w:rsid w:val="00FD6419"/>
    <w:rsid w:val="00FD6646"/>
    <w:rsid w:val="00FD7028"/>
    <w:rsid w:val="00FE11E1"/>
    <w:rsid w:val="00FE190E"/>
    <w:rsid w:val="00FE2424"/>
    <w:rsid w:val="00FE2703"/>
    <w:rsid w:val="00FE3D94"/>
    <w:rsid w:val="00FE41B8"/>
    <w:rsid w:val="00FE4B47"/>
    <w:rsid w:val="00FE5B80"/>
    <w:rsid w:val="00FE61D8"/>
    <w:rsid w:val="00FE6574"/>
    <w:rsid w:val="00FE67CB"/>
    <w:rsid w:val="00FE7E4B"/>
    <w:rsid w:val="00FE7FA3"/>
    <w:rsid w:val="00FF0273"/>
    <w:rsid w:val="00FF0C25"/>
    <w:rsid w:val="00FF151A"/>
    <w:rsid w:val="00FF158F"/>
    <w:rsid w:val="00FF2228"/>
    <w:rsid w:val="00FF2FEC"/>
    <w:rsid w:val="00FF3172"/>
    <w:rsid w:val="00FF39A0"/>
    <w:rsid w:val="00FF39B4"/>
    <w:rsid w:val="00FF3CCF"/>
    <w:rsid w:val="00FF3EBA"/>
    <w:rsid w:val="00FF4025"/>
    <w:rsid w:val="00FF41B1"/>
    <w:rsid w:val="00FF53A5"/>
    <w:rsid w:val="00FF5723"/>
    <w:rsid w:val="00FF72AB"/>
    <w:rsid w:val="01080A12"/>
    <w:rsid w:val="01111B7C"/>
    <w:rsid w:val="0156177E"/>
    <w:rsid w:val="0156352C"/>
    <w:rsid w:val="0160078A"/>
    <w:rsid w:val="016025FC"/>
    <w:rsid w:val="01727AD4"/>
    <w:rsid w:val="018C519F"/>
    <w:rsid w:val="01910A08"/>
    <w:rsid w:val="01A56261"/>
    <w:rsid w:val="01CE57B8"/>
    <w:rsid w:val="01F30A1B"/>
    <w:rsid w:val="02136A35"/>
    <w:rsid w:val="02263E9A"/>
    <w:rsid w:val="02276CDB"/>
    <w:rsid w:val="02602E58"/>
    <w:rsid w:val="026A14A8"/>
    <w:rsid w:val="0284108D"/>
    <w:rsid w:val="02846ED2"/>
    <w:rsid w:val="029F0F02"/>
    <w:rsid w:val="02AB3F80"/>
    <w:rsid w:val="02F92D08"/>
    <w:rsid w:val="02FF011F"/>
    <w:rsid w:val="0306625F"/>
    <w:rsid w:val="0314369E"/>
    <w:rsid w:val="032B6C3A"/>
    <w:rsid w:val="03433F84"/>
    <w:rsid w:val="034D4E02"/>
    <w:rsid w:val="03636F78"/>
    <w:rsid w:val="036F2552"/>
    <w:rsid w:val="038F7198"/>
    <w:rsid w:val="03905CE5"/>
    <w:rsid w:val="03925EFB"/>
    <w:rsid w:val="03960557"/>
    <w:rsid w:val="03AC7D7B"/>
    <w:rsid w:val="03B41164"/>
    <w:rsid w:val="03B659B7"/>
    <w:rsid w:val="03BE2FFA"/>
    <w:rsid w:val="03C055D4"/>
    <w:rsid w:val="03E33071"/>
    <w:rsid w:val="03E56DE9"/>
    <w:rsid w:val="04215F12"/>
    <w:rsid w:val="04221DEB"/>
    <w:rsid w:val="043072F8"/>
    <w:rsid w:val="043F0BEF"/>
    <w:rsid w:val="0441254B"/>
    <w:rsid w:val="044874C7"/>
    <w:rsid w:val="044B0EDF"/>
    <w:rsid w:val="04650E5C"/>
    <w:rsid w:val="04673CA2"/>
    <w:rsid w:val="04775A3C"/>
    <w:rsid w:val="047A7CF9"/>
    <w:rsid w:val="04BD2AAB"/>
    <w:rsid w:val="04C00E1E"/>
    <w:rsid w:val="04C90D1F"/>
    <w:rsid w:val="050138D2"/>
    <w:rsid w:val="05037796"/>
    <w:rsid w:val="05047743"/>
    <w:rsid w:val="05072DB3"/>
    <w:rsid w:val="051E0804"/>
    <w:rsid w:val="055C132D"/>
    <w:rsid w:val="05713E65"/>
    <w:rsid w:val="05777F14"/>
    <w:rsid w:val="057F7413"/>
    <w:rsid w:val="059302F0"/>
    <w:rsid w:val="05B55DC4"/>
    <w:rsid w:val="05C56ED2"/>
    <w:rsid w:val="05EB7E30"/>
    <w:rsid w:val="0600615C"/>
    <w:rsid w:val="0619721E"/>
    <w:rsid w:val="062459A5"/>
    <w:rsid w:val="06304C93"/>
    <w:rsid w:val="064510DB"/>
    <w:rsid w:val="06581AF4"/>
    <w:rsid w:val="06620B3A"/>
    <w:rsid w:val="066E7569"/>
    <w:rsid w:val="069717B9"/>
    <w:rsid w:val="06D0451E"/>
    <w:rsid w:val="06DA6FC6"/>
    <w:rsid w:val="06EB6E0C"/>
    <w:rsid w:val="06F34B4B"/>
    <w:rsid w:val="06FF299A"/>
    <w:rsid w:val="070A729C"/>
    <w:rsid w:val="07342561"/>
    <w:rsid w:val="073C599D"/>
    <w:rsid w:val="073E5575"/>
    <w:rsid w:val="074128B0"/>
    <w:rsid w:val="074A10F8"/>
    <w:rsid w:val="0761194E"/>
    <w:rsid w:val="076432D3"/>
    <w:rsid w:val="0781151E"/>
    <w:rsid w:val="07B54D24"/>
    <w:rsid w:val="07B63215"/>
    <w:rsid w:val="07B77A9C"/>
    <w:rsid w:val="07BC624E"/>
    <w:rsid w:val="07DC7A53"/>
    <w:rsid w:val="07E01DA1"/>
    <w:rsid w:val="08000695"/>
    <w:rsid w:val="08081FA5"/>
    <w:rsid w:val="080B7557"/>
    <w:rsid w:val="08181E21"/>
    <w:rsid w:val="08184EC7"/>
    <w:rsid w:val="081C0B89"/>
    <w:rsid w:val="082B48A9"/>
    <w:rsid w:val="082D6348"/>
    <w:rsid w:val="084F5179"/>
    <w:rsid w:val="085264A2"/>
    <w:rsid w:val="085D7896"/>
    <w:rsid w:val="08684A24"/>
    <w:rsid w:val="0878647D"/>
    <w:rsid w:val="08924472"/>
    <w:rsid w:val="08A62997"/>
    <w:rsid w:val="08A969C4"/>
    <w:rsid w:val="08AF6108"/>
    <w:rsid w:val="08B001C4"/>
    <w:rsid w:val="08D00FFA"/>
    <w:rsid w:val="08EF5F46"/>
    <w:rsid w:val="09086D86"/>
    <w:rsid w:val="090F12E9"/>
    <w:rsid w:val="09367BAA"/>
    <w:rsid w:val="09381D73"/>
    <w:rsid w:val="09473B2C"/>
    <w:rsid w:val="096A3477"/>
    <w:rsid w:val="097C361B"/>
    <w:rsid w:val="09AB5942"/>
    <w:rsid w:val="09B064D1"/>
    <w:rsid w:val="09BF2ED7"/>
    <w:rsid w:val="09BF7674"/>
    <w:rsid w:val="09F45FD8"/>
    <w:rsid w:val="09F806A3"/>
    <w:rsid w:val="0A0B50CF"/>
    <w:rsid w:val="0A0D1190"/>
    <w:rsid w:val="0A2456C5"/>
    <w:rsid w:val="0A2543E3"/>
    <w:rsid w:val="0A474057"/>
    <w:rsid w:val="0A641E3D"/>
    <w:rsid w:val="0AA34B1B"/>
    <w:rsid w:val="0AAD7CD9"/>
    <w:rsid w:val="0AB6328D"/>
    <w:rsid w:val="0ABD15CE"/>
    <w:rsid w:val="0ABF263A"/>
    <w:rsid w:val="0AD12B8F"/>
    <w:rsid w:val="0AF618DB"/>
    <w:rsid w:val="0B0A6314"/>
    <w:rsid w:val="0B335CF7"/>
    <w:rsid w:val="0B5C5BE2"/>
    <w:rsid w:val="0B6B051B"/>
    <w:rsid w:val="0B6E6353"/>
    <w:rsid w:val="0B7B2E88"/>
    <w:rsid w:val="0B8415DD"/>
    <w:rsid w:val="0B842ECF"/>
    <w:rsid w:val="0BA53A0C"/>
    <w:rsid w:val="0BA8462C"/>
    <w:rsid w:val="0BD10EF4"/>
    <w:rsid w:val="0BEC0639"/>
    <w:rsid w:val="0BED19DF"/>
    <w:rsid w:val="0C130BB2"/>
    <w:rsid w:val="0C193B8E"/>
    <w:rsid w:val="0C1C4E30"/>
    <w:rsid w:val="0C2653A0"/>
    <w:rsid w:val="0C392862"/>
    <w:rsid w:val="0C403BDE"/>
    <w:rsid w:val="0C447B66"/>
    <w:rsid w:val="0C4B726D"/>
    <w:rsid w:val="0C563442"/>
    <w:rsid w:val="0C56723C"/>
    <w:rsid w:val="0C6172A8"/>
    <w:rsid w:val="0C782EF0"/>
    <w:rsid w:val="0C7B0EF4"/>
    <w:rsid w:val="0C8E44C1"/>
    <w:rsid w:val="0C9C7EE1"/>
    <w:rsid w:val="0CA20839"/>
    <w:rsid w:val="0CA21D1B"/>
    <w:rsid w:val="0CB14648"/>
    <w:rsid w:val="0CB21A52"/>
    <w:rsid w:val="0CBF7754"/>
    <w:rsid w:val="0CD72DE2"/>
    <w:rsid w:val="0CED2FC7"/>
    <w:rsid w:val="0CF1374F"/>
    <w:rsid w:val="0D0429D6"/>
    <w:rsid w:val="0D0B3D64"/>
    <w:rsid w:val="0D126D3D"/>
    <w:rsid w:val="0D194DAA"/>
    <w:rsid w:val="0D3D634E"/>
    <w:rsid w:val="0D4472E3"/>
    <w:rsid w:val="0D5374B9"/>
    <w:rsid w:val="0D56790F"/>
    <w:rsid w:val="0D622EB4"/>
    <w:rsid w:val="0D63594E"/>
    <w:rsid w:val="0D83708C"/>
    <w:rsid w:val="0D854328"/>
    <w:rsid w:val="0D9773A6"/>
    <w:rsid w:val="0DDB1F25"/>
    <w:rsid w:val="0DE34346"/>
    <w:rsid w:val="0DF465A6"/>
    <w:rsid w:val="0DFC545B"/>
    <w:rsid w:val="0E004116"/>
    <w:rsid w:val="0E077E36"/>
    <w:rsid w:val="0E0E22E1"/>
    <w:rsid w:val="0E554C8F"/>
    <w:rsid w:val="0E5A2C39"/>
    <w:rsid w:val="0E736B11"/>
    <w:rsid w:val="0E7F3562"/>
    <w:rsid w:val="0E811E04"/>
    <w:rsid w:val="0E8E126E"/>
    <w:rsid w:val="0EBD2885"/>
    <w:rsid w:val="0EC34B2B"/>
    <w:rsid w:val="0ECA6B2D"/>
    <w:rsid w:val="0ECB5D10"/>
    <w:rsid w:val="0ECC1E18"/>
    <w:rsid w:val="0EE11257"/>
    <w:rsid w:val="0EE35EF2"/>
    <w:rsid w:val="0EEE7499"/>
    <w:rsid w:val="0EFA5849"/>
    <w:rsid w:val="0F16254C"/>
    <w:rsid w:val="0F1E6594"/>
    <w:rsid w:val="0F295746"/>
    <w:rsid w:val="0F2B6888"/>
    <w:rsid w:val="0F4F5F19"/>
    <w:rsid w:val="0F547B71"/>
    <w:rsid w:val="0F590199"/>
    <w:rsid w:val="0F7936CC"/>
    <w:rsid w:val="0F882744"/>
    <w:rsid w:val="0F8F3081"/>
    <w:rsid w:val="0FA5195F"/>
    <w:rsid w:val="0FAD4701"/>
    <w:rsid w:val="0FE825FD"/>
    <w:rsid w:val="0FF61E2B"/>
    <w:rsid w:val="10280789"/>
    <w:rsid w:val="104D6442"/>
    <w:rsid w:val="106F4618"/>
    <w:rsid w:val="10735462"/>
    <w:rsid w:val="10760938"/>
    <w:rsid w:val="10771710"/>
    <w:rsid w:val="10934AB9"/>
    <w:rsid w:val="109E4EEF"/>
    <w:rsid w:val="10B64B12"/>
    <w:rsid w:val="10B7072A"/>
    <w:rsid w:val="10B93AD7"/>
    <w:rsid w:val="10C04E65"/>
    <w:rsid w:val="10D57578"/>
    <w:rsid w:val="10E83584"/>
    <w:rsid w:val="10F245C8"/>
    <w:rsid w:val="10FD18AA"/>
    <w:rsid w:val="11136BE5"/>
    <w:rsid w:val="112244C7"/>
    <w:rsid w:val="113E38BD"/>
    <w:rsid w:val="11531836"/>
    <w:rsid w:val="11633A20"/>
    <w:rsid w:val="11700B96"/>
    <w:rsid w:val="117A7D9D"/>
    <w:rsid w:val="117B6FDE"/>
    <w:rsid w:val="117D1895"/>
    <w:rsid w:val="1189681F"/>
    <w:rsid w:val="118D065E"/>
    <w:rsid w:val="119111DD"/>
    <w:rsid w:val="119D0D92"/>
    <w:rsid w:val="11B01C7F"/>
    <w:rsid w:val="11C72224"/>
    <w:rsid w:val="11D16BFE"/>
    <w:rsid w:val="11E20E0C"/>
    <w:rsid w:val="11EB5F12"/>
    <w:rsid w:val="11F63B39"/>
    <w:rsid w:val="11F811A4"/>
    <w:rsid w:val="121534BC"/>
    <w:rsid w:val="12321755"/>
    <w:rsid w:val="12392DC6"/>
    <w:rsid w:val="123A0C48"/>
    <w:rsid w:val="125735A8"/>
    <w:rsid w:val="125E4649"/>
    <w:rsid w:val="12653E6A"/>
    <w:rsid w:val="127658D7"/>
    <w:rsid w:val="12864FA7"/>
    <w:rsid w:val="12957C2C"/>
    <w:rsid w:val="12CC7D65"/>
    <w:rsid w:val="12F466E5"/>
    <w:rsid w:val="130D010A"/>
    <w:rsid w:val="130E5DFE"/>
    <w:rsid w:val="1318492B"/>
    <w:rsid w:val="13195D86"/>
    <w:rsid w:val="133415D2"/>
    <w:rsid w:val="13390EFF"/>
    <w:rsid w:val="134659BB"/>
    <w:rsid w:val="13534D6F"/>
    <w:rsid w:val="1362355A"/>
    <w:rsid w:val="136B46BF"/>
    <w:rsid w:val="13860D94"/>
    <w:rsid w:val="138A779A"/>
    <w:rsid w:val="138D2BCA"/>
    <w:rsid w:val="139879D4"/>
    <w:rsid w:val="13A12FBB"/>
    <w:rsid w:val="13C44C6D"/>
    <w:rsid w:val="13F53078"/>
    <w:rsid w:val="13FD017F"/>
    <w:rsid w:val="1400703C"/>
    <w:rsid w:val="14024E31"/>
    <w:rsid w:val="140B464A"/>
    <w:rsid w:val="142F0857"/>
    <w:rsid w:val="1444680B"/>
    <w:rsid w:val="14473B09"/>
    <w:rsid w:val="14526E7B"/>
    <w:rsid w:val="145853B5"/>
    <w:rsid w:val="147246C9"/>
    <w:rsid w:val="14834C84"/>
    <w:rsid w:val="14840D97"/>
    <w:rsid w:val="14861F22"/>
    <w:rsid w:val="148D4AEF"/>
    <w:rsid w:val="14A32AD4"/>
    <w:rsid w:val="14CA62B3"/>
    <w:rsid w:val="14CF3D47"/>
    <w:rsid w:val="14D94AE9"/>
    <w:rsid w:val="14EB2AE0"/>
    <w:rsid w:val="14F50E56"/>
    <w:rsid w:val="14F7288F"/>
    <w:rsid w:val="14FC59FF"/>
    <w:rsid w:val="15063688"/>
    <w:rsid w:val="15336151"/>
    <w:rsid w:val="156275CE"/>
    <w:rsid w:val="157952EA"/>
    <w:rsid w:val="157B75AD"/>
    <w:rsid w:val="15876E40"/>
    <w:rsid w:val="158C2DC7"/>
    <w:rsid w:val="15A718D7"/>
    <w:rsid w:val="15BF64B6"/>
    <w:rsid w:val="15D975F0"/>
    <w:rsid w:val="15EC6D9F"/>
    <w:rsid w:val="15F64207"/>
    <w:rsid w:val="15FB6C69"/>
    <w:rsid w:val="160B3752"/>
    <w:rsid w:val="16153411"/>
    <w:rsid w:val="161B13E4"/>
    <w:rsid w:val="1626576B"/>
    <w:rsid w:val="163F2811"/>
    <w:rsid w:val="16442095"/>
    <w:rsid w:val="164E7686"/>
    <w:rsid w:val="165322D8"/>
    <w:rsid w:val="16535142"/>
    <w:rsid w:val="165665A6"/>
    <w:rsid w:val="165C2B80"/>
    <w:rsid w:val="16630A92"/>
    <w:rsid w:val="16704820"/>
    <w:rsid w:val="16850E26"/>
    <w:rsid w:val="16893F4C"/>
    <w:rsid w:val="1699418F"/>
    <w:rsid w:val="16A22419"/>
    <w:rsid w:val="16AC459E"/>
    <w:rsid w:val="16BB08D6"/>
    <w:rsid w:val="16C33CD0"/>
    <w:rsid w:val="16C86EEE"/>
    <w:rsid w:val="16CF74AC"/>
    <w:rsid w:val="16D62899"/>
    <w:rsid w:val="16D86AD9"/>
    <w:rsid w:val="16E24DAF"/>
    <w:rsid w:val="16E478E9"/>
    <w:rsid w:val="16F21AF1"/>
    <w:rsid w:val="16F45869"/>
    <w:rsid w:val="17025136"/>
    <w:rsid w:val="17080CB3"/>
    <w:rsid w:val="17104E33"/>
    <w:rsid w:val="172779EC"/>
    <w:rsid w:val="172B40FC"/>
    <w:rsid w:val="172C5003"/>
    <w:rsid w:val="17435B9A"/>
    <w:rsid w:val="17530278"/>
    <w:rsid w:val="1770488D"/>
    <w:rsid w:val="177251DB"/>
    <w:rsid w:val="179F403B"/>
    <w:rsid w:val="17B46DA6"/>
    <w:rsid w:val="17E07B23"/>
    <w:rsid w:val="17F04282"/>
    <w:rsid w:val="181D21AB"/>
    <w:rsid w:val="18241EFA"/>
    <w:rsid w:val="182551D2"/>
    <w:rsid w:val="18302625"/>
    <w:rsid w:val="183C5221"/>
    <w:rsid w:val="184B770B"/>
    <w:rsid w:val="188056B2"/>
    <w:rsid w:val="1887731B"/>
    <w:rsid w:val="18A312F5"/>
    <w:rsid w:val="18A71570"/>
    <w:rsid w:val="18AF5EEB"/>
    <w:rsid w:val="18B06992"/>
    <w:rsid w:val="18BF29A5"/>
    <w:rsid w:val="18C43019"/>
    <w:rsid w:val="18D95C4B"/>
    <w:rsid w:val="18E33521"/>
    <w:rsid w:val="18EB67F8"/>
    <w:rsid w:val="18FA4C8D"/>
    <w:rsid w:val="18FF7748"/>
    <w:rsid w:val="19133920"/>
    <w:rsid w:val="19296091"/>
    <w:rsid w:val="19526877"/>
    <w:rsid w:val="196C36C2"/>
    <w:rsid w:val="19733208"/>
    <w:rsid w:val="1978271D"/>
    <w:rsid w:val="197E7B00"/>
    <w:rsid w:val="19933B34"/>
    <w:rsid w:val="19C96DDB"/>
    <w:rsid w:val="19CF01B9"/>
    <w:rsid w:val="19DC46F7"/>
    <w:rsid w:val="19DE34A8"/>
    <w:rsid w:val="19E52623"/>
    <w:rsid w:val="19FA6457"/>
    <w:rsid w:val="1A0B2274"/>
    <w:rsid w:val="1A187AC0"/>
    <w:rsid w:val="1A393B90"/>
    <w:rsid w:val="1A535B25"/>
    <w:rsid w:val="1A7208D9"/>
    <w:rsid w:val="1A764FB0"/>
    <w:rsid w:val="1A767F97"/>
    <w:rsid w:val="1A8C60A2"/>
    <w:rsid w:val="1A932C82"/>
    <w:rsid w:val="1AA37850"/>
    <w:rsid w:val="1AA650CC"/>
    <w:rsid w:val="1AA864FA"/>
    <w:rsid w:val="1AB97B24"/>
    <w:rsid w:val="1AC90DBB"/>
    <w:rsid w:val="1AD930B1"/>
    <w:rsid w:val="1AE16479"/>
    <w:rsid w:val="1AFA71C6"/>
    <w:rsid w:val="1B267FBB"/>
    <w:rsid w:val="1B3C77DE"/>
    <w:rsid w:val="1B3E1360"/>
    <w:rsid w:val="1B453F87"/>
    <w:rsid w:val="1B4A02FA"/>
    <w:rsid w:val="1B6D0A69"/>
    <w:rsid w:val="1B7D2468"/>
    <w:rsid w:val="1B886580"/>
    <w:rsid w:val="1BAB30F2"/>
    <w:rsid w:val="1BB64807"/>
    <w:rsid w:val="1BC45815"/>
    <w:rsid w:val="1BCA6B98"/>
    <w:rsid w:val="1BEC2FB3"/>
    <w:rsid w:val="1BEE345E"/>
    <w:rsid w:val="1BF209FD"/>
    <w:rsid w:val="1BF530EC"/>
    <w:rsid w:val="1C044843"/>
    <w:rsid w:val="1C165429"/>
    <w:rsid w:val="1C4C7B54"/>
    <w:rsid w:val="1C6D30D8"/>
    <w:rsid w:val="1C7911F1"/>
    <w:rsid w:val="1C7B60E4"/>
    <w:rsid w:val="1C8A6328"/>
    <w:rsid w:val="1CCB47C0"/>
    <w:rsid w:val="1CE27F12"/>
    <w:rsid w:val="1CF3330B"/>
    <w:rsid w:val="1D0C2883"/>
    <w:rsid w:val="1D3B1144"/>
    <w:rsid w:val="1D44297A"/>
    <w:rsid w:val="1D4E4561"/>
    <w:rsid w:val="1D703128"/>
    <w:rsid w:val="1D7C5FBA"/>
    <w:rsid w:val="1D81336E"/>
    <w:rsid w:val="1D9F19C4"/>
    <w:rsid w:val="1DA575B0"/>
    <w:rsid w:val="1DAF24EA"/>
    <w:rsid w:val="1DB375C5"/>
    <w:rsid w:val="1DB46449"/>
    <w:rsid w:val="1DBC69B5"/>
    <w:rsid w:val="1DC332DD"/>
    <w:rsid w:val="1DDB0E18"/>
    <w:rsid w:val="1DE80C95"/>
    <w:rsid w:val="1E061E25"/>
    <w:rsid w:val="1E226345"/>
    <w:rsid w:val="1E37428D"/>
    <w:rsid w:val="1E3A6C06"/>
    <w:rsid w:val="1E424E8A"/>
    <w:rsid w:val="1E736290"/>
    <w:rsid w:val="1E8C6387"/>
    <w:rsid w:val="1E9A6CF6"/>
    <w:rsid w:val="1EB06519"/>
    <w:rsid w:val="1EB458DE"/>
    <w:rsid w:val="1EC00497"/>
    <w:rsid w:val="1EDA5344"/>
    <w:rsid w:val="1EE53CE9"/>
    <w:rsid w:val="1EE613D0"/>
    <w:rsid w:val="1EF1268E"/>
    <w:rsid w:val="1EF21855"/>
    <w:rsid w:val="1EF501D6"/>
    <w:rsid w:val="1F1830CB"/>
    <w:rsid w:val="1F1D4CEA"/>
    <w:rsid w:val="1F3431EF"/>
    <w:rsid w:val="1F412ACD"/>
    <w:rsid w:val="1F896D6A"/>
    <w:rsid w:val="1FA51C58"/>
    <w:rsid w:val="1FA7649E"/>
    <w:rsid w:val="1FBE7B22"/>
    <w:rsid w:val="20061562"/>
    <w:rsid w:val="200A7EAB"/>
    <w:rsid w:val="2017317A"/>
    <w:rsid w:val="201D0468"/>
    <w:rsid w:val="202857A9"/>
    <w:rsid w:val="202D76F6"/>
    <w:rsid w:val="203D7B26"/>
    <w:rsid w:val="20B10327"/>
    <w:rsid w:val="20B15A28"/>
    <w:rsid w:val="20C655D1"/>
    <w:rsid w:val="20C77B4A"/>
    <w:rsid w:val="20C92795"/>
    <w:rsid w:val="20D65FDF"/>
    <w:rsid w:val="20DB0CE4"/>
    <w:rsid w:val="20E42925"/>
    <w:rsid w:val="20E961FA"/>
    <w:rsid w:val="21025026"/>
    <w:rsid w:val="211A14D6"/>
    <w:rsid w:val="211F34E2"/>
    <w:rsid w:val="21564CC5"/>
    <w:rsid w:val="21725E20"/>
    <w:rsid w:val="217F21D3"/>
    <w:rsid w:val="21894835"/>
    <w:rsid w:val="219F6403"/>
    <w:rsid w:val="21A148C9"/>
    <w:rsid w:val="21A84B20"/>
    <w:rsid w:val="21D06ED2"/>
    <w:rsid w:val="21D547D9"/>
    <w:rsid w:val="21E36C06"/>
    <w:rsid w:val="21F841CB"/>
    <w:rsid w:val="2208041A"/>
    <w:rsid w:val="22094970"/>
    <w:rsid w:val="2224426F"/>
    <w:rsid w:val="224C10D0"/>
    <w:rsid w:val="225222AD"/>
    <w:rsid w:val="22541289"/>
    <w:rsid w:val="22560474"/>
    <w:rsid w:val="225C24EF"/>
    <w:rsid w:val="226433E0"/>
    <w:rsid w:val="22685BE4"/>
    <w:rsid w:val="22786DC6"/>
    <w:rsid w:val="22951269"/>
    <w:rsid w:val="22952C4B"/>
    <w:rsid w:val="22A07A2E"/>
    <w:rsid w:val="22AE1FD7"/>
    <w:rsid w:val="22B00DA9"/>
    <w:rsid w:val="22B1460E"/>
    <w:rsid w:val="22F10EAE"/>
    <w:rsid w:val="230D3F37"/>
    <w:rsid w:val="231128EB"/>
    <w:rsid w:val="232B7E77"/>
    <w:rsid w:val="23307C29"/>
    <w:rsid w:val="233415C5"/>
    <w:rsid w:val="234C07DB"/>
    <w:rsid w:val="23566F63"/>
    <w:rsid w:val="2362143C"/>
    <w:rsid w:val="23645B24"/>
    <w:rsid w:val="23887A65"/>
    <w:rsid w:val="238E2BA1"/>
    <w:rsid w:val="239A6033"/>
    <w:rsid w:val="23A418A2"/>
    <w:rsid w:val="23AE1EA3"/>
    <w:rsid w:val="23D11B74"/>
    <w:rsid w:val="23D5432C"/>
    <w:rsid w:val="23EE71CC"/>
    <w:rsid w:val="2404346B"/>
    <w:rsid w:val="24172B97"/>
    <w:rsid w:val="24292475"/>
    <w:rsid w:val="242977C5"/>
    <w:rsid w:val="24351601"/>
    <w:rsid w:val="24375486"/>
    <w:rsid w:val="24390A60"/>
    <w:rsid w:val="243E33BC"/>
    <w:rsid w:val="246F7026"/>
    <w:rsid w:val="2495534F"/>
    <w:rsid w:val="24A773D3"/>
    <w:rsid w:val="24B65FDB"/>
    <w:rsid w:val="24D825A9"/>
    <w:rsid w:val="24DB6D9D"/>
    <w:rsid w:val="24F904EE"/>
    <w:rsid w:val="25237319"/>
    <w:rsid w:val="25276E09"/>
    <w:rsid w:val="253311F6"/>
    <w:rsid w:val="253B3193"/>
    <w:rsid w:val="25552E9E"/>
    <w:rsid w:val="255866F6"/>
    <w:rsid w:val="25654FC9"/>
    <w:rsid w:val="25851E17"/>
    <w:rsid w:val="2586379D"/>
    <w:rsid w:val="25DF1492"/>
    <w:rsid w:val="25EB1207"/>
    <w:rsid w:val="25F723E2"/>
    <w:rsid w:val="26377520"/>
    <w:rsid w:val="263C274B"/>
    <w:rsid w:val="264B7744"/>
    <w:rsid w:val="2651082C"/>
    <w:rsid w:val="267E7EE2"/>
    <w:rsid w:val="26A804CA"/>
    <w:rsid w:val="26C66AA9"/>
    <w:rsid w:val="26DD1E76"/>
    <w:rsid w:val="26F64CE5"/>
    <w:rsid w:val="26F87EF2"/>
    <w:rsid w:val="271703C5"/>
    <w:rsid w:val="27351CB2"/>
    <w:rsid w:val="27361586"/>
    <w:rsid w:val="277D1B2D"/>
    <w:rsid w:val="27835FFC"/>
    <w:rsid w:val="2794279E"/>
    <w:rsid w:val="279E7050"/>
    <w:rsid w:val="27A466B8"/>
    <w:rsid w:val="27AF6D80"/>
    <w:rsid w:val="27B0198F"/>
    <w:rsid w:val="27B92AB7"/>
    <w:rsid w:val="27D43FB1"/>
    <w:rsid w:val="27DE552A"/>
    <w:rsid w:val="27E022D4"/>
    <w:rsid w:val="27F84A8D"/>
    <w:rsid w:val="27FC3AE4"/>
    <w:rsid w:val="28065AFB"/>
    <w:rsid w:val="280C4E96"/>
    <w:rsid w:val="281B7D88"/>
    <w:rsid w:val="282E4FCE"/>
    <w:rsid w:val="28342B35"/>
    <w:rsid w:val="2834568E"/>
    <w:rsid w:val="283F0442"/>
    <w:rsid w:val="284E32AF"/>
    <w:rsid w:val="286D1F27"/>
    <w:rsid w:val="28924EE2"/>
    <w:rsid w:val="28975940"/>
    <w:rsid w:val="28A2738B"/>
    <w:rsid w:val="28A86838"/>
    <w:rsid w:val="28C4031B"/>
    <w:rsid w:val="28CB6760"/>
    <w:rsid w:val="28DA7C9C"/>
    <w:rsid w:val="28EC71CA"/>
    <w:rsid w:val="290B259E"/>
    <w:rsid w:val="291D0C4F"/>
    <w:rsid w:val="2924258A"/>
    <w:rsid w:val="29274E04"/>
    <w:rsid w:val="293F46A3"/>
    <w:rsid w:val="296D1EE4"/>
    <w:rsid w:val="29944EB8"/>
    <w:rsid w:val="299C4433"/>
    <w:rsid w:val="29DB4666"/>
    <w:rsid w:val="29E4351B"/>
    <w:rsid w:val="29E736D3"/>
    <w:rsid w:val="29EC0622"/>
    <w:rsid w:val="29FB1FE8"/>
    <w:rsid w:val="29FE68AE"/>
    <w:rsid w:val="2A031B89"/>
    <w:rsid w:val="2A070C32"/>
    <w:rsid w:val="2A0B0AA8"/>
    <w:rsid w:val="2A154E45"/>
    <w:rsid w:val="2A273408"/>
    <w:rsid w:val="2A32072A"/>
    <w:rsid w:val="2A3C5105"/>
    <w:rsid w:val="2A491993"/>
    <w:rsid w:val="2A567D20"/>
    <w:rsid w:val="2A6F4131"/>
    <w:rsid w:val="2A821832"/>
    <w:rsid w:val="2AA77572"/>
    <w:rsid w:val="2ABC3312"/>
    <w:rsid w:val="2AC50660"/>
    <w:rsid w:val="2ACE42A1"/>
    <w:rsid w:val="2AD156A5"/>
    <w:rsid w:val="2AD73080"/>
    <w:rsid w:val="2AE44BDB"/>
    <w:rsid w:val="2AFA0B1C"/>
    <w:rsid w:val="2B1334DC"/>
    <w:rsid w:val="2B1505A0"/>
    <w:rsid w:val="2B165951"/>
    <w:rsid w:val="2B165956"/>
    <w:rsid w:val="2B214434"/>
    <w:rsid w:val="2B3559A3"/>
    <w:rsid w:val="2B3B716B"/>
    <w:rsid w:val="2B471B7C"/>
    <w:rsid w:val="2B4E474F"/>
    <w:rsid w:val="2B674404"/>
    <w:rsid w:val="2B6E1B3C"/>
    <w:rsid w:val="2B801021"/>
    <w:rsid w:val="2B8E7BE2"/>
    <w:rsid w:val="2B9C153F"/>
    <w:rsid w:val="2BA56CDA"/>
    <w:rsid w:val="2BB255CF"/>
    <w:rsid w:val="2BBE3714"/>
    <w:rsid w:val="2BBF02A4"/>
    <w:rsid w:val="2BD24D2D"/>
    <w:rsid w:val="2BDE71AB"/>
    <w:rsid w:val="2BEE51CA"/>
    <w:rsid w:val="2BF8505C"/>
    <w:rsid w:val="2C3B319A"/>
    <w:rsid w:val="2C3C1A6A"/>
    <w:rsid w:val="2C540D91"/>
    <w:rsid w:val="2C6537E2"/>
    <w:rsid w:val="2C6C7279"/>
    <w:rsid w:val="2C8965FC"/>
    <w:rsid w:val="2C903C46"/>
    <w:rsid w:val="2CA14AE9"/>
    <w:rsid w:val="2CAB6572"/>
    <w:rsid w:val="2CAC2D20"/>
    <w:rsid w:val="2CBA67B5"/>
    <w:rsid w:val="2CC10625"/>
    <w:rsid w:val="2CC47634"/>
    <w:rsid w:val="2CD0422B"/>
    <w:rsid w:val="2CD326FB"/>
    <w:rsid w:val="2CD33D72"/>
    <w:rsid w:val="2CDD2170"/>
    <w:rsid w:val="2CEA7FC6"/>
    <w:rsid w:val="2CF220D0"/>
    <w:rsid w:val="2D02046D"/>
    <w:rsid w:val="2D032370"/>
    <w:rsid w:val="2D042751"/>
    <w:rsid w:val="2D056154"/>
    <w:rsid w:val="2D094BEA"/>
    <w:rsid w:val="2D2A52C6"/>
    <w:rsid w:val="2D4D7629"/>
    <w:rsid w:val="2D8F1DD6"/>
    <w:rsid w:val="2D915A33"/>
    <w:rsid w:val="2D954534"/>
    <w:rsid w:val="2D9800A5"/>
    <w:rsid w:val="2DC3712A"/>
    <w:rsid w:val="2DE171DF"/>
    <w:rsid w:val="2DEF1551"/>
    <w:rsid w:val="2E0200C9"/>
    <w:rsid w:val="2E3C6ABB"/>
    <w:rsid w:val="2E4345B4"/>
    <w:rsid w:val="2E5A3DAC"/>
    <w:rsid w:val="2E5D53FD"/>
    <w:rsid w:val="2E61599C"/>
    <w:rsid w:val="2E6332CF"/>
    <w:rsid w:val="2EA63495"/>
    <w:rsid w:val="2EBA0298"/>
    <w:rsid w:val="2EBF09B3"/>
    <w:rsid w:val="2ED22F7C"/>
    <w:rsid w:val="2ED73784"/>
    <w:rsid w:val="2EDF3673"/>
    <w:rsid w:val="2EE213C2"/>
    <w:rsid w:val="2EFC30B5"/>
    <w:rsid w:val="2F486989"/>
    <w:rsid w:val="2F653004"/>
    <w:rsid w:val="2F684953"/>
    <w:rsid w:val="2F8135BA"/>
    <w:rsid w:val="2F8D622E"/>
    <w:rsid w:val="2F9037FD"/>
    <w:rsid w:val="2F917CA1"/>
    <w:rsid w:val="2F982E42"/>
    <w:rsid w:val="2FBB358E"/>
    <w:rsid w:val="2FCB7EDC"/>
    <w:rsid w:val="2FD951A4"/>
    <w:rsid w:val="2FE60F0B"/>
    <w:rsid w:val="2FF150C3"/>
    <w:rsid w:val="2FFE3400"/>
    <w:rsid w:val="301B0290"/>
    <w:rsid w:val="303C4D07"/>
    <w:rsid w:val="30647164"/>
    <w:rsid w:val="306C3ED5"/>
    <w:rsid w:val="306C6C6A"/>
    <w:rsid w:val="306D3F93"/>
    <w:rsid w:val="30711C4D"/>
    <w:rsid w:val="308A649E"/>
    <w:rsid w:val="308E5A68"/>
    <w:rsid w:val="30A2226B"/>
    <w:rsid w:val="30BB2AFC"/>
    <w:rsid w:val="30C22649"/>
    <w:rsid w:val="30DC08E6"/>
    <w:rsid w:val="30E97669"/>
    <w:rsid w:val="312E022B"/>
    <w:rsid w:val="314221E6"/>
    <w:rsid w:val="314A45AB"/>
    <w:rsid w:val="314D7BF8"/>
    <w:rsid w:val="31534D0D"/>
    <w:rsid w:val="317118EE"/>
    <w:rsid w:val="318555E4"/>
    <w:rsid w:val="318A3760"/>
    <w:rsid w:val="31C84C92"/>
    <w:rsid w:val="31D163B5"/>
    <w:rsid w:val="31D976DD"/>
    <w:rsid w:val="31DE4220"/>
    <w:rsid w:val="3201528F"/>
    <w:rsid w:val="322F3FB8"/>
    <w:rsid w:val="32391589"/>
    <w:rsid w:val="324C06E6"/>
    <w:rsid w:val="324C4353"/>
    <w:rsid w:val="32537654"/>
    <w:rsid w:val="327775A4"/>
    <w:rsid w:val="32794A1C"/>
    <w:rsid w:val="327B7589"/>
    <w:rsid w:val="32931F82"/>
    <w:rsid w:val="32B36180"/>
    <w:rsid w:val="32BB5035"/>
    <w:rsid w:val="32C43EEA"/>
    <w:rsid w:val="32CD6692"/>
    <w:rsid w:val="32D71710"/>
    <w:rsid w:val="32D94B0D"/>
    <w:rsid w:val="32E70612"/>
    <w:rsid w:val="32E91BA2"/>
    <w:rsid w:val="32ED5A24"/>
    <w:rsid w:val="32F966F8"/>
    <w:rsid w:val="33010C9A"/>
    <w:rsid w:val="33171483"/>
    <w:rsid w:val="332C4891"/>
    <w:rsid w:val="332E38A7"/>
    <w:rsid w:val="332F3D9F"/>
    <w:rsid w:val="33380434"/>
    <w:rsid w:val="334703EE"/>
    <w:rsid w:val="335E1849"/>
    <w:rsid w:val="335F4F26"/>
    <w:rsid w:val="33625BED"/>
    <w:rsid w:val="337F6063"/>
    <w:rsid w:val="3380392C"/>
    <w:rsid w:val="3381627F"/>
    <w:rsid w:val="33A37FA3"/>
    <w:rsid w:val="33B73A4E"/>
    <w:rsid w:val="33B946F2"/>
    <w:rsid w:val="33B95A18"/>
    <w:rsid w:val="33D4718D"/>
    <w:rsid w:val="33E54418"/>
    <w:rsid w:val="33F07509"/>
    <w:rsid w:val="33F627C9"/>
    <w:rsid w:val="341A5E10"/>
    <w:rsid w:val="34272982"/>
    <w:rsid w:val="342804A8"/>
    <w:rsid w:val="343C7EFD"/>
    <w:rsid w:val="34472085"/>
    <w:rsid w:val="34572B3B"/>
    <w:rsid w:val="3474193F"/>
    <w:rsid w:val="347A4AA6"/>
    <w:rsid w:val="34BA5036"/>
    <w:rsid w:val="34BC5AFA"/>
    <w:rsid w:val="34D337DA"/>
    <w:rsid w:val="34D6600F"/>
    <w:rsid w:val="34EE34A0"/>
    <w:rsid w:val="34FA7F15"/>
    <w:rsid w:val="34FB24F0"/>
    <w:rsid w:val="352930DB"/>
    <w:rsid w:val="353B59DD"/>
    <w:rsid w:val="35534E88"/>
    <w:rsid w:val="355A14CA"/>
    <w:rsid w:val="35633752"/>
    <w:rsid w:val="3569521C"/>
    <w:rsid w:val="35823489"/>
    <w:rsid w:val="35897E8C"/>
    <w:rsid w:val="35953A4C"/>
    <w:rsid w:val="35A66D4C"/>
    <w:rsid w:val="35B5404A"/>
    <w:rsid w:val="35CA6E6E"/>
    <w:rsid w:val="35F950CF"/>
    <w:rsid w:val="35FA1CB2"/>
    <w:rsid w:val="36050AA1"/>
    <w:rsid w:val="361E1B63"/>
    <w:rsid w:val="361E6D32"/>
    <w:rsid w:val="36301896"/>
    <w:rsid w:val="36320657"/>
    <w:rsid w:val="36321AB2"/>
    <w:rsid w:val="36673AC2"/>
    <w:rsid w:val="3683401A"/>
    <w:rsid w:val="369D7707"/>
    <w:rsid w:val="36AB2FBA"/>
    <w:rsid w:val="36C3270A"/>
    <w:rsid w:val="371448CE"/>
    <w:rsid w:val="371D2877"/>
    <w:rsid w:val="372A0A3B"/>
    <w:rsid w:val="372A4537"/>
    <w:rsid w:val="373C4996"/>
    <w:rsid w:val="37461371"/>
    <w:rsid w:val="374A1E98"/>
    <w:rsid w:val="37533C0B"/>
    <w:rsid w:val="375F68D7"/>
    <w:rsid w:val="37794D4F"/>
    <w:rsid w:val="37A02925"/>
    <w:rsid w:val="37B3277F"/>
    <w:rsid w:val="37B34CA4"/>
    <w:rsid w:val="37BD7469"/>
    <w:rsid w:val="37D9327F"/>
    <w:rsid w:val="37E93A81"/>
    <w:rsid w:val="37F75EE1"/>
    <w:rsid w:val="38172D0E"/>
    <w:rsid w:val="38317A04"/>
    <w:rsid w:val="38430BE0"/>
    <w:rsid w:val="384B5B0E"/>
    <w:rsid w:val="38591578"/>
    <w:rsid w:val="385B0E4C"/>
    <w:rsid w:val="385C66C2"/>
    <w:rsid w:val="38645F08"/>
    <w:rsid w:val="38697E97"/>
    <w:rsid w:val="387168C2"/>
    <w:rsid w:val="3888121E"/>
    <w:rsid w:val="389B1BDF"/>
    <w:rsid w:val="38A1659F"/>
    <w:rsid w:val="38AF2F46"/>
    <w:rsid w:val="38C95821"/>
    <w:rsid w:val="38F02478"/>
    <w:rsid w:val="390239BE"/>
    <w:rsid w:val="39180C1C"/>
    <w:rsid w:val="392A1B36"/>
    <w:rsid w:val="392A34F7"/>
    <w:rsid w:val="392A4E38"/>
    <w:rsid w:val="392E20B7"/>
    <w:rsid w:val="393A6E69"/>
    <w:rsid w:val="39675500"/>
    <w:rsid w:val="396B1563"/>
    <w:rsid w:val="39754190"/>
    <w:rsid w:val="39BF57BB"/>
    <w:rsid w:val="39CD2DB0"/>
    <w:rsid w:val="39D92970"/>
    <w:rsid w:val="39FE7012"/>
    <w:rsid w:val="3A0D5454"/>
    <w:rsid w:val="3A1172F4"/>
    <w:rsid w:val="3A23599A"/>
    <w:rsid w:val="3A255086"/>
    <w:rsid w:val="3A2E4C8D"/>
    <w:rsid w:val="3A35147E"/>
    <w:rsid w:val="3A446EBF"/>
    <w:rsid w:val="3A4B4EF0"/>
    <w:rsid w:val="3A514258"/>
    <w:rsid w:val="3A6802CC"/>
    <w:rsid w:val="3A684F47"/>
    <w:rsid w:val="3A6A4A9F"/>
    <w:rsid w:val="3A7D77A0"/>
    <w:rsid w:val="3A810023"/>
    <w:rsid w:val="3A860F49"/>
    <w:rsid w:val="3AA1177A"/>
    <w:rsid w:val="3ABC194A"/>
    <w:rsid w:val="3AF37A62"/>
    <w:rsid w:val="3AF61300"/>
    <w:rsid w:val="3AFB6916"/>
    <w:rsid w:val="3AFD73E8"/>
    <w:rsid w:val="3B381919"/>
    <w:rsid w:val="3B615DAA"/>
    <w:rsid w:val="3B944458"/>
    <w:rsid w:val="3B954675"/>
    <w:rsid w:val="3B9823B7"/>
    <w:rsid w:val="3BAF7463"/>
    <w:rsid w:val="3BB271C7"/>
    <w:rsid w:val="3BB557AB"/>
    <w:rsid w:val="3BBF5B96"/>
    <w:rsid w:val="3BC744EA"/>
    <w:rsid w:val="3BD60968"/>
    <w:rsid w:val="3C4414D2"/>
    <w:rsid w:val="3C595B04"/>
    <w:rsid w:val="3C5C17D2"/>
    <w:rsid w:val="3C5F42F8"/>
    <w:rsid w:val="3C6C0F9B"/>
    <w:rsid w:val="3C7301F1"/>
    <w:rsid w:val="3C7356FA"/>
    <w:rsid w:val="3CA1704A"/>
    <w:rsid w:val="3CD4741F"/>
    <w:rsid w:val="3CFB3A43"/>
    <w:rsid w:val="3CFB661F"/>
    <w:rsid w:val="3D0B626C"/>
    <w:rsid w:val="3D0F4D1C"/>
    <w:rsid w:val="3D487A50"/>
    <w:rsid w:val="3D5139EC"/>
    <w:rsid w:val="3D7A6218"/>
    <w:rsid w:val="3D8552FA"/>
    <w:rsid w:val="3D8C367A"/>
    <w:rsid w:val="3DB039E8"/>
    <w:rsid w:val="3DC01751"/>
    <w:rsid w:val="3DCF2188"/>
    <w:rsid w:val="3DD1570D"/>
    <w:rsid w:val="3DDE7492"/>
    <w:rsid w:val="3DF2026B"/>
    <w:rsid w:val="3DF80EEB"/>
    <w:rsid w:val="3DFA1107"/>
    <w:rsid w:val="3DFF04CC"/>
    <w:rsid w:val="3E24689A"/>
    <w:rsid w:val="3E557A55"/>
    <w:rsid w:val="3E5D2794"/>
    <w:rsid w:val="3E8134BC"/>
    <w:rsid w:val="3E864749"/>
    <w:rsid w:val="3E8D1F7B"/>
    <w:rsid w:val="3E9073D3"/>
    <w:rsid w:val="3EAC582F"/>
    <w:rsid w:val="3EC80F65"/>
    <w:rsid w:val="3ED35D96"/>
    <w:rsid w:val="3EE0310F"/>
    <w:rsid w:val="3F21764F"/>
    <w:rsid w:val="3F270382"/>
    <w:rsid w:val="3F4D34B9"/>
    <w:rsid w:val="3F5C61BC"/>
    <w:rsid w:val="3F5E1222"/>
    <w:rsid w:val="3F821E5A"/>
    <w:rsid w:val="3F826617"/>
    <w:rsid w:val="3F882148"/>
    <w:rsid w:val="3FAD5B09"/>
    <w:rsid w:val="3FAF5707"/>
    <w:rsid w:val="3FD61700"/>
    <w:rsid w:val="3FD85683"/>
    <w:rsid w:val="3FFF6096"/>
    <w:rsid w:val="40044B90"/>
    <w:rsid w:val="40153FD6"/>
    <w:rsid w:val="402042D4"/>
    <w:rsid w:val="40273D0A"/>
    <w:rsid w:val="40310071"/>
    <w:rsid w:val="4045485F"/>
    <w:rsid w:val="40A01D3A"/>
    <w:rsid w:val="40C652D1"/>
    <w:rsid w:val="40C92CD2"/>
    <w:rsid w:val="40EE1315"/>
    <w:rsid w:val="410B7187"/>
    <w:rsid w:val="411249BA"/>
    <w:rsid w:val="414172BF"/>
    <w:rsid w:val="416A190F"/>
    <w:rsid w:val="416E7E42"/>
    <w:rsid w:val="418770B8"/>
    <w:rsid w:val="41B6712E"/>
    <w:rsid w:val="41BA6A45"/>
    <w:rsid w:val="41C85859"/>
    <w:rsid w:val="41CA339C"/>
    <w:rsid w:val="41D103D1"/>
    <w:rsid w:val="41D758D6"/>
    <w:rsid w:val="41DF2F7B"/>
    <w:rsid w:val="41F63994"/>
    <w:rsid w:val="42277327"/>
    <w:rsid w:val="422F448D"/>
    <w:rsid w:val="42312C1E"/>
    <w:rsid w:val="42366258"/>
    <w:rsid w:val="42404F2E"/>
    <w:rsid w:val="424514EC"/>
    <w:rsid w:val="424C228D"/>
    <w:rsid w:val="424E40FE"/>
    <w:rsid w:val="427E4A81"/>
    <w:rsid w:val="428C524B"/>
    <w:rsid w:val="42927D62"/>
    <w:rsid w:val="429B3874"/>
    <w:rsid w:val="429F5DD9"/>
    <w:rsid w:val="42AD499A"/>
    <w:rsid w:val="42B61086"/>
    <w:rsid w:val="42C26869"/>
    <w:rsid w:val="42DD6902"/>
    <w:rsid w:val="42ED02B3"/>
    <w:rsid w:val="42FE6FA4"/>
    <w:rsid w:val="43040332"/>
    <w:rsid w:val="430F518E"/>
    <w:rsid w:val="43152860"/>
    <w:rsid w:val="431762B8"/>
    <w:rsid w:val="431A4176"/>
    <w:rsid w:val="431B17D2"/>
    <w:rsid w:val="434A043B"/>
    <w:rsid w:val="43560B8E"/>
    <w:rsid w:val="43607C5E"/>
    <w:rsid w:val="43772A58"/>
    <w:rsid w:val="438761B4"/>
    <w:rsid w:val="4389474A"/>
    <w:rsid w:val="43923B90"/>
    <w:rsid w:val="43A4707C"/>
    <w:rsid w:val="43D67B4D"/>
    <w:rsid w:val="43DF0926"/>
    <w:rsid w:val="43F15324"/>
    <w:rsid w:val="440B706C"/>
    <w:rsid w:val="44110F59"/>
    <w:rsid w:val="441A605F"/>
    <w:rsid w:val="441D70DF"/>
    <w:rsid w:val="441E176A"/>
    <w:rsid w:val="44292D63"/>
    <w:rsid w:val="443B0E5E"/>
    <w:rsid w:val="4445330B"/>
    <w:rsid w:val="44484B78"/>
    <w:rsid w:val="445826E4"/>
    <w:rsid w:val="445C06B9"/>
    <w:rsid w:val="445F3A72"/>
    <w:rsid w:val="446077EA"/>
    <w:rsid w:val="44665E49"/>
    <w:rsid w:val="446C618F"/>
    <w:rsid w:val="448F024A"/>
    <w:rsid w:val="44B26298"/>
    <w:rsid w:val="44BE2E8F"/>
    <w:rsid w:val="44C86593"/>
    <w:rsid w:val="44D02189"/>
    <w:rsid w:val="44D73F50"/>
    <w:rsid w:val="44FC1D24"/>
    <w:rsid w:val="44FE1514"/>
    <w:rsid w:val="451008C2"/>
    <w:rsid w:val="451277B0"/>
    <w:rsid w:val="45246F22"/>
    <w:rsid w:val="452470E5"/>
    <w:rsid w:val="45280308"/>
    <w:rsid w:val="45435142"/>
    <w:rsid w:val="45464C32"/>
    <w:rsid w:val="45492AC0"/>
    <w:rsid w:val="45513D03"/>
    <w:rsid w:val="45675331"/>
    <w:rsid w:val="458021A9"/>
    <w:rsid w:val="45834749"/>
    <w:rsid w:val="458D7ACD"/>
    <w:rsid w:val="45AB63C3"/>
    <w:rsid w:val="45D73ADC"/>
    <w:rsid w:val="45D93CF8"/>
    <w:rsid w:val="45F20395"/>
    <w:rsid w:val="45FE72BB"/>
    <w:rsid w:val="45FE7CC8"/>
    <w:rsid w:val="46053A9B"/>
    <w:rsid w:val="46121C64"/>
    <w:rsid w:val="46162856"/>
    <w:rsid w:val="46226EB0"/>
    <w:rsid w:val="46366D1E"/>
    <w:rsid w:val="4658671E"/>
    <w:rsid w:val="465C2A22"/>
    <w:rsid w:val="466E205D"/>
    <w:rsid w:val="467911B3"/>
    <w:rsid w:val="46812B8D"/>
    <w:rsid w:val="46832413"/>
    <w:rsid w:val="46885E2A"/>
    <w:rsid w:val="469F2601"/>
    <w:rsid w:val="46A82FBF"/>
    <w:rsid w:val="46AB40C3"/>
    <w:rsid w:val="46BA58D8"/>
    <w:rsid w:val="46C439A8"/>
    <w:rsid w:val="46CE7995"/>
    <w:rsid w:val="46D7323F"/>
    <w:rsid w:val="46E0501A"/>
    <w:rsid w:val="46FC1214"/>
    <w:rsid w:val="47021DBA"/>
    <w:rsid w:val="470B38B4"/>
    <w:rsid w:val="471F2FD5"/>
    <w:rsid w:val="475D3DAD"/>
    <w:rsid w:val="479C5383"/>
    <w:rsid w:val="479F646B"/>
    <w:rsid w:val="47A56FB4"/>
    <w:rsid w:val="47AD7CF1"/>
    <w:rsid w:val="47B70069"/>
    <w:rsid w:val="47C73D3A"/>
    <w:rsid w:val="47D67F88"/>
    <w:rsid w:val="4803505C"/>
    <w:rsid w:val="480831B5"/>
    <w:rsid w:val="480D66CD"/>
    <w:rsid w:val="480F105A"/>
    <w:rsid w:val="48194880"/>
    <w:rsid w:val="482849BA"/>
    <w:rsid w:val="483D056E"/>
    <w:rsid w:val="483F2BC9"/>
    <w:rsid w:val="485A1120"/>
    <w:rsid w:val="48A7549C"/>
    <w:rsid w:val="48B545A9"/>
    <w:rsid w:val="48BA15B1"/>
    <w:rsid w:val="48D273AC"/>
    <w:rsid w:val="48D76D49"/>
    <w:rsid w:val="48E97759"/>
    <w:rsid w:val="491F1E48"/>
    <w:rsid w:val="49337978"/>
    <w:rsid w:val="495D26EB"/>
    <w:rsid w:val="49600707"/>
    <w:rsid w:val="49656EDC"/>
    <w:rsid w:val="49793828"/>
    <w:rsid w:val="4987138C"/>
    <w:rsid w:val="49883A6B"/>
    <w:rsid w:val="49B91793"/>
    <w:rsid w:val="49C37596"/>
    <w:rsid w:val="49CF169A"/>
    <w:rsid w:val="49D348F2"/>
    <w:rsid w:val="49E204D8"/>
    <w:rsid w:val="49FA66B9"/>
    <w:rsid w:val="4A0D3F70"/>
    <w:rsid w:val="4A103FF4"/>
    <w:rsid w:val="4A1277D9"/>
    <w:rsid w:val="4A5D0A54"/>
    <w:rsid w:val="4A666565"/>
    <w:rsid w:val="4A7B66E4"/>
    <w:rsid w:val="4A7D5113"/>
    <w:rsid w:val="4A7F4FCB"/>
    <w:rsid w:val="4A812A30"/>
    <w:rsid w:val="4A89523C"/>
    <w:rsid w:val="4AB019AF"/>
    <w:rsid w:val="4AC54E91"/>
    <w:rsid w:val="4AD5154D"/>
    <w:rsid w:val="4AEA3364"/>
    <w:rsid w:val="4AF73617"/>
    <w:rsid w:val="4B101F6A"/>
    <w:rsid w:val="4B593BC4"/>
    <w:rsid w:val="4B6A463C"/>
    <w:rsid w:val="4B902FB1"/>
    <w:rsid w:val="4B9E0E3F"/>
    <w:rsid w:val="4BB63B5B"/>
    <w:rsid w:val="4BB9615E"/>
    <w:rsid w:val="4BCC283D"/>
    <w:rsid w:val="4BD35E6D"/>
    <w:rsid w:val="4BDC1E4C"/>
    <w:rsid w:val="4BE1231B"/>
    <w:rsid w:val="4BFF5353"/>
    <w:rsid w:val="4C1F6EFC"/>
    <w:rsid w:val="4C2F265F"/>
    <w:rsid w:val="4C5B5DF1"/>
    <w:rsid w:val="4C63431C"/>
    <w:rsid w:val="4C6D6DCE"/>
    <w:rsid w:val="4C752052"/>
    <w:rsid w:val="4C7D3694"/>
    <w:rsid w:val="4C9F27AB"/>
    <w:rsid w:val="4CB479E9"/>
    <w:rsid w:val="4CBD4A44"/>
    <w:rsid w:val="4CD40D75"/>
    <w:rsid w:val="4CDE3815"/>
    <w:rsid w:val="4D0D2958"/>
    <w:rsid w:val="4D145493"/>
    <w:rsid w:val="4D2D4855"/>
    <w:rsid w:val="4D393332"/>
    <w:rsid w:val="4D3B01A7"/>
    <w:rsid w:val="4D4746C5"/>
    <w:rsid w:val="4D4D1254"/>
    <w:rsid w:val="4D5A74CD"/>
    <w:rsid w:val="4D6759FB"/>
    <w:rsid w:val="4D6E3517"/>
    <w:rsid w:val="4DB639B0"/>
    <w:rsid w:val="4DB7491F"/>
    <w:rsid w:val="4DE70682"/>
    <w:rsid w:val="4DF53699"/>
    <w:rsid w:val="4DFD50C1"/>
    <w:rsid w:val="4E2B70BB"/>
    <w:rsid w:val="4E4645AE"/>
    <w:rsid w:val="4E496865"/>
    <w:rsid w:val="4E58321E"/>
    <w:rsid w:val="4E6B2193"/>
    <w:rsid w:val="4E9B1B4B"/>
    <w:rsid w:val="4EB91CD7"/>
    <w:rsid w:val="4EDE7C89"/>
    <w:rsid w:val="4EE72FE2"/>
    <w:rsid w:val="4EFF135C"/>
    <w:rsid w:val="4F0E00E7"/>
    <w:rsid w:val="4F22412F"/>
    <w:rsid w:val="4F285863"/>
    <w:rsid w:val="4F2A1121"/>
    <w:rsid w:val="4F6264CF"/>
    <w:rsid w:val="4F6E6D3E"/>
    <w:rsid w:val="4F7F68E8"/>
    <w:rsid w:val="4F864B42"/>
    <w:rsid w:val="4F926200"/>
    <w:rsid w:val="4F9A0295"/>
    <w:rsid w:val="4FA1745C"/>
    <w:rsid w:val="4FBA4253"/>
    <w:rsid w:val="4FC55461"/>
    <w:rsid w:val="4FCE7CFE"/>
    <w:rsid w:val="4FDC12AC"/>
    <w:rsid w:val="4FE20FB2"/>
    <w:rsid w:val="4FF9121F"/>
    <w:rsid w:val="501C4F0D"/>
    <w:rsid w:val="502B7CA9"/>
    <w:rsid w:val="5038679F"/>
    <w:rsid w:val="50463D38"/>
    <w:rsid w:val="5047222E"/>
    <w:rsid w:val="50670571"/>
    <w:rsid w:val="50B95E75"/>
    <w:rsid w:val="50C54952"/>
    <w:rsid w:val="50CA6916"/>
    <w:rsid w:val="50CD6207"/>
    <w:rsid w:val="51015649"/>
    <w:rsid w:val="51034416"/>
    <w:rsid w:val="512151F2"/>
    <w:rsid w:val="512656C9"/>
    <w:rsid w:val="5139564B"/>
    <w:rsid w:val="5156444F"/>
    <w:rsid w:val="516B70CD"/>
    <w:rsid w:val="516C74EC"/>
    <w:rsid w:val="516E5337"/>
    <w:rsid w:val="51775721"/>
    <w:rsid w:val="517B5A9D"/>
    <w:rsid w:val="51801D58"/>
    <w:rsid w:val="51917235"/>
    <w:rsid w:val="519B4E54"/>
    <w:rsid w:val="51AC22C1"/>
    <w:rsid w:val="51B51175"/>
    <w:rsid w:val="51BF1FF4"/>
    <w:rsid w:val="51C740E1"/>
    <w:rsid w:val="51CD69E1"/>
    <w:rsid w:val="51E77F87"/>
    <w:rsid w:val="51EA372D"/>
    <w:rsid w:val="51EE696A"/>
    <w:rsid w:val="51F15F26"/>
    <w:rsid w:val="51F37EF0"/>
    <w:rsid w:val="51F87B88"/>
    <w:rsid w:val="520D0FB1"/>
    <w:rsid w:val="521142C4"/>
    <w:rsid w:val="5224097B"/>
    <w:rsid w:val="522508B8"/>
    <w:rsid w:val="523E1BC7"/>
    <w:rsid w:val="523F6E00"/>
    <w:rsid w:val="524B22B7"/>
    <w:rsid w:val="52692D61"/>
    <w:rsid w:val="527728CF"/>
    <w:rsid w:val="528172AA"/>
    <w:rsid w:val="52B8492E"/>
    <w:rsid w:val="52CD201A"/>
    <w:rsid w:val="52DB316A"/>
    <w:rsid w:val="52DF5523"/>
    <w:rsid w:val="530C01BA"/>
    <w:rsid w:val="530F02BC"/>
    <w:rsid w:val="53130849"/>
    <w:rsid w:val="53130F14"/>
    <w:rsid w:val="531C6A38"/>
    <w:rsid w:val="534972AB"/>
    <w:rsid w:val="5373169B"/>
    <w:rsid w:val="53747D16"/>
    <w:rsid w:val="5378497F"/>
    <w:rsid w:val="53C6061F"/>
    <w:rsid w:val="53E544DB"/>
    <w:rsid w:val="53F046E7"/>
    <w:rsid w:val="53F82EC8"/>
    <w:rsid w:val="540B1521"/>
    <w:rsid w:val="5415227F"/>
    <w:rsid w:val="542258CB"/>
    <w:rsid w:val="54273E81"/>
    <w:rsid w:val="542D741B"/>
    <w:rsid w:val="543211F5"/>
    <w:rsid w:val="543640C4"/>
    <w:rsid w:val="544B4013"/>
    <w:rsid w:val="5456472A"/>
    <w:rsid w:val="54667951"/>
    <w:rsid w:val="548C1FAB"/>
    <w:rsid w:val="549E4143"/>
    <w:rsid w:val="54B5148C"/>
    <w:rsid w:val="54E63064"/>
    <w:rsid w:val="54F41028"/>
    <w:rsid w:val="54F75F49"/>
    <w:rsid w:val="54FE72D7"/>
    <w:rsid w:val="550F5D8E"/>
    <w:rsid w:val="552F326D"/>
    <w:rsid w:val="553D5D3A"/>
    <w:rsid w:val="554D7917"/>
    <w:rsid w:val="55663533"/>
    <w:rsid w:val="556F6CD4"/>
    <w:rsid w:val="558B0806"/>
    <w:rsid w:val="55944949"/>
    <w:rsid w:val="559C154A"/>
    <w:rsid w:val="55A21094"/>
    <w:rsid w:val="55B24181"/>
    <w:rsid w:val="55B96238"/>
    <w:rsid w:val="560501F2"/>
    <w:rsid w:val="564447FE"/>
    <w:rsid w:val="56466840"/>
    <w:rsid w:val="565467A5"/>
    <w:rsid w:val="56644224"/>
    <w:rsid w:val="5666680E"/>
    <w:rsid w:val="5669634B"/>
    <w:rsid w:val="56735DD8"/>
    <w:rsid w:val="567A473C"/>
    <w:rsid w:val="5685797A"/>
    <w:rsid w:val="568C1A21"/>
    <w:rsid w:val="569F4D37"/>
    <w:rsid w:val="56A8574D"/>
    <w:rsid w:val="56AB2F3F"/>
    <w:rsid w:val="56C42FEC"/>
    <w:rsid w:val="56EA73AE"/>
    <w:rsid w:val="56F0657B"/>
    <w:rsid w:val="56F20621"/>
    <w:rsid w:val="56F20776"/>
    <w:rsid w:val="56F37AB8"/>
    <w:rsid w:val="56FC15F5"/>
    <w:rsid w:val="57122BC6"/>
    <w:rsid w:val="572D6623"/>
    <w:rsid w:val="57364C46"/>
    <w:rsid w:val="574F5BC8"/>
    <w:rsid w:val="575A47E7"/>
    <w:rsid w:val="575C02E5"/>
    <w:rsid w:val="577473DD"/>
    <w:rsid w:val="57911484"/>
    <w:rsid w:val="57BE00CF"/>
    <w:rsid w:val="57C33EC0"/>
    <w:rsid w:val="57CF104F"/>
    <w:rsid w:val="57CF47C9"/>
    <w:rsid w:val="57D939CD"/>
    <w:rsid w:val="57FF0946"/>
    <w:rsid w:val="58075B26"/>
    <w:rsid w:val="580A355F"/>
    <w:rsid w:val="58127ED2"/>
    <w:rsid w:val="58172F6B"/>
    <w:rsid w:val="58281E5B"/>
    <w:rsid w:val="582C247D"/>
    <w:rsid w:val="583D29A8"/>
    <w:rsid w:val="58406187"/>
    <w:rsid w:val="58537A63"/>
    <w:rsid w:val="58643CC2"/>
    <w:rsid w:val="588075E9"/>
    <w:rsid w:val="588C2AEC"/>
    <w:rsid w:val="58CA7BFC"/>
    <w:rsid w:val="58E83887"/>
    <w:rsid w:val="58F90DE0"/>
    <w:rsid w:val="59106321"/>
    <w:rsid w:val="59140C82"/>
    <w:rsid w:val="5919648E"/>
    <w:rsid w:val="59202A8D"/>
    <w:rsid w:val="59372DB8"/>
    <w:rsid w:val="593B01E1"/>
    <w:rsid w:val="59493F76"/>
    <w:rsid w:val="59550FA6"/>
    <w:rsid w:val="595650B7"/>
    <w:rsid w:val="59576FB6"/>
    <w:rsid w:val="596005C1"/>
    <w:rsid w:val="59622FBF"/>
    <w:rsid w:val="59651728"/>
    <w:rsid w:val="5978642A"/>
    <w:rsid w:val="597F1341"/>
    <w:rsid w:val="599057E7"/>
    <w:rsid w:val="599F4CD5"/>
    <w:rsid w:val="59A27420"/>
    <w:rsid w:val="59AD1F85"/>
    <w:rsid w:val="59D654A8"/>
    <w:rsid w:val="59D80CBB"/>
    <w:rsid w:val="5A011459"/>
    <w:rsid w:val="5A013CE4"/>
    <w:rsid w:val="5A0141A4"/>
    <w:rsid w:val="5A053904"/>
    <w:rsid w:val="5A196B54"/>
    <w:rsid w:val="5A1E47AC"/>
    <w:rsid w:val="5A447687"/>
    <w:rsid w:val="5A4C2893"/>
    <w:rsid w:val="5A603305"/>
    <w:rsid w:val="5A701838"/>
    <w:rsid w:val="5A8156DE"/>
    <w:rsid w:val="5ADF3707"/>
    <w:rsid w:val="5AE3249E"/>
    <w:rsid w:val="5AE56545"/>
    <w:rsid w:val="5AE92129"/>
    <w:rsid w:val="5AF102AB"/>
    <w:rsid w:val="5B163201"/>
    <w:rsid w:val="5B1A473F"/>
    <w:rsid w:val="5B2E3D47"/>
    <w:rsid w:val="5B37709F"/>
    <w:rsid w:val="5B6149A2"/>
    <w:rsid w:val="5B636D7E"/>
    <w:rsid w:val="5B7A6DEA"/>
    <w:rsid w:val="5B7E6A7C"/>
    <w:rsid w:val="5BA20303"/>
    <w:rsid w:val="5BB26726"/>
    <w:rsid w:val="5BB926FC"/>
    <w:rsid w:val="5BF54320"/>
    <w:rsid w:val="5C1633F6"/>
    <w:rsid w:val="5C246971"/>
    <w:rsid w:val="5C4867F4"/>
    <w:rsid w:val="5C6737F1"/>
    <w:rsid w:val="5C9C18B0"/>
    <w:rsid w:val="5C9E7970"/>
    <w:rsid w:val="5CB36BF9"/>
    <w:rsid w:val="5CBD1826"/>
    <w:rsid w:val="5CC37F37"/>
    <w:rsid w:val="5CE943C9"/>
    <w:rsid w:val="5CF96FBB"/>
    <w:rsid w:val="5CFD1C22"/>
    <w:rsid w:val="5D044DFB"/>
    <w:rsid w:val="5D2A3C5C"/>
    <w:rsid w:val="5D2E4206"/>
    <w:rsid w:val="5D8B5480"/>
    <w:rsid w:val="5DA21809"/>
    <w:rsid w:val="5DAB5B22"/>
    <w:rsid w:val="5DD0374A"/>
    <w:rsid w:val="5DD064FA"/>
    <w:rsid w:val="5DDA30BD"/>
    <w:rsid w:val="5DE33611"/>
    <w:rsid w:val="5DEA03F9"/>
    <w:rsid w:val="5DEB5F1F"/>
    <w:rsid w:val="5DEB608F"/>
    <w:rsid w:val="5E211941"/>
    <w:rsid w:val="5E2719AF"/>
    <w:rsid w:val="5E2C7B5F"/>
    <w:rsid w:val="5E37388C"/>
    <w:rsid w:val="5E49652D"/>
    <w:rsid w:val="5E55621E"/>
    <w:rsid w:val="5E556A51"/>
    <w:rsid w:val="5E6C7060"/>
    <w:rsid w:val="5EA7453C"/>
    <w:rsid w:val="5EAE0F71"/>
    <w:rsid w:val="5ED27BE1"/>
    <w:rsid w:val="5ED35BB4"/>
    <w:rsid w:val="5ED75612"/>
    <w:rsid w:val="5F1F1B33"/>
    <w:rsid w:val="5F2136D8"/>
    <w:rsid w:val="5F2D0AE0"/>
    <w:rsid w:val="5F432EF8"/>
    <w:rsid w:val="5F47659C"/>
    <w:rsid w:val="5F526256"/>
    <w:rsid w:val="5F555D46"/>
    <w:rsid w:val="5F6C2B62"/>
    <w:rsid w:val="5F7E529D"/>
    <w:rsid w:val="5FB40CBE"/>
    <w:rsid w:val="5FC2239B"/>
    <w:rsid w:val="5FCA04E2"/>
    <w:rsid w:val="5FDF1F8A"/>
    <w:rsid w:val="5FE356A8"/>
    <w:rsid w:val="5FF40024"/>
    <w:rsid w:val="602676E1"/>
    <w:rsid w:val="602E4F74"/>
    <w:rsid w:val="603418A5"/>
    <w:rsid w:val="60366D51"/>
    <w:rsid w:val="604D4C6F"/>
    <w:rsid w:val="60936B26"/>
    <w:rsid w:val="6098238E"/>
    <w:rsid w:val="60A457EB"/>
    <w:rsid w:val="60A74497"/>
    <w:rsid w:val="60B61030"/>
    <w:rsid w:val="60BE1C9B"/>
    <w:rsid w:val="60C356C4"/>
    <w:rsid w:val="60E92BEA"/>
    <w:rsid w:val="60FF41BB"/>
    <w:rsid w:val="61020C7F"/>
    <w:rsid w:val="612B3202"/>
    <w:rsid w:val="612C0D28"/>
    <w:rsid w:val="61406582"/>
    <w:rsid w:val="61543299"/>
    <w:rsid w:val="61592960"/>
    <w:rsid w:val="615A5A4D"/>
    <w:rsid w:val="61706E67"/>
    <w:rsid w:val="61AC41D6"/>
    <w:rsid w:val="61D70DF9"/>
    <w:rsid w:val="61D77A00"/>
    <w:rsid w:val="61EE148D"/>
    <w:rsid w:val="621B3277"/>
    <w:rsid w:val="6228211F"/>
    <w:rsid w:val="6229771A"/>
    <w:rsid w:val="622C555D"/>
    <w:rsid w:val="623B7475"/>
    <w:rsid w:val="626478C2"/>
    <w:rsid w:val="626529F4"/>
    <w:rsid w:val="626C4988"/>
    <w:rsid w:val="62854B94"/>
    <w:rsid w:val="62A47FD8"/>
    <w:rsid w:val="62E224E8"/>
    <w:rsid w:val="62FE497B"/>
    <w:rsid w:val="62FF03D9"/>
    <w:rsid w:val="62FF64C2"/>
    <w:rsid w:val="630E4B89"/>
    <w:rsid w:val="63165FDA"/>
    <w:rsid w:val="63352116"/>
    <w:rsid w:val="63377DE5"/>
    <w:rsid w:val="633C769A"/>
    <w:rsid w:val="63452A53"/>
    <w:rsid w:val="635B58F5"/>
    <w:rsid w:val="637531A0"/>
    <w:rsid w:val="63966FB4"/>
    <w:rsid w:val="63973036"/>
    <w:rsid w:val="639B6291"/>
    <w:rsid w:val="639C2D33"/>
    <w:rsid w:val="63A105E6"/>
    <w:rsid w:val="63AD6150"/>
    <w:rsid w:val="63C96D02"/>
    <w:rsid w:val="63D36046"/>
    <w:rsid w:val="63D6255C"/>
    <w:rsid w:val="63E61F5F"/>
    <w:rsid w:val="63F00811"/>
    <w:rsid w:val="63F657AA"/>
    <w:rsid w:val="64144421"/>
    <w:rsid w:val="643A7DF2"/>
    <w:rsid w:val="644D7933"/>
    <w:rsid w:val="645152C2"/>
    <w:rsid w:val="645E38EF"/>
    <w:rsid w:val="64607667"/>
    <w:rsid w:val="64800394"/>
    <w:rsid w:val="648814BB"/>
    <w:rsid w:val="64975171"/>
    <w:rsid w:val="64A15589"/>
    <w:rsid w:val="64AA0614"/>
    <w:rsid w:val="64AB4ABB"/>
    <w:rsid w:val="64BE5FF1"/>
    <w:rsid w:val="64C549E2"/>
    <w:rsid w:val="64D4770D"/>
    <w:rsid w:val="64E831B8"/>
    <w:rsid w:val="64EA2425"/>
    <w:rsid w:val="64F1206D"/>
    <w:rsid w:val="65031DA0"/>
    <w:rsid w:val="65220A06"/>
    <w:rsid w:val="65384140"/>
    <w:rsid w:val="653A1C66"/>
    <w:rsid w:val="65426D6C"/>
    <w:rsid w:val="65540C76"/>
    <w:rsid w:val="656E7B61"/>
    <w:rsid w:val="657753A5"/>
    <w:rsid w:val="657A5833"/>
    <w:rsid w:val="65812DF0"/>
    <w:rsid w:val="65842EE1"/>
    <w:rsid w:val="659B022A"/>
    <w:rsid w:val="65A767B0"/>
    <w:rsid w:val="65AE3104"/>
    <w:rsid w:val="65B838A4"/>
    <w:rsid w:val="65C94D98"/>
    <w:rsid w:val="6602534E"/>
    <w:rsid w:val="66065FEC"/>
    <w:rsid w:val="660A5F17"/>
    <w:rsid w:val="66332DC3"/>
    <w:rsid w:val="6639006E"/>
    <w:rsid w:val="663C7C5F"/>
    <w:rsid w:val="663F7785"/>
    <w:rsid w:val="664804B3"/>
    <w:rsid w:val="665E7BD6"/>
    <w:rsid w:val="66632EA0"/>
    <w:rsid w:val="66633E9A"/>
    <w:rsid w:val="66656C51"/>
    <w:rsid w:val="66664CDC"/>
    <w:rsid w:val="668D3AA7"/>
    <w:rsid w:val="668D6304"/>
    <w:rsid w:val="669C6028"/>
    <w:rsid w:val="669F0689"/>
    <w:rsid w:val="66A87A0F"/>
    <w:rsid w:val="66B20509"/>
    <w:rsid w:val="66C50541"/>
    <w:rsid w:val="66C509D5"/>
    <w:rsid w:val="66DA2CB3"/>
    <w:rsid w:val="66F40793"/>
    <w:rsid w:val="670E33AA"/>
    <w:rsid w:val="6717038D"/>
    <w:rsid w:val="671706D3"/>
    <w:rsid w:val="672F48CC"/>
    <w:rsid w:val="6730396A"/>
    <w:rsid w:val="67346B89"/>
    <w:rsid w:val="6751773B"/>
    <w:rsid w:val="67801EB9"/>
    <w:rsid w:val="67A71109"/>
    <w:rsid w:val="67C76B2D"/>
    <w:rsid w:val="67CE0D8B"/>
    <w:rsid w:val="67EE2A60"/>
    <w:rsid w:val="68036CFD"/>
    <w:rsid w:val="681A38D9"/>
    <w:rsid w:val="68324E76"/>
    <w:rsid w:val="6839795B"/>
    <w:rsid w:val="683E5252"/>
    <w:rsid w:val="68456C28"/>
    <w:rsid w:val="684C67E9"/>
    <w:rsid w:val="685118DE"/>
    <w:rsid w:val="685E101E"/>
    <w:rsid w:val="688233FF"/>
    <w:rsid w:val="68883E6D"/>
    <w:rsid w:val="68AD6BF3"/>
    <w:rsid w:val="68D56A00"/>
    <w:rsid w:val="68DA1F54"/>
    <w:rsid w:val="68EB078F"/>
    <w:rsid w:val="69280C5E"/>
    <w:rsid w:val="693A3226"/>
    <w:rsid w:val="693E4935"/>
    <w:rsid w:val="694D54E1"/>
    <w:rsid w:val="699944EC"/>
    <w:rsid w:val="69995724"/>
    <w:rsid w:val="69B47EE5"/>
    <w:rsid w:val="69C4686C"/>
    <w:rsid w:val="6A176F2F"/>
    <w:rsid w:val="6A23687A"/>
    <w:rsid w:val="6A240036"/>
    <w:rsid w:val="6A372756"/>
    <w:rsid w:val="6A3B19C7"/>
    <w:rsid w:val="6A4B5F33"/>
    <w:rsid w:val="6A577BBA"/>
    <w:rsid w:val="6A590439"/>
    <w:rsid w:val="6A597D4C"/>
    <w:rsid w:val="6A680FC7"/>
    <w:rsid w:val="6A880A74"/>
    <w:rsid w:val="6A942216"/>
    <w:rsid w:val="6A9B0075"/>
    <w:rsid w:val="6AC51D73"/>
    <w:rsid w:val="6AC82C33"/>
    <w:rsid w:val="6AD67F71"/>
    <w:rsid w:val="6AE213F9"/>
    <w:rsid w:val="6AE368FC"/>
    <w:rsid w:val="6AE85CC0"/>
    <w:rsid w:val="6AF7771D"/>
    <w:rsid w:val="6B036F9E"/>
    <w:rsid w:val="6B311795"/>
    <w:rsid w:val="6B4D0219"/>
    <w:rsid w:val="6BA17867"/>
    <w:rsid w:val="6BA8544F"/>
    <w:rsid w:val="6BB141CE"/>
    <w:rsid w:val="6BBA58AE"/>
    <w:rsid w:val="6BBE4C73"/>
    <w:rsid w:val="6BD45513"/>
    <w:rsid w:val="6BEF0C80"/>
    <w:rsid w:val="6BF41DBA"/>
    <w:rsid w:val="6C102618"/>
    <w:rsid w:val="6C1F3963"/>
    <w:rsid w:val="6C1F5711"/>
    <w:rsid w:val="6C2A0D97"/>
    <w:rsid w:val="6C3664AD"/>
    <w:rsid w:val="6C3D203B"/>
    <w:rsid w:val="6C477211"/>
    <w:rsid w:val="6C62746F"/>
    <w:rsid w:val="6C7B0D4F"/>
    <w:rsid w:val="6C7C7008"/>
    <w:rsid w:val="6CA36342"/>
    <w:rsid w:val="6CAB3449"/>
    <w:rsid w:val="6CAE2F39"/>
    <w:rsid w:val="6CAF118B"/>
    <w:rsid w:val="6CB22A29"/>
    <w:rsid w:val="6CBA18DE"/>
    <w:rsid w:val="6CBD0545"/>
    <w:rsid w:val="6CC30793"/>
    <w:rsid w:val="6CC37BAF"/>
    <w:rsid w:val="6CC73DF6"/>
    <w:rsid w:val="6CE13277"/>
    <w:rsid w:val="6CEA6058"/>
    <w:rsid w:val="6CF92FDB"/>
    <w:rsid w:val="6D0F2115"/>
    <w:rsid w:val="6D237483"/>
    <w:rsid w:val="6D3173EA"/>
    <w:rsid w:val="6D385E21"/>
    <w:rsid w:val="6D737889"/>
    <w:rsid w:val="6D787B59"/>
    <w:rsid w:val="6D7F4662"/>
    <w:rsid w:val="6D832E39"/>
    <w:rsid w:val="6D8A7542"/>
    <w:rsid w:val="6D916E4E"/>
    <w:rsid w:val="6DB3108B"/>
    <w:rsid w:val="6DBD5004"/>
    <w:rsid w:val="6DC63E68"/>
    <w:rsid w:val="6DCF4F15"/>
    <w:rsid w:val="6DD447A6"/>
    <w:rsid w:val="6DDE4DD4"/>
    <w:rsid w:val="6DEF4626"/>
    <w:rsid w:val="6E066FBB"/>
    <w:rsid w:val="6E1152C9"/>
    <w:rsid w:val="6E531FEA"/>
    <w:rsid w:val="6E5C6B75"/>
    <w:rsid w:val="6E6D037E"/>
    <w:rsid w:val="6E95214E"/>
    <w:rsid w:val="6E9B7282"/>
    <w:rsid w:val="6EA3225C"/>
    <w:rsid w:val="6EA84CF4"/>
    <w:rsid w:val="6EAC10F7"/>
    <w:rsid w:val="6EB135A6"/>
    <w:rsid w:val="6F003A11"/>
    <w:rsid w:val="6F0A08FB"/>
    <w:rsid w:val="6F153111"/>
    <w:rsid w:val="6F3B3D99"/>
    <w:rsid w:val="6F415A91"/>
    <w:rsid w:val="6F5479EB"/>
    <w:rsid w:val="6F5558BD"/>
    <w:rsid w:val="6F5C177F"/>
    <w:rsid w:val="6F5E47A3"/>
    <w:rsid w:val="6F6373A3"/>
    <w:rsid w:val="6F6B6EC0"/>
    <w:rsid w:val="6F866FBD"/>
    <w:rsid w:val="6F870169"/>
    <w:rsid w:val="6F8B1310"/>
    <w:rsid w:val="6F927913"/>
    <w:rsid w:val="6F9D176F"/>
    <w:rsid w:val="6F9E1043"/>
    <w:rsid w:val="6FA13625"/>
    <w:rsid w:val="6FA77FDB"/>
    <w:rsid w:val="6FBB1BF5"/>
    <w:rsid w:val="6FBB5193"/>
    <w:rsid w:val="6FDE7692"/>
    <w:rsid w:val="6FE3114C"/>
    <w:rsid w:val="6FE77690"/>
    <w:rsid w:val="6FE949B4"/>
    <w:rsid w:val="6FF6159B"/>
    <w:rsid w:val="6FF8081F"/>
    <w:rsid w:val="70032313"/>
    <w:rsid w:val="70057314"/>
    <w:rsid w:val="700A492A"/>
    <w:rsid w:val="701049D0"/>
    <w:rsid w:val="701653C9"/>
    <w:rsid w:val="70195AED"/>
    <w:rsid w:val="702F13E2"/>
    <w:rsid w:val="70335C2F"/>
    <w:rsid w:val="704C1556"/>
    <w:rsid w:val="705D5373"/>
    <w:rsid w:val="707D50FC"/>
    <w:rsid w:val="707E0FD5"/>
    <w:rsid w:val="70867402"/>
    <w:rsid w:val="70A95654"/>
    <w:rsid w:val="70C312D3"/>
    <w:rsid w:val="70D43718"/>
    <w:rsid w:val="70F73101"/>
    <w:rsid w:val="7116172E"/>
    <w:rsid w:val="71241D10"/>
    <w:rsid w:val="712437CA"/>
    <w:rsid w:val="712D0854"/>
    <w:rsid w:val="713B389B"/>
    <w:rsid w:val="7142463B"/>
    <w:rsid w:val="71910D2E"/>
    <w:rsid w:val="71AC2056"/>
    <w:rsid w:val="71C1345D"/>
    <w:rsid w:val="71CB2462"/>
    <w:rsid w:val="71D445CE"/>
    <w:rsid w:val="71DA38CD"/>
    <w:rsid w:val="71E25B41"/>
    <w:rsid w:val="71F650B9"/>
    <w:rsid w:val="71FB277D"/>
    <w:rsid w:val="720F6001"/>
    <w:rsid w:val="72473CB6"/>
    <w:rsid w:val="72686E3D"/>
    <w:rsid w:val="727A26CE"/>
    <w:rsid w:val="72983176"/>
    <w:rsid w:val="72AB51FE"/>
    <w:rsid w:val="72BE2D27"/>
    <w:rsid w:val="72D92A8F"/>
    <w:rsid w:val="72DA2EC0"/>
    <w:rsid w:val="72F739A7"/>
    <w:rsid w:val="73016068"/>
    <w:rsid w:val="73504D4A"/>
    <w:rsid w:val="7363682B"/>
    <w:rsid w:val="73816CB2"/>
    <w:rsid w:val="73893830"/>
    <w:rsid w:val="73A125FD"/>
    <w:rsid w:val="73C03C7E"/>
    <w:rsid w:val="73C81640"/>
    <w:rsid w:val="73CD6A9A"/>
    <w:rsid w:val="73DD6D17"/>
    <w:rsid w:val="73E2776E"/>
    <w:rsid w:val="73F52103"/>
    <w:rsid w:val="73FE0302"/>
    <w:rsid w:val="74022067"/>
    <w:rsid w:val="74097116"/>
    <w:rsid w:val="740A4EF9"/>
    <w:rsid w:val="740A7DB8"/>
    <w:rsid w:val="740E54D1"/>
    <w:rsid w:val="741B5358"/>
    <w:rsid w:val="742170E9"/>
    <w:rsid w:val="745B4F58"/>
    <w:rsid w:val="748527D2"/>
    <w:rsid w:val="74921493"/>
    <w:rsid w:val="74A509B1"/>
    <w:rsid w:val="74B01B4A"/>
    <w:rsid w:val="74CA3328"/>
    <w:rsid w:val="74DF4B7F"/>
    <w:rsid w:val="74DF4EF4"/>
    <w:rsid w:val="74F62CED"/>
    <w:rsid w:val="74F83595"/>
    <w:rsid w:val="75120509"/>
    <w:rsid w:val="75133BF1"/>
    <w:rsid w:val="7518727D"/>
    <w:rsid w:val="752173ED"/>
    <w:rsid w:val="75355FA6"/>
    <w:rsid w:val="75370EA5"/>
    <w:rsid w:val="7538094B"/>
    <w:rsid w:val="754730F9"/>
    <w:rsid w:val="754937FF"/>
    <w:rsid w:val="75502B1F"/>
    <w:rsid w:val="75544BB9"/>
    <w:rsid w:val="75752A67"/>
    <w:rsid w:val="75D05CCE"/>
    <w:rsid w:val="75D35377"/>
    <w:rsid w:val="75F93477"/>
    <w:rsid w:val="76063D02"/>
    <w:rsid w:val="7631116A"/>
    <w:rsid w:val="76312C11"/>
    <w:rsid w:val="76345B3A"/>
    <w:rsid w:val="764346F2"/>
    <w:rsid w:val="76454D95"/>
    <w:rsid w:val="767317AC"/>
    <w:rsid w:val="7686064F"/>
    <w:rsid w:val="769474D0"/>
    <w:rsid w:val="769E4F43"/>
    <w:rsid w:val="76B858B5"/>
    <w:rsid w:val="76BF021D"/>
    <w:rsid w:val="76DF0673"/>
    <w:rsid w:val="770E2F52"/>
    <w:rsid w:val="77161E07"/>
    <w:rsid w:val="77176354"/>
    <w:rsid w:val="773310E1"/>
    <w:rsid w:val="773D3F97"/>
    <w:rsid w:val="774910E8"/>
    <w:rsid w:val="774950AA"/>
    <w:rsid w:val="774A0F8C"/>
    <w:rsid w:val="774A385E"/>
    <w:rsid w:val="77951A25"/>
    <w:rsid w:val="77960CE5"/>
    <w:rsid w:val="77CB650B"/>
    <w:rsid w:val="77CC2A1C"/>
    <w:rsid w:val="77CE4490"/>
    <w:rsid w:val="77E67A2B"/>
    <w:rsid w:val="78042DEB"/>
    <w:rsid w:val="78261305"/>
    <w:rsid w:val="784974F5"/>
    <w:rsid w:val="784B19A6"/>
    <w:rsid w:val="78540E39"/>
    <w:rsid w:val="78681083"/>
    <w:rsid w:val="788B24B1"/>
    <w:rsid w:val="789079E5"/>
    <w:rsid w:val="7891016B"/>
    <w:rsid w:val="78A04C44"/>
    <w:rsid w:val="78C338C8"/>
    <w:rsid w:val="78E72828"/>
    <w:rsid w:val="78EA7B9F"/>
    <w:rsid w:val="79224F56"/>
    <w:rsid w:val="79336CA0"/>
    <w:rsid w:val="793A7966"/>
    <w:rsid w:val="793B1C09"/>
    <w:rsid w:val="7947274B"/>
    <w:rsid w:val="794B3FEA"/>
    <w:rsid w:val="79BA79F3"/>
    <w:rsid w:val="79BB215E"/>
    <w:rsid w:val="79D87646"/>
    <w:rsid w:val="79E82BC7"/>
    <w:rsid w:val="79EB6979"/>
    <w:rsid w:val="7A1067EC"/>
    <w:rsid w:val="7A192CE7"/>
    <w:rsid w:val="7A2E2EA3"/>
    <w:rsid w:val="7A3007C8"/>
    <w:rsid w:val="7A3231AD"/>
    <w:rsid w:val="7A4A77F3"/>
    <w:rsid w:val="7A5A72EE"/>
    <w:rsid w:val="7A844288"/>
    <w:rsid w:val="7AA82540"/>
    <w:rsid w:val="7AB931D5"/>
    <w:rsid w:val="7ACB0D86"/>
    <w:rsid w:val="7ADC02AF"/>
    <w:rsid w:val="7AE56AF0"/>
    <w:rsid w:val="7B002DC3"/>
    <w:rsid w:val="7B080E99"/>
    <w:rsid w:val="7B0C23FF"/>
    <w:rsid w:val="7B110428"/>
    <w:rsid w:val="7B113011"/>
    <w:rsid w:val="7B205002"/>
    <w:rsid w:val="7B220D7A"/>
    <w:rsid w:val="7B2F5349"/>
    <w:rsid w:val="7B5666FB"/>
    <w:rsid w:val="7B5C232E"/>
    <w:rsid w:val="7B5E12BB"/>
    <w:rsid w:val="7B637C47"/>
    <w:rsid w:val="7BA43E85"/>
    <w:rsid w:val="7BBF4208"/>
    <w:rsid w:val="7BC0312E"/>
    <w:rsid w:val="7BC40083"/>
    <w:rsid w:val="7BC62E25"/>
    <w:rsid w:val="7BD02203"/>
    <w:rsid w:val="7BD22006"/>
    <w:rsid w:val="7BE349AD"/>
    <w:rsid w:val="7BFC0690"/>
    <w:rsid w:val="7BFE17E7"/>
    <w:rsid w:val="7C013085"/>
    <w:rsid w:val="7C0E2B1C"/>
    <w:rsid w:val="7C0E57A2"/>
    <w:rsid w:val="7C151079"/>
    <w:rsid w:val="7C2253BC"/>
    <w:rsid w:val="7C2E374F"/>
    <w:rsid w:val="7C4756C9"/>
    <w:rsid w:val="7C582C3F"/>
    <w:rsid w:val="7C593EE8"/>
    <w:rsid w:val="7C753C13"/>
    <w:rsid w:val="7C7A6994"/>
    <w:rsid w:val="7C831C64"/>
    <w:rsid w:val="7C855A65"/>
    <w:rsid w:val="7C9932BE"/>
    <w:rsid w:val="7C9B286D"/>
    <w:rsid w:val="7C9B7FF0"/>
    <w:rsid w:val="7CB53251"/>
    <w:rsid w:val="7CB62D19"/>
    <w:rsid w:val="7CD93821"/>
    <w:rsid w:val="7CD95805"/>
    <w:rsid w:val="7D13314E"/>
    <w:rsid w:val="7D230DDA"/>
    <w:rsid w:val="7D365DD8"/>
    <w:rsid w:val="7D3A23FC"/>
    <w:rsid w:val="7D625FC7"/>
    <w:rsid w:val="7D650CA3"/>
    <w:rsid w:val="7D6A0419"/>
    <w:rsid w:val="7D6B7727"/>
    <w:rsid w:val="7D7A5D33"/>
    <w:rsid w:val="7DB12889"/>
    <w:rsid w:val="7DB52379"/>
    <w:rsid w:val="7DBC3708"/>
    <w:rsid w:val="7DD018F6"/>
    <w:rsid w:val="7DD4016C"/>
    <w:rsid w:val="7DEE5D3D"/>
    <w:rsid w:val="7E167D92"/>
    <w:rsid w:val="7E1A50EB"/>
    <w:rsid w:val="7E1D2CB4"/>
    <w:rsid w:val="7E222BD7"/>
    <w:rsid w:val="7E24305B"/>
    <w:rsid w:val="7E290672"/>
    <w:rsid w:val="7E4266E2"/>
    <w:rsid w:val="7E576F8D"/>
    <w:rsid w:val="7E6C2A49"/>
    <w:rsid w:val="7E6D4A02"/>
    <w:rsid w:val="7E722A66"/>
    <w:rsid w:val="7E794FBB"/>
    <w:rsid w:val="7E806AA4"/>
    <w:rsid w:val="7E8F4979"/>
    <w:rsid w:val="7E9C305C"/>
    <w:rsid w:val="7EA06B86"/>
    <w:rsid w:val="7EA26042"/>
    <w:rsid w:val="7EAF6879"/>
    <w:rsid w:val="7EB45D48"/>
    <w:rsid w:val="7EC17031"/>
    <w:rsid w:val="7EEA7E01"/>
    <w:rsid w:val="7F0417A2"/>
    <w:rsid w:val="7F360FA8"/>
    <w:rsid w:val="7F3D43D5"/>
    <w:rsid w:val="7F427C3D"/>
    <w:rsid w:val="7F517E80"/>
    <w:rsid w:val="7F7211CD"/>
    <w:rsid w:val="7F8B3961"/>
    <w:rsid w:val="7F8F3102"/>
    <w:rsid w:val="7F9C0E05"/>
    <w:rsid w:val="7F9F140C"/>
    <w:rsid w:val="7FA76140"/>
    <w:rsid w:val="7FC17096"/>
    <w:rsid w:val="7FE82E11"/>
    <w:rsid w:val="7FF970F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qFormat="1"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qFormat="1"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56"/>
    <w:qFormat/>
    <w:uiPriority w:val="0"/>
    <w:pPr>
      <w:keepNext/>
      <w:keepLines/>
      <w:spacing w:before="340" w:after="330" w:line="578" w:lineRule="auto"/>
      <w:outlineLvl w:val="0"/>
    </w:pPr>
    <w:rPr>
      <w:b/>
      <w:bCs/>
      <w:kern w:val="44"/>
      <w:sz w:val="44"/>
      <w:szCs w:val="44"/>
    </w:rPr>
  </w:style>
  <w:style w:type="paragraph" w:styleId="6">
    <w:name w:val="heading 2"/>
    <w:basedOn w:val="1"/>
    <w:next w:val="1"/>
    <w:qFormat/>
    <w:uiPriority w:val="0"/>
    <w:pPr>
      <w:keepNext/>
      <w:keepLines/>
      <w:numPr>
        <w:ilvl w:val="1"/>
        <w:numId w:val="1"/>
      </w:numPr>
      <w:adjustRightInd w:val="0"/>
      <w:spacing w:line="360" w:lineRule="atLeast"/>
      <w:textAlignment w:val="baseline"/>
      <w:outlineLvl w:val="1"/>
    </w:pPr>
    <w:rPr>
      <w:kern w:val="0"/>
      <w:sz w:val="24"/>
      <w:szCs w:val="20"/>
    </w:rPr>
  </w:style>
  <w:style w:type="paragraph" w:styleId="7">
    <w:name w:val="heading 3"/>
    <w:basedOn w:val="1"/>
    <w:next w:val="1"/>
    <w:qFormat/>
    <w:uiPriority w:val="0"/>
    <w:pPr>
      <w:keepNext/>
      <w:keepLines/>
      <w:spacing w:before="260" w:after="260" w:line="416" w:lineRule="atLeast"/>
      <w:jc w:val="both"/>
      <w:textAlignment w:val="baseline"/>
      <w:outlineLvl w:val="2"/>
    </w:pPr>
    <w:rPr>
      <w:b/>
      <w:bCs/>
      <w:color w:val="000000"/>
      <w:sz w:val="32"/>
      <w:szCs w:val="32"/>
      <w:u w:val="none" w:color="000000"/>
      <w:lang w:val="en-US" w:eastAsia="zh-CN" w:bidi="ar-SA"/>
    </w:rPr>
  </w:style>
  <w:style w:type="paragraph" w:styleId="8">
    <w:name w:val="heading 4"/>
    <w:basedOn w:val="1"/>
    <w:next w:val="1"/>
    <w:link w:val="57"/>
    <w:qFormat/>
    <w:uiPriority w:val="0"/>
    <w:pPr>
      <w:keepNext/>
      <w:keepLines/>
      <w:widowControl/>
      <w:spacing w:before="280" w:after="290" w:line="376" w:lineRule="atLeast"/>
      <w:textAlignment w:val="baseline"/>
      <w:outlineLvl w:val="3"/>
    </w:pPr>
    <w:rPr>
      <w:rFonts w:ascii="Arial" w:hAnsi="Arial" w:eastAsia="黑体"/>
      <w:b/>
      <w:bCs/>
      <w:color w:val="000000"/>
      <w:kern w:val="0"/>
      <w:sz w:val="28"/>
      <w:szCs w:val="28"/>
      <w:u w:val="none" w:color="000000"/>
    </w:rPr>
  </w:style>
  <w:style w:type="paragraph" w:styleId="9">
    <w:name w:val="heading 5"/>
    <w:basedOn w:val="1"/>
    <w:next w:val="1"/>
    <w:link w:val="58"/>
    <w:qFormat/>
    <w:uiPriority w:val="0"/>
    <w:pPr>
      <w:keepNext/>
      <w:keepLines/>
      <w:spacing w:before="280" w:after="290" w:line="376" w:lineRule="auto"/>
      <w:outlineLvl w:val="4"/>
    </w:pPr>
    <w:rPr>
      <w:b/>
      <w:bCs/>
      <w:sz w:val="28"/>
      <w:szCs w:val="28"/>
    </w:rPr>
  </w:style>
  <w:style w:type="paragraph" w:styleId="10">
    <w:name w:val="heading 6"/>
    <w:basedOn w:val="1"/>
    <w:next w:val="1"/>
    <w:link w:val="59"/>
    <w:qFormat/>
    <w:uiPriority w:val="0"/>
    <w:pPr>
      <w:keepNext/>
      <w:keepLines/>
      <w:spacing w:before="240" w:after="64" w:line="320" w:lineRule="auto"/>
      <w:outlineLvl w:val="5"/>
    </w:pPr>
    <w:rPr>
      <w:rFonts w:ascii="Cambria" w:hAnsi="Cambria"/>
      <w:b/>
      <w:bCs/>
      <w:sz w:val="24"/>
    </w:rPr>
  </w:style>
  <w:style w:type="paragraph" w:styleId="11">
    <w:name w:val="heading 7"/>
    <w:basedOn w:val="1"/>
    <w:next w:val="1"/>
    <w:link w:val="60"/>
    <w:autoRedefine/>
    <w:qFormat/>
    <w:uiPriority w:val="0"/>
    <w:pPr>
      <w:keepNext/>
      <w:keepLines/>
      <w:spacing w:before="240" w:after="64" w:line="320" w:lineRule="auto"/>
      <w:outlineLvl w:val="6"/>
    </w:pPr>
    <w:rPr>
      <w:b/>
      <w:bCs/>
      <w:sz w:val="24"/>
    </w:rPr>
  </w:style>
  <w:style w:type="character" w:default="1" w:styleId="39">
    <w:name w:val="Default Paragraph Font"/>
    <w:autoRedefine/>
    <w:semiHidden/>
    <w:qFormat/>
    <w:uiPriority w:val="0"/>
  </w:style>
  <w:style w:type="table" w:default="1" w:styleId="37">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semiHidden/>
    <w:qFormat/>
    <w:uiPriority w:val="0"/>
    <w:pPr>
      <w:spacing w:after="120"/>
    </w:pPr>
  </w:style>
  <w:style w:type="paragraph" w:styleId="3">
    <w:name w:val="Body Text First Indent"/>
    <w:basedOn w:val="2"/>
    <w:next w:val="4"/>
    <w:qFormat/>
    <w:uiPriority w:val="0"/>
    <w:pPr>
      <w:ind w:firstLine="420" w:firstLineChars="100"/>
    </w:pPr>
    <w:rPr>
      <w:rFonts w:ascii="Times New Roman" w:hAnsi="Times New Roman" w:eastAsia="宋体" w:cs="Times New Roman"/>
    </w:rPr>
  </w:style>
  <w:style w:type="paragraph" w:styleId="4">
    <w:name w:val="toc 6"/>
    <w:basedOn w:val="1"/>
    <w:next w:val="1"/>
    <w:qFormat/>
    <w:uiPriority w:val="0"/>
    <w:pPr>
      <w:autoSpaceDE w:val="0"/>
      <w:autoSpaceDN w:val="0"/>
      <w:ind w:left="1700"/>
      <w:jc w:val="left"/>
      <w:textAlignment w:val="baseline"/>
    </w:pPr>
    <w:rPr>
      <w:kern w:val="0"/>
      <w:sz w:val="18"/>
      <w:szCs w:val="18"/>
    </w:rPr>
  </w:style>
  <w:style w:type="paragraph" w:styleId="12">
    <w:name w:val="toc 7"/>
    <w:basedOn w:val="1"/>
    <w:next w:val="1"/>
    <w:autoRedefine/>
    <w:qFormat/>
    <w:uiPriority w:val="39"/>
    <w:pPr>
      <w:ind w:left="1260"/>
      <w:jc w:val="left"/>
    </w:pPr>
    <w:rPr>
      <w:sz w:val="18"/>
      <w:szCs w:val="18"/>
    </w:rPr>
  </w:style>
  <w:style w:type="paragraph" w:styleId="13">
    <w:name w:val="List Number 2"/>
    <w:basedOn w:val="1"/>
    <w:autoRedefine/>
    <w:qFormat/>
    <w:uiPriority w:val="0"/>
    <w:pPr>
      <w:numPr>
        <w:ilvl w:val="0"/>
        <w:numId w:val="2"/>
      </w:numPr>
      <w:tabs>
        <w:tab w:val="left" w:pos="567"/>
      </w:tabs>
      <w:adjustRightInd w:val="0"/>
      <w:spacing w:line="300" w:lineRule="auto"/>
      <w:textAlignment w:val="baseline"/>
    </w:pPr>
    <w:rPr>
      <w:kern w:val="0"/>
      <w:sz w:val="28"/>
      <w:szCs w:val="20"/>
    </w:rPr>
  </w:style>
  <w:style w:type="paragraph" w:styleId="14">
    <w:name w:val="Normal Indent"/>
    <w:basedOn w:val="1"/>
    <w:autoRedefine/>
    <w:qFormat/>
    <w:uiPriority w:val="0"/>
    <w:pPr>
      <w:adjustRightInd w:val="0"/>
      <w:spacing w:line="360" w:lineRule="atLeast"/>
      <w:ind w:firstLine="482"/>
      <w:textAlignment w:val="baseline"/>
    </w:pPr>
    <w:rPr>
      <w:kern w:val="0"/>
      <w:sz w:val="24"/>
      <w:szCs w:val="20"/>
    </w:rPr>
  </w:style>
  <w:style w:type="paragraph" w:styleId="15">
    <w:name w:val="annotation text"/>
    <w:basedOn w:val="1"/>
    <w:link w:val="61"/>
    <w:autoRedefine/>
    <w:qFormat/>
    <w:uiPriority w:val="0"/>
    <w:pPr>
      <w:jc w:val="left"/>
    </w:pPr>
  </w:style>
  <w:style w:type="paragraph" w:styleId="16">
    <w:name w:val="Body Text Indent"/>
    <w:basedOn w:val="1"/>
    <w:next w:val="17"/>
    <w:link w:val="54"/>
    <w:autoRedefine/>
    <w:qFormat/>
    <w:uiPriority w:val="0"/>
    <w:pPr>
      <w:spacing w:after="120"/>
      <w:ind w:left="200" w:leftChars="200"/>
    </w:pPr>
  </w:style>
  <w:style w:type="paragraph" w:styleId="17">
    <w:name w:val="envelope return"/>
    <w:basedOn w:val="1"/>
    <w:autoRedefine/>
    <w:qFormat/>
    <w:uiPriority w:val="0"/>
    <w:pPr>
      <w:snapToGrid w:val="0"/>
    </w:pPr>
    <w:rPr>
      <w:rFonts w:ascii="Arial" w:hAnsi="Arial"/>
    </w:rPr>
  </w:style>
  <w:style w:type="paragraph" w:styleId="18">
    <w:name w:val="index 4"/>
    <w:basedOn w:val="1"/>
    <w:next w:val="1"/>
    <w:qFormat/>
    <w:uiPriority w:val="0"/>
    <w:pPr>
      <w:ind w:left="600" w:leftChars="600"/>
    </w:pPr>
    <w:rPr>
      <w:rFonts w:ascii="Times New Roman" w:hAnsi="Times New Roman" w:eastAsia="宋体" w:cs="Times New Roman"/>
    </w:rPr>
  </w:style>
  <w:style w:type="paragraph" w:styleId="19">
    <w:name w:val="toc 3"/>
    <w:basedOn w:val="1"/>
    <w:next w:val="1"/>
    <w:autoRedefine/>
    <w:qFormat/>
    <w:uiPriority w:val="39"/>
    <w:pPr>
      <w:tabs>
        <w:tab w:val="right" w:leader="dot" w:pos="9288"/>
      </w:tabs>
      <w:ind w:left="400" w:leftChars="400"/>
    </w:pPr>
    <w:rPr>
      <w:rFonts w:ascii="宋体"/>
    </w:rPr>
  </w:style>
  <w:style w:type="paragraph" w:styleId="20">
    <w:name w:val="Plain Text"/>
    <w:basedOn w:val="1"/>
    <w:next w:val="1"/>
    <w:link w:val="62"/>
    <w:qFormat/>
    <w:uiPriority w:val="99"/>
    <w:rPr>
      <w:rFonts w:ascii="宋体"/>
      <w:color w:val="000000"/>
      <w:szCs w:val="20"/>
      <w:u w:val="none" w:color="000000"/>
    </w:rPr>
  </w:style>
  <w:style w:type="paragraph" w:styleId="21">
    <w:name w:val="Date"/>
    <w:basedOn w:val="1"/>
    <w:next w:val="1"/>
    <w:link w:val="63"/>
    <w:autoRedefine/>
    <w:qFormat/>
    <w:uiPriority w:val="0"/>
    <w:rPr>
      <w:rFonts w:ascii="Arial" w:hAnsi="Arial" w:eastAsia="仿宋_GB2312"/>
      <w:color w:val="000000"/>
      <w:sz w:val="32"/>
      <w:szCs w:val="20"/>
      <w:u w:val="none" w:color="000000"/>
    </w:rPr>
  </w:style>
  <w:style w:type="paragraph" w:styleId="22">
    <w:name w:val="Body Text Indent 2"/>
    <w:basedOn w:val="1"/>
    <w:link w:val="64"/>
    <w:autoRedefine/>
    <w:qFormat/>
    <w:uiPriority w:val="0"/>
    <w:pPr>
      <w:spacing w:after="120" w:line="480" w:lineRule="auto"/>
      <w:ind w:left="420" w:leftChars="200"/>
    </w:pPr>
  </w:style>
  <w:style w:type="paragraph" w:styleId="23">
    <w:name w:val="endnote text"/>
    <w:basedOn w:val="1"/>
    <w:autoRedefine/>
    <w:qFormat/>
    <w:uiPriority w:val="99"/>
    <w:pPr>
      <w:snapToGrid w:val="0"/>
    </w:pPr>
    <w:rPr>
      <w:rFonts w:ascii="仿宋" w:hAnsi="仿宋"/>
    </w:rPr>
  </w:style>
  <w:style w:type="paragraph" w:styleId="24">
    <w:name w:val="Balloon Text"/>
    <w:basedOn w:val="1"/>
    <w:link w:val="65"/>
    <w:autoRedefine/>
    <w:qFormat/>
    <w:uiPriority w:val="0"/>
    <w:rPr>
      <w:sz w:val="18"/>
      <w:szCs w:val="18"/>
    </w:rPr>
  </w:style>
  <w:style w:type="paragraph" w:styleId="25">
    <w:name w:val="footer"/>
    <w:basedOn w:val="1"/>
    <w:link w:val="66"/>
    <w:autoRedefine/>
    <w:qFormat/>
    <w:uiPriority w:val="0"/>
    <w:pPr>
      <w:tabs>
        <w:tab w:val="center" w:pos="4153"/>
        <w:tab w:val="right" w:pos="8306"/>
      </w:tabs>
      <w:snapToGrid w:val="0"/>
      <w:jc w:val="left"/>
    </w:pPr>
    <w:rPr>
      <w:sz w:val="18"/>
      <w:szCs w:val="18"/>
    </w:rPr>
  </w:style>
  <w:style w:type="paragraph" w:styleId="26">
    <w:name w:val="header"/>
    <w:basedOn w:val="1"/>
    <w:link w:val="67"/>
    <w:autoRedefine/>
    <w:qFormat/>
    <w:uiPriority w:val="0"/>
    <w:pPr>
      <w:pBdr>
        <w:bottom w:val="single" w:color="auto" w:sz="6" w:space="1"/>
      </w:pBdr>
      <w:tabs>
        <w:tab w:val="center" w:pos="4153"/>
        <w:tab w:val="right" w:pos="8306"/>
      </w:tabs>
      <w:snapToGrid w:val="0"/>
      <w:jc w:val="center"/>
    </w:pPr>
    <w:rPr>
      <w:sz w:val="18"/>
      <w:szCs w:val="18"/>
    </w:rPr>
  </w:style>
  <w:style w:type="paragraph" w:styleId="27">
    <w:name w:val="toc 1"/>
    <w:basedOn w:val="1"/>
    <w:next w:val="1"/>
    <w:autoRedefine/>
    <w:qFormat/>
    <w:uiPriority w:val="39"/>
  </w:style>
  <w:style w:type="paragraph" w:styleId="28">
    <w:name w:val="Subtitle"/>
    <w:basedOn w:val="1"/>
    <w:next w:val="1"/>
    <w:autoRedefine/>
    <w:qFormat/>
    <w:uiPriority w:val="0"/>
    <w:pPr>
      <w:numPr>
        <w:ilvl w:val="0"/>
        <w:numId w:val="3"/>
      </w:numPr>
      <w:spacing w:line="360" w:lineRule="auto"/>
      <w:jc w:val="left"/>
      <w:outlineLvl w:val="1"/>
    </w:pPr>
    <w:rPr>
      <w:rFonts w:ascii="Calibri Light" w:hAnsi="Calibri Light" w:cs="Times New Roman"/>
      <w:bCs/>
      <w:kern w:val="28"/>
      <w:szCs w:val="32"/>
    </w:rPr>
  </w:style>
  <w:style w:type="paragraph" w:styleId="29">
    <w:name w:val="List"/>
    <w:basedOn w:val="1"/>
    <w:autoRedefine/>
    <w:qFormat/>
    <w:uiPriority w:val="0"/>
    <w:pPr>
      <w:widowControl w:val="0"/>
      <w:spacing w:line="240" w:lineRule="auto"/>
      <w:ind w:left="420" w:hanging="420"/>
      <w:textAlignment w:val="auto"/>
    </w:pPr>
    <w:rPr>
      <w:rFonts w:ascii="Arial" w:hAnsi="Arial" w:eastAsia="楷体_GB2312"/>
      <w:color w:val="auto"/>
      <w:kern w:val="2"/>
      <w:sz w:val="28"/>
      <w:u w:val="none" w:color="auto"/>
    </w:rPr>
  </w:style>
  <w:style w:type="paragraph" w:styleId="30">
    <w:name w:val="toc 2"/>
    <w:basedOn w:val="1"/>
    <w:next w:val="1"/>
    <w:qFormat/>
    <w:uiPriority w:val="39"/>
    <w:pPr>
      <w:ind w:left="200" w:leftChars="200"/>
    </w:pPr>
  </w:style>
  <w:style w:type="paragraph" w:styleId="31">
    <w:name w:val="Normal (Web)"/>
    <w:basedOn w:val="1"/>
    <w:next w:val="32"/>
    <w:autoRedefine/>
    <w:qFormat/>
    <w:uiPriority w:val="0"/>
    <w:pPr>
      <w:widowControl/>
      <w:spacing w:before="100" w:beforeAutospacing="1" w:after="100" w:afterAutospacing="1"/>
      <w:jc w:val="left"/>
    </w:pPr>
    <w:rPr>
      <w:rFonts w:ascii="宋体" w:hAnsi="宋体" w:cs="宋体"/>
      <w:kern w:val="0"/>
      <w:sz w:val="24"/>
    </w:rPr>
  </w:style>
  <w:style w:type="paragraph" w:customStyle="1" w:styleId="32">
    <w:name w:val="正文文字 8"/>
    <w:basedOn w:val="1"/>
    <w:next w:val="1"/>
    <w:autoRedefine/>
    <w:qFormat/>
    <w:uiPriority w:val="0"/>
    <w:pPr>
      <w:ind w:left="240"/>
    </w:pPr>
    <w:rPr>
      <w:sz w:val="16"/>
    </w:rPr>
  </w:style>
  <w:style w:type="paragraph" w:styleId="33">
    <w:name w:val="index 1"/>
    <w:basedOn w:val="1"/>
    <w:next w:val="1"/>
    <w:autoRedefine/>
    <w:qFormat/>
    <w:uiPriority w:val="0"/>
    <w:pPr>
      <w:jc w:val="center"/>
    </w:pPr>
    <w:rPr>
      <w:rFonts w:ascii="Arial" w:hAnsi="Arial" w:eastAsia="Arial" w:cs="Arial"/>
      <w:b/>
      <w:bCs/>
      <w:sz w:val="28"/>
    </w:rPr>
  </w:style>
  <w:style w:type="paragraph" w:styleId="34">
    <w:name w:val="Title"/>
    <w:basedOn w:val="1"/>
    <w:next w:val="1"/>
    <w:qFormat/>
    <w:uiPriority w:val="0"/>
    <w:pPr>
      <w:numPr>
        <w:ilvl w:val="0"/>
        <w:numId w:val="4"/>
      </w:numPr>
      <w:spacing w:line="360" w:lineRule="auto"/>
      <w:jc w:val="left"/>
      <w:outlineLvl w:val="0"/>
    </w:pPr>
    <w:rPr>
      <w:rFonts w:ascii="Cambria" w:hAnsi="Cambria" w:cs="Times New Roman"/>
      <w:b/>
      <w:bCs/>
      <w:sz w:val="28"/>
      <w:szCs w:val="32"/>
    </w:rPr>
  </w:style>
  <w:style w:type="paragraph" w:styleId="35">
    <w:name w:val="annotation subject"/>
    <w:basedOn w:val="15"/>
    <w:next w:val="15"/>
    <w:link w:val="68"/>
    <w:autoRedefine/>
    <w:qFormat/>
    <w:uiPriority w:val="0"/>
    <w:rPr>
      <w:b/>
      <w:bCs/>
    </w:rPr>
  </w:style>
  <w:style w:type="paragraph" w:styleId="36">
    <w:name w:val="Body Text First Indent 2"/>
    <w:basedOn w:val="16"/>
    <w:next w:val="29"/>
    <w:link w:val="55"/>
    <w:autoRedefine/>
    <w:qFormat/>
    <w:uiPriority w:val="0"/>
    <w:pPr>
      <w:ind w:left="420" w:firstLine="420" w:firstLineChars="200"/>
    </w:pPr>
  </w:style>
  <w:style w:type="table" w:styleId="38">
    <w:name w:val="Table Grid"/>
    <w:basedOn w:val="3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0">
    <w:name w:val="Strong"/>
    <w:autoRedefine/>
    <w:qFormat/>
    <w:uiPriority w:val="0"/>
    <w:rPr>
      <w:b/>
    </w:rPr>
  </w:style>
  <w:style w:type="character" w:styleId="41">
    <w:name w:val="page number"/>
    <w:autoRedefine/>
    <w:qFormat/>
    <w:uiPriority w:val="0"/>
  </w:style>
  <w:style w:type="character" w:styleId="42">
    <w:name w:val="FollowedHyperlink"/>
    <w:autoRedefine/>
    <w:qFormat/>
    <w:uiPriority w:val="0"/>
    <w:rPr>
      <w:color w:val="333333"/>
      <w:u w:val="none"/>
    </w:rPr>
  </w:style>
  <w:style w:type="character" w:styleId="43">
    <w:name w:val="Emphasis"/>
    <w:autoRedefine/>
    <w:qFormat/>
    <w:uiPriority w:val="20"/>
    <w:rPr>
      <w:i/>
      <w:iCs/>
    </w:rPr>
  </w:style>
  <w:style w:type="character" w:styleId="44">
    <w:name w:val="HTML Definition"/>
    <w:autoRedefine/>
    <w:qFormat/>
    <w:uiPriority w:val="0"/>
  </w:style>
  <w:style w:type="character" w:styleId="45">
    <w:name w:val="HTML Typewriter"/>
    <w:autoRedefine/>
    <w:qFormat/>
    <w:uiPriority w:val="0"/>
    <w:rPr>
      <w:rFonts w:ascii="monospace" w:hAnsi="monospace" w:eastAsia="monospace" w:cs="monospace"/>
      <w:sz w:val="20"/>
    </w:rPr>
  </w:style>
  <w:style w:type="character" w:styleId="46">
    <w:name w:val="HTML Acronym"/>
    <w:autoRedefine/>
    <w:qFormat/>
    <w:uiPriority w:val="0"/>
  </w:style>
  <w:style w:type="character" w:styleId="47">
    <w:name w:val="HTML Variable"/>
    <w:autoRedefine/>
    <w:qFormat/>
    <w:uiPriority w:val="0"/>
  </w:style>
  <w:style w:type="character" w:styleId="48">
    <w:name w:val="Hyperlink"/>
    <w:autoRedefine/>
    <w:qFormat/>
    <w:uiPriority w:val="99"/>
    <w:rPr>
      <w:color w:val="333333"/>
      <w:u w:val="none"/>
    </w:rPr>
  </w:style>
  <w:style w:type="character" w:styleId="49">
    <w:name w:val="HTML Code"/>
    <w:autoRedefine/>
    <w:qFormat/>
    <w:uiPriority w:val="0"/>
    <w:rPr>
      <w:rFonts w:hint="default" w:ascii="monospace" w:hAnsi="monospace" w:eastAsia="monospace" w:cs="monospace"/>
      <w:sz w:val="20"/>
    </w:rPr>
  </w:style>
  <w:style w:type="character" w:styleId="50">
    <w:name w:val="annotation reference"/>
    <w:autoRedefine/>
    <w:qFormat/>
    <w:uiPriority w:val="0"/>
    <w:rPr>
      <w:sz w:val="21"/>
      <w:szCs w:val="21"/>
    </w:rPr>
  </w:style>
  <w:style w:type="character" w:styleId="51">
    <w:name w:val="HTML Cite"/>
    <w:autoRedefine/>
    <w:qFormat/>
    <w:uiPriority w:val="0"/>
  </w:style>
  <w:style w:type="character" w:styleId="52">
    <w:name w:val="HTML Keyboard"/>
    <w:qFormat/>
    <w:uiPriority w:val="0"/>
    <w:rPr>
      <w:rFonts w:hint="default" w:ascii="monospace" w:hAnsi="monospace" w:eastAsia="monospace" w:cs="monospace"/>
      <w:sz w:val="20"/>
    </w:rPr>
  </w:style>
  <w:style w:type="character" w:styleId="53">
    <w:name w:val="HTML Sample"/>
    <w:autoRedefine/>
    <w:qFormat/>
    <w:uiPriority w:val="0"/>
    <w:rPr>
      <w:rFonts w:hint="default" w:ascii="monospace" w:hAnsi="monospace" w:eastAsia="monospace" w:cs="monospace"/>
    </w:rPr>
  </w:style>
  <w:style w:type="character" w:customStyle="1" w:styleId="54">
    <w:name w:val="正文文本缩进 字符"/>
    <w:link w:val="16"/>
    <w:autoRedefine/>
    <w:qFormat/>
    <w:uiPriority w:val="0"/>
    <w:rPr>
      <w:kern w:val="2"/>
      <w:sz w:val="21"/>
      <w:szCs w:val="24"/>
    </w:rPr>
  </w:style>
  <w:style w:type="character" w:customStyle="1" w:styleId="55">
    <w:name w:val="正文文本首行缩进 2 字符"/>
    <w:link w:val="36"/>
    <w:autoRedefine/>
    <w:qFormat/>
    <w:uiPriority w:val="0"/>
  </w:style>
  <w:style w:type="character" w:customStyle="1" w:styleId="56">
    <w:name w:val="标题 1 字符"/>
    <w:link w:val="5"/>
    <w:autoRedefine/>
    <w:qFormat/>
    <w:uiPriority w:val="0"/>
    <w:rPr>
      <w:b/>
      <w:bCs/>
      <w:kern w:val="44"/>
      <w:sz w:val="44"/>
      <w:szCs w:val="44"/>
    </w:rPr>
  </w:style>
  <w:style w:type="character" w:customStyle="1" w:styleId="57">
    <w:name w:val="标题 4 字符"/>
    <w:link w:val="8"/>
    <w:autoRedefine/>
    <w:qFormat/>
    <w:locked/>
    <w:uiPriority w:val="0"/>
    <w:rPr>
      <w:rFonts w:ascii="Arial" w:hAnsi="Arial" w:eastAsia="黑体"/>
      <w:b/>
      <w:bCs/>
      <w:color w:val="000000"/>
      <w:sz w:val="28"/>
      <w:szCs w:val="28"/>
      <w:u w:val="none" w:color="000000"/>
      <w:lang w:val="en-US" w:eastAsia="zh-CN" w:bidi="ar-SA"/>
    </w:rPr>
  </w:style>
  <w:style w:type="character" w:customStyle="1" w:styleId="58">
    <w:name w:val="标题 5 字符"/>
    <w:link w:val="9"/>
    <w:autoRedefine/>
    <w:semiHidden/>
    <w:qFormat/>
    <w:uiPriority w:val="0"/>
    <w:rPr>
      <w:b/>
      <w:bCs/>
      <w:kern w:val="2"/>
      <w:sz w:val="28"/>
      <w:szCs w:val="28"/>
    </w:rPr>
  </w:style>
  <w:style w:type="character" w:customStyle="1" w:styleId="59">
    <w:name w:val="标题 6 字符"/>
    <w:link w:val="10"/>
    <w:autoRedefine/>
    <w:semiHidden/>
    <w:qFormat/>
    <w:uiPriority w:val="0"/>
    <w:rPr>
      <w:rFonts w:ascii="Cambria" w:hAnsi="Cambria" w:eastAsia="宋体" w:cs="Times New Roman"/>
      <w:b/>
      <w:bCs/>
      <w:kern w:val="2"/>
      <w:sz w:val="24"/>
      <w:szCs w:val="24"/>
    </w:rPr>
  </w:style>
  <w:style w:type="character" w:customStyle="1" w:styleId="60">
    <w:name w:val="标题 7 字符"/>
    <w:link w:val="11"/>
    <w:autoRedefine/>
    <w:semiHidden/>
    <w:qFormat/>
    <w:uiPriority w:val="0"/>
    <w:rPr>
      <w:b/>
      <w:bCs/>
      <w:kern w:val="2"/>
      <w:sz w:val="24"/>
      <w:szCs w:val="24"/>
    </w:rPr>
  </w:style>
  <w:style w:type="character" w:customStyle="1" w:styleId="61">
    <w:name w:val="批注文字 字符"/>
    <w:link w:val="15"/>
    <w:autoRedefine/>
    <w:qFormat/>
    <w:uiPriority w:val="0"/>
    <w:rPr>
      <w:kern w:val="2"/>
      <w:sz w:val="21"/>
      <w:szCs w:val="24"/>
    </w:rPr>
  </w:style>
  <w:style w:type="character" w:customStyle="1" w:styleId="62">
    <w:name w:val="纯文本 字符"/>
    <w:link w:val="20"/>
    <w:autoRedefine/>
    <w:qFormat/>
    <w:uiPriority w:val="99"/>
    <w:rPr>
      <w:rFonts w:ascii="宋体" w:eastAsia="宋体"/>
      <w:color w:val="000000"/>
      <w:kern w:val="2"/>
      <w:sz w:val="21"/>
      <w:u w:val="none" w:color="000000"/>
      <w:lang w:val="en-US" w:eastAsia="zh-CN" w:bidi="ar-SA"/>
    </w:rPr>
  </w:style>
  <w:style w:type="character" w:customStyle="1" w:styleId="63">
    <w:name w:val="日期 字符"/>
    <w:link w:val="21"/>
    <w:autoRedefine/>
    <w:qFormat/>
    <w:uiPriority w:val="0"/>
    <w:rPr>
      <w:rFonts w:ascii="Arial" w:hAnsi="Arial" w:eastAsia="仿宋_GB2312"/>
      <w:color w:val="000000"/>
      <w:kern w:val="2"/>
      <w:sz w:val="32"/>
      <w:u w:val="none" w:color="000000"/>
    </w:rPr>
  </w:style>
  <w:style w:type="character" w:customStyle="1" w:styleId="64">
    <w:name w:val="正文文本缩进 2 字符"/>
    <w:link w:val="22"/>
    <w:autoRedefine/>
    <w:qFormat/>
    <w:uiPriority w:val="0"/>
    <w:rPr>
      <w:kern w:val="2"/>
      <w:sz w:val="21"/>
      <w:szCs w:val="24"/>
    </w:rPr>
  </w:style>
  <w:style w:type="character" w:customStyle="1" w:styleId="65">
    <w:name w:val="批注框文本 字符"/>
    <w:link w:val="24"/>
    <w:autoRedefine/>
    <w:qFormat/>
    <w:uiPriority w:val="0"/>
    <w:rPr>
      <w:kern w:val="2"/>
      <w:sz w:val="18"/>
      <w:szCs w:val="18"/>
    </w:rPr>
  </w:style>
  <w:style w:type="character" w:customStyle="1" w:styleId="66">
    <w:name w:val="页脚 字符"/>
    <w:link w:val="25"/>
    <w:autoRedefine/>
    <w:qFormat/>
    <w:locked/>
    <w:uiPriority w:val="0"/>
    <w:rPr>
      <w:kern w:val="2"/>
      <w:sz w:val="18"/>
      <w:szCs w:val="18"/>
    </w:rPr>
  </w:style>
  <w:style w:type="character" w:customStyle="1" w:styleId="67">
    <w:name w:val="页眉 字符"/>
    <w:link w:val="26"/>
    <w:autoRedefine/>
    <w:qFormat/>
    <w:locked/>
    <w:uiPriority w:val="0"/>
    <w:rPr>
      <w:kern w:val="2"/>
      <w:sz w:val="18"/>
      <w:szCs w:val="18"/>
    </w:rPr>
  </w:style>
  <w:style w:type="character" w:customStyle="1" w:styleId="68">
    <w:name w:val="批注主题 字符"/>
    <w:link w:val="35"/>
    <w:autoRedefine/>
    <w:qFormat/>
    <w:uiPriority w:val="0"/>
    <w:rPr>
      <w:b/>
      <w:bCs/>
      <w:kern w:val="2"/>
      <w:sz w:val="21"/>
      <w:szCs w:val="24"/>
    </w:rPr>
  </w:style>
  <w:style w:type="character" w:customStyle="1" w:styleId="69">
    <w:name w:val="font121"/>
    <w:autoRedefine/>
    <w:qFormat/>
    <w:uiPriority w:val="0"/>
    <w:rPr>
      <w:rFonts w:hint="eastAsia" w:ascii="宋体" w:hAnsi="宋体" w:eastAsia="宋体" w:cs="宋体"/>
      <w:color w:val="000000"/>
      <w:sz w:val="24"/>
      <w:szCs w:val="24"/>
      <w:u w:val="none"/>
    </w:rPr>
  </w:style>
  <w:style w:type="character" w:customStyle="1" w:styleId="70">
    <w:name w:val="font141"/>
    <w:qFormat/>
    <w:uiPriority w:val="0"/>
    <w:rPr>
      <w:rFonts w:ascii="Arial" w:hAnsi="Arial" w:cs="Arial"/>
      <w:color w:val="000000"/>
      <w:sz w:val="24"/>
      <w:szCs w:val="24"/>
      <w:u w:val="none"/>
    </w:rPr>
  </w:style>
  <w:style w:type="character" w:customStyle="1" w:styleId="71">
    <w:name w:val="_37aak"/>
    <w:autoRedefine/>
    <w:qFormat/>
    <w:uiPriority w:val="0"/>
  </w:style>
  <w:style w:type="character" w:customStyle="1" w:styleId="72">
    <w:name w:val="图表 Char"/>
    <w:link w:val="73"/>
    <w:autoRedefine/>
    <w:qFormat/>
    <w:uiPriority w:val="0"/>
    <w:rPr>
      <w:kern w:val="2"/>
      <w:sz w:val="21"/>
      <w:szCs w:val="21"/>
    </w:rPr>
  </w:style>
  <w:style w:type="paragraph" w:customStyle="1" w:styleId="73">
    <w:name w:val="图表"/>
    <w:basedOn w:val="1"/>
    <w:next w:val="1"/>
    <w:link w:val="72"/>
    <w:autoRedefine/>
    <w:qFormat/>
    <w:uiPriority w:val="0"/>
    <w:pPr>
      <w:jc w:val="center"/>
    </w:pPr>
    <w:rPr>
      <w:szCs w:val="21"/>
    </w:rPr>
  </w:style>
  <w:style w:type="character" w:customStyle="1" w:styleId="74">
    <w:name w:val="font01"/>
    <w:autoRedefine/>
    <w:qFormat/>
    <w:uiPriority w:val="0"/>
    <w:rPr>
      <w:rFonts w:hint="eastAsia" w:ascii="宋体" w:hAnsi="宋体" w:eastAsia="宋体" w:cs="宋体"/>
      <w:color w:val="000000"/>
      <w:sz w:val="22"/>
      <w:szCs w:val="22"/>
      <w:u w:val="none"/>
    </w:rPr>
  </w:style>
  <w:style w:type="character" w:customStyle="1" w:styleId="75">
    <w:name w:val="hover4"/>
    <w:autoRedefine/>
    <w:qFormat/>
    <w:uiPriority w:val="0"/>
    <w:rPr>
      <w:color w:val="2590EB"/>
      <w:shd w:val="clear" w:color="auto" w:fill="E9F4FD"/>
    </w:rPr>
  </w:style>
  <w:style w:type="character" w:customStyle="1" w:styleId="76">
    <w:name w:val="font101"/>
    <w:autoRedefine/>
    <w:qFormat/>
    <w:uiPriority w:val="0"/>
    <w:rPr>
      <w:rFonts w:hint="eastAsia" w:ascii="宋体" w:hAnsi="宋体" w:eastAsia="宋体" w:cs="宋体"/>
      <w:color w:val="000000"/>
      <w:sz w:val="18"/>
      <w:szCs w:val="18"/>
      <w:u w:val="none"/>
    </w:rPr>
  </w:style>
  <w:style w:type="character" w:customStyle="1" w:styleId="77">
    <w:name w:val="font161"/>
    <w:autoRedefine/>
    <w:qFormat/>
    <w:uiPriority w:val="0"/>
    <w:rPr>
      <w:rFonts w:hint="eastAsia" w:ascii="宋体" w:hAnsi="宋体" w:eastAsia="宋体" w:cs="宋体"/>
      <w:b/>
      <w:bCs/>
      <w:color w:val="333333"/>
      <w:sz w:val="27"/>
      <w:szCs w:val="27"/>
      <w:u w:val="none"/>
    </w:rPr>
  </w:style>
  <w:style w:type="character" w:customStyle="1" w:styleId="78">
    <w:name w:val="first-child"/>
    <w:autoRedefine/>
    <w:qFormat/>
    <w:uiPriority w:val="0"/>
  </w:style>
  <w:style w:type="character" w:customStyle="1" w:styleId="79">
    <w:name w:val="【正文】 Char"/>
    <w:link w:val="80"/>
    <w:autoRedefine/>
    <w:qFormat/>
    <w:uiPriority w:val="0"/>
    <w:rPr>
      <w:rFonts w:cs="DokChampa"/>
      <w:kern w:val="2"/>
      <w:sz w:val="24"/>
      <w:szCs w:val="22"/>
    </w:rPr>
  </w:style>
  <w:style w:type="paragraph" w:customStyle="1" w:styleId="80">
    <w:name w:val="【正文】"/>
    <w:basedOn w:val="1"/>
    <w:link w:val="79"/>
    <w:autoRedefine/>
    <w:qFormat/>
    <w:uiPriority w:val="0"/>
    <w:pPr>
      <w:spacing w:line="360" w:lineRule="auto"/>
      <w:ind w:firstLine="480" w:firstLineChars="200"/>
    </w:pPr>
    <w:rPr>
      <w:sz w:val="24"/>
      <w:szCs w:val="22"/>
    </w:rPr>
  </w:style>
  <w:style w:type="character" w:customStyle="1" w:styleId="81">
    <w:name w:val="font131"/>
    <w:autoRedefine/>
    <w:qFormat/>
    <w:uiPriority w:val="0"/>
    <w:rPr>
      <w:rFonts w:ascii="仿宋" w:hAnsi="仿宋" w:eastAsia="仿宋" w:cs="仿宋"/>
      <w:color w:val="000000"/>
      <w:sz w:val="24"/>
      <w:szCs w:val="24"/>
      <w:u w:val="none"/>
    </w:rPr>
  </w:style>
  <w:style w:type="character" w:customStyle="1" w:styleId="82">
    <w:name w:val="font181"/>
    <w:autoRedefine/>
    <w:qFormat/>
    <w:uiPriority w:val="0"/>
    <w:rPr>
      <w:rFonts w:hint="eastAsia" w:ascii="宋体" w:hAnsi="宋体" w:eastAsia="宋体" w:cs="宋体"/>
      <w:color w:val="1A66B3"/>
      <w:sz w:val="18"/>
      <w:szCs w:val="18"/>
      <w:u w:val="none"/>
    </w:rPr>
  </w:style>
  <w:style w:type="character" w:customStyle="1" w:styleId="83">
    <w:name w:val="hover3"/>
    <w:autoRedefine/>
    <w:qFormat/>
    <w:uiPriority w:val="0"/>
  </w:style>
  <w:style w:type="character" w:customStyle="1" w:styleId="84">
    <w:name w:val="font112"/>
    <w:autoRedefine/>
    <w:qFormat/>
    <w:uiPriority w:val="0"/>
    <w:rPr>
      <w:rFonts w:ascii="Verdana" w:hAnsi="Verdana" w:cs="Verdana"/>
      <w:color w:val="000000"/>
      <w:sz w:val="18"/>
      <w:szCs w:val="18"/>
      <w:u w:val="none"/>
    </w:rPr>
  </w:style>
  <w:style w:type="character" w:customStyle="1" w:styleId="85">
    <w:name w:val="font81"/>
    <w:autoRedefine/>
    <w:qFormat/>
    <w:uiPriority w:val="0"/>
    <w:rPr>
      <w:rFonts w:hint="default" w:ascii="Verdana" w:hAnsi="Verdana" w:cs="Verdana"/>
      <w:color w:val="000000"/>
      <w:sz w:val="18"/>
      <w:szCs w:val="18"/>
      <w:u w:val="none"/>
    </w:rPr>
  </w:style>
  <w:style w:type="character" w:customStyle="1" w:styleId="86">
    <w:name w:val="hover"/>
    <w:autoRedefine/>
    <w:qFormat/>
    <w:uiPriority w:val="0"/>
    <w:rPr>
      <w:color w:val="2590EB"/>
      <w:shd w:val="clear" w:color="auto" w:fill="E9F4FD"/>
    </w:rPr>
  </w:style>
  <w:style w:type="character" w:customStyle="1" w:styleId="87">
    <w:name w:val="font41"/>
    <w:autoRedefine/>
    <w:qFormat/>
    <w:uiPriority w:val="0"/>
    <w:rPr>
      <w:rFonts w:hint="eastAsia" w:ascii="宋体" w:hAnsi="宋体" w:eastAsia="宋体" w:cs="宋体"/>
      <w:color w:val="000000"/>
      <w:sz w:val="22"/>
      <w:szCs w:val="22"/>
      <w:u w:val="none"/>
    </w:rPr>
  </w:style>
  <w:style w:type="character" w:customStyle="1" w:styleId="88">
    <w:name w:val="hover2"/>
    <w:autoRedefine/>
    <w:qFormat/>
    <w:uiPriority w:val="0"/>
    <w:rPr>
      <w:color w:val="2590EB"/>
    </w:rPr>
  </w:style>
  <w:style w:type="character" w:customStyle="1" w:styleId="89">
    <w:name w:val="hover1"/>
    <w:autoRedefine/>
    <w:qFormat/>
    <w:uiPriority w:val="0"/>
    <w:rPr>
      <w:color w:val="2590EB"/>
    </w:rPr>
  </w:style>
  <w:style w:type="character" w:customStyle="1" w:styleId="90">
    <w:name w:val="first-child1"/>
    <w:autoRedefine/>
    <w:qFormat/>
    <w:uiPriority w:val="0"/>
  </w:style>
  <w:style w:type="character" w:customStyle="1" w:styleId="91">
    <w:name w:val="selected"/>
    <w:autoRedefine/>
    <w:qFormat/>
    <w:uiPriority w:val="0"/>
    <w:rPr>
      <w:shd w:val="clear" w:color="auto" w:fill="B00006"/>
    </w:rPr>
  </w:style>
  <w:style w:type="character" w:customStyle="1" w:styleId="92">
    <w:name w:val="gpa"/>
    <w:autoRedefine/>
    <w:qFormat/>
    <w:uiPriority w:val="0"/>
    <w:rPr>
      <w:rFonts w:ascii="Arial" w:hAnsi="Arial" w:cs="Arial"/>
      <w:sz w:val="15"/>
      <w:szCs w:val="15"/>
    </w:rPr>
  </w:style>
  <w:style w:type="character" w:customStyle="1" w:styleId="93">
    <w:name w:val="apple-converted-space"/>
    <w:autoRedefine/>
    <w:qFormat/>
    <w:uiPriority w:val="0"/>
  </w:style>
  <w:style w:type="character" w:customStyle="1" w:styleId="94">
    <w:name w:val="列出段落 Char"/>
    <w:link w:val="95"/>
    <w:autoRedefine/>
    <w:qFormat/>
    <w:locked/>
    <w:uiPriority w:val="0"/>
    <w:rPr>
      <w:rFonts w:ascii="Calibri" w:hAnsi="Calibri" w:eastAsia="宋体"/>
      <w:kern w:val="2"/>
      <w:sz w:val="21"/>
      <w:szCs w:val="22"/>
      <w:lang w:val="en-US" w:eastAsia="zh-CN" w:bidi="ar-SA"/>
    </w:rPr>
  </w:style>
  <w:style w:type="paragraph" w:customStyle="1" w:styleId="95">
    <w:name w:val="List Paragraph1"/>
    <w:basedOn w:val="1"/>
    <w:link w:val="94"/>
    <w:autoRedefine/>
    <w:qFormat/>
    <w:uiPriority w:val="0"/>
    <w:pPr>
      <w:spacing w:line="312" w:lineRule="auto"/>
      <w:ind w:firstLine="420" w:firstLineChars="200"/>
    </w:pPr>
    <w:rPr>
      <w:rFonts w:ascii="Calibri" w:hAnsi="Calibri"/>
      <w:szCs w:val="22"/>
    </w:rPr>
  </w:style>
  <w:style w:type="character" w:customStyle="1" w:styleId="96">
    <w:name w:val="displayarti"/>
    <w:autoRedefine/>
    <w:qFormat/>
    <w:uiPriority w:val="0"/>
    <w:rPr>
      <w:color w:val="FFFFFF"/>
      <w:shd w:val="clear" w:color="auto" w:fill="A00000"/>
    </w:rPr>
  </w:style>
  <w:style w:type="character" w:customStyle="1" w:styleId="97">
    <w:name w:val="正文首行缩进 2 Char1"/>
    <w:autoRedefine/>
    <w:qFormat/>
    <w:uiPriority w:val="0"/>
  </w:style>
  <w:style w:type="character" w:customStyle="1" w:styleId="98">
    <w:name w:val="layui-this"/>
    <w:autoRedefine/>
    <w:qFormat/>
    <w:uiPriority w:val="0"/>
    <w:rPr>
      <w:bdr w:val="single" w:color="EEEEEE" w:sz="6" w:space="0"/>
      <w:shd w:val="clear" w:color="auto" w:fill="FFFFFF"/>
    </w:rPr>
  </w:style>
  <w:style w:type="character" w:customStyle="1" w:styleId="99">
    <w:name w:val="font151"/>
    <w:autoRedefine/>
    <w:qFormat/>
    <w:uiPriority w:val="0"/>
    <w:rPr>
      <w:rFonts w:hint="default" w:ascii="Verdana" w:hAnsi="Verdana" w:cs="Verdana"/>
      <w:b/>
      <w:bCs/>
      <w:color w:val="333333"/>
      <w:sz w:val="27"/>
      <w:szCs w:val="27"/>
      <w:u w:val="none"/>
    </w:rPr>
  </w:style>
  <w:style w:type="character" w:customStyle="1" w:styleId="100">
    <w:name w:val="font171"/>
    <w:autoRedefine/>
    <w:qFormat/>
    <w:uiPriority w:val="0"/>
    <w:rPr>
      <w:rFonts w:hint="eastAsia" w:ascii="宋体" w:hAnsi="宋体" w:eastAsia="宋体" w:cs="宋体"/>
      <w:color w:val="646464"/>
      <w:sz w:val="18"/>
      <w:szCs w:val="18"/>
      <w:u w:val="none"/>
    </w:rPr>
  </w:style>
  <w:style w:type="character" w:customStyle="1" w:styleId="101">
    <w:name w:val="hover7"/>
    <w:autoRedefine/>
    <w:qFormat/>
    <w:uiPriority w:val="0"/>
    <w:rPr>
      <w:color w:val="315EFB"/>
    </w:rPr>
  </w:style>
  <w:style w:type="paragraph" w:customStyle="1" w:styleId="102">
    <w:name w:val="列表2"/>
    <w:basedOn w:val="1"/>
    <w:next w:val="1"/>
    <w:autoRedefine/>
    <w:qFormat/>
    <w:uiPriority w:val="0"/>
    <w:pPr>
      <w:numPr>
        <w:ilvl w:val="0"/>
        <w:numId w:val="5"/>
      </w:numPr>
      <w:spacing w:line="200" w:lineRule="atLeast"/>
    </w:pPr>
    <w:rPr>
      <w:rFonts w:eastAsia="仿宋"/>
      <w:sz w:val="28"/>
    </w:rPr>
  </w:style>
  <w:style w:type="paragraph" w:customStyle="1" w:styleId="103">
    <w:name w:val="text-tag1"/>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customStyle="1" w:styleId="104">
    <w:name w:val="标题4"/>
    <w:basedOn w:val="1"/>
    <w:autoRedefine/>
    <w:qFormat/>
    <w:uiPriority w:val="0"/>
    <w:pPr>
      <w:numPr>
        <w:ilvl w:val="0"/>
        <w:numId w:val="6"/>
      </w:numPr>
      <w:spacing w:line="360" w:lineRule="auto"/>
      <w:ind w:left="720" w:leftChars="300"/>
      <w:jc w:val="left"/>
    </w:pPr>
    <w:rPr>
      <w:rFonts w:ascii="宋体" w:hAnsi="宋体" w:cs="Times New Roman"/>
      <w:sz w:val="18"/>
      <w:szCs w:val="18"/>
    </w:rPr>
  </w:style>
  <w:style w:type="paragraph" w:customStyle="1" w:styleId="105">
    <w:name w:val="Char"/>
    <w:basedOn w:val="1"/>
    <w:next w:val="1"/>
    <w:autoRedefine/>
    <w:qFormat/>
    <w:uiPriority w:val="0"/>
    <w:pPr>
      <w:widowControl/>
      <w:spacing w:line="360" w:lineRule="auto"/>
      <w:jc w:val="left"/>
    </w:pPr>
    <w:rPr>
      <w:kern w:val="0"/>
      <w:szCs w:val="20"/>
      <w:lang w:eastAsia="en-US"/>
    </w:rPr>
  </w:style>
  <w:style w:type="paragraph" w:customStyle="1" w:styleId="106">
    <w:name w:val="样式1"/>
    <w:basedOn w:val="1"/>
    <w:autoRedefine/>
    <w:qFormat/>
    <w:uiPriority w:val="0"/>
    <w:pPr>
      <w:spacing w:line="360" w:lineRule="auto"/>
      <w:jc w:val="center"/>
    </w:pPr>
    <w:rPr>
      <w:rFonts w:ascii="Times New Roman" w:hAnsi="Times New Roman" w:cs="Times New Roman"/>
      <w:b/>
      <w:sz w:val="30"/>
      <w:szCs w:val="30"/>
    </w:rPr>
  </w:style>
  <w:style w:type="paragraph" w:customStyle="1" w:styleId="107">
    <w:name w:val=" Char Char Char Char"/>
    <w:basedOn w:val="1"/>
    <w:autoRedefine/>
    <w:qFormat/>
    <w:uiPriority w:val="0"/>
    <w:rPr>
      <w:rFonts w:ascii="Tahoma" w:hAnsi="Tahoma"/>
      <w:sz w:val="24"/>
      <w:szCs w:val="20"/>
    </w:rPr>
  </w:style>
  <w:style w:type="paragraph" w:customStyle="1" w:styleId="108">
    <w:name w:val="_Style 4"/>
    <w:basedOn w:val="1"/>
    <w:autoRedefine/>
    <w:qFormat/>
    <w:uiPriority w:val="34"/>
    <w:pPr>
      <w:adjustRightInd w:val="0"/>
      <w:ind w:firstLine="420" w:firstLineChars="200"/>
      <w:jc w:val="left"/>
      <w:textAlignment w:val="baseline"/>
    </w:pPr>
    <w:rPr>
      <w:kern w:val="0"/>
      <w:szCs w:val="20"/>
    </w:rPr>
  </w:style>
  <w:style w:type="paragraph" w:customStyle="1" w:styleId="109">
    <w:name w:val="列出段落2"/>
    <w:basedOn w:val="1"/>
    <w:autoRedefine/>
    <w:qFormat/>
    <w:uiPriority w:val="0"/>
    <w:pPr>
      <w:ind w:firstLine="420" w:firstLineChars="200"/>
    </w:pPr>
    <w:rPr>
      <w:rFonts w:ascii="Calibri" w:hAnsi="Calibri"/>
      <w:szCs w:val="22"/>
    </w:rPr>
  </w:style>
  <w:style w:type="paragraph" w:customStyle="1" w:styleId="110">
    <w:name w:val="列出段落11"/>
    <w:basedOn w:val="1"/>
    <w:autoRedefine/>
    <w:qFormat/>
    <w:uiPriority w:val="0"/>
    <w:pPr>
      <w:spacing w:after="120" w:line="360" w:lineRule="auto"/>
      <w:ind w:firstLine="420" w:firstLineChars="200"/>
    </w:pPr>
    <w:rPr>
      <w:rFonts w:ascii="Calibri" w:hAnsi="Calibri"/>
      <w:szCs w:val="22"/>
    </w:rPr>
  </w:style>
  <w:style w:type="paragraph" w:customStyle="1" w:styleId="111">
    <w:name w:val="xl25"/>
    <w:basedOn w:val="1"/>
    <w:autoRedefine/>
    <w:qFormat/>
    <w:uiPriority w:val="0"/>
    <w:pPr>
      <w:widowControl/>
      <w:spacing w:before="100" w:beforeAutospacing="1" w:after="100" w:afterAutospacing="1"/>
      <w:jc w:val="right"/>
    </w:pPr>
    <w:rPr>
      <w:rFonts w:ascii="Arial Unicode MS" w:hAnsi="Arial Unicode MS" w:eastAsia="宋体" w:cs="Arial Unicode MS"/>
      <w:color w:val="000000"/>
      <w:kern w:val="0"/>
      <w:sz w:val="18"/>
      <w:szCs w:val="18"/>
    </w:rPr>
  </w:style>
  <w:style w:type="paragraph" w:customStyle="1" w:styleId="112">
    <w:name w:val="_Style 108"/>
    <w:autoRedefine/>
    <w:unhideWhenUsed/>
    <w:qFormat/>
    <w:uiPriority w:val="99"/>
    <w:rPr>
      <w:rFonts w:ascii="Times New Roman" w:hAnsi="Times New Roman" w:eastAsia="宋体" w:cs="Times New Roman"/>
      <w:kern w:val="2"/>
      <w:sz w:val="21"/>
      <w:szCs w:val="24"/>
      <w:lang w:val="en-US" w:eastAsia="zh-CN" w:bidi="ar-SA"/>
    </w:rPr>
  </w:style>
  <w:style w:type="paragraph" w:customStyle="1" w:styleId="113">
    <w:name w:val="Table Paragraph"/>
    <w:basedOn w:val="1"/>
    <w:autoRedefine/>
    <w:qFormat/>
    <w:uiPriority w:val="1"/>
    <w:rPr>
      <w:rFonts w:ascii="宋体" w:hAnsi="宋体" w:eastAsia="宋体" w:cs="宋体"/>
      <w:lang w:val="zh-CN" w:eastAsia="zh-CN" w:bidi="zh-CN"/>
    </w:rPr>
  </w:style>
  <w:style w:type="paragraph" w:customStyle="1" w:styleId="114">
    <w:name w:val="D&amp;L"/>
    <w:basedOn w:val="26"/>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115">
    <w:name w:val="列出段落1"/>
    <w:basedOn w:val="1"/>
    <w:autoRedefine/>
    <w:qFormat/>
    <w:uiPriority w:val="34"/>
    <w:pPr>
      <w:ind w:firstLine="420" w:firstLineChars="200"/>
    </w:pPr>
  </w:style>
  <w:style w:type="paragraph" w:customStyle="1" w:styleId="116">
    <w:name w:val="Char Char Char Char Char Char Char1 Char"/>
    <w:basedOn w:val="1"/>
    <w:autoRedefine/>
    <w:qFormat/>
    <w:uiPriority w:val="0"/>
    <w:rPr>
      <w:rFonts w:ascii="Tahoma" w:hAnsi="Tahoma"/>
      <w:sz w:val="24"/>
      <w:szCs w:val="20"/>
    </w:rPr>
  </w:style>
  <w:style w:type="paragraph" w:styleId="117">
    <w:name w:val="List Paragraph"/>
    <w:basedOn w:val="1"/>
    <w:autoRedefine/>
    <w:qFormat/>
    <w:uiPriority w:val="0"/>
    <w:pPr>
      <w:spacing w:line="360" w:lineRule="auto"/>
      <w:ind w:firstLine="420" w:firstLineChars="200"/>
    </w:pPr>
    <w:rPr>
      <w:rFonts w:ascii="宋体" w:hAnsi="宋体" w:cs="宋体"/>
      <w:sz w:val="24"/>
    </w:rPr>
  </w:style>
  <w:style w:type="paragraph" w:customStyle="1" w:styleId="118">
    <w:name w:val="List Paragraph2"/>
    <w:basedOn w:val="1"/>
    <w:autoRedefine/>
    <w:qFormat/>
    <w:uiPriority w:val="0"/>
    <w:pPr>
      <w:spacing w:line="360" w:lineRule="auto"/>
      <w:ind w:firstLine="420"/>
    </w:pPr>
    <w:rPr>
      <w:color w:val="000000"/>
      <w:sz w:val="24"/>
      <w:szCs w:val="21"/>
    </w:rPr>
  </w:style>
  <w:style w:type="paragraph" w:customStyle="1" w:styleId="119">
    <w:name w:val="（无样式）"/>
    <w:basedOn w:val="1"/>
    <w:autoRedefine/>
    <w:qFormat/>
    <w:uiPriority w:val="0"/>
    <w:pPr>
      <w:widowControl/>
      <w:numPr>
        <w:ilvl w:val="0"/>
        <w:numId w:val="7"/>
      </w:numPr>
      <w:spacing w:line="360" w:lineRule="auto"/>
      <w:ind w:firstLine="0"/>
    </w:pPr>
    <w:rPr>
      <w:sz w:val="24"/>
      <w:szCs w:val="20"/>
    </w:rPr>
  </w:style>
  <w:style w:type="paragraph" w:customStyle="1" w:styleId="120">
    <w:name w:val="正文 New"/>
    <w:autoRedefine/>
    <w:qFormat/>
    <w:uiPriority w:val="0"/>
    <w:pPr>
      <w:widowControl w:val="0"/>
      <w:spacing w:line="440" w:lineRule="exact"/>
      <w:ind w:left="357" w:hanging="357"/>
      <w:jc w:val="both"/>
    </w:pPr>
    <w:rPr>
      <w:rFonts w:ascii="Calibri" w:hAnsi="Calibri" w:eastAsia="宋体" w:cs="Times New Roman"/>
      <w:kern w:val="2"/>
      <w:sz w:val="21"/>
      <w:szCs w:val="22"/>
      <w:lang w:val="en-US" w:eastAsia="zh-CN" w:bidi="ar-SA"/>
    </w:rPr>
  </w:style>
  <w:style w:type="paragraph" w:customStyle="1" w:styleId="121">
    <w:name w:val="标题3-副本"/>
    <w:basedOn w:val="28"/>
    <w:autoRedefine/>
    <w:qFormat/>
    <w:uiPriority w:val="0"/>
    <w:pPr>
      <w:numPr>
        <w:ilvl w:val="0"/>
        <w:numId w:val="0"/>
      </w:numPr>
      <w:ind w:left="840"/>
    </w:pPr>
  </w:style>
  <w:style w:type="paragraph" w:customStyle="1" w:styleId="122">
    <w:name w:val="节标题"/>
    <w:basedOn w:val="1"/>
    <w:next w:val="1"/>
    <w:autoRedefine/>
    <w:qFormat/>
    <w:uiPriority w:val="0"/>
    <w:pPr>
      <w:widowControl/>
      <w:spacing w:line="289" w:lineRule="atLeast"/>
      <w:jc w:val="center"/>
      <w:textAlignment w:val="baseline"/>
    </w:pPr>
    <w:rPr>
      <w:color w:val="000000"/>
      <w:kern w:val="0"/>
      <w:sz w:val="28"/>
      <w:szCs w:val="20"/>
      <w:u w:val="none" w:color="000000"/>
    </w:rPr>
  </w:style>
  <w:style w:type="paragraph" w:customStyle="1" w:styleId="123">
    <w:name w:val="_Style 2"/>
    <w:basedOn w:val="1"/>
    <w:autoRedefine/>
    <w:qFormat/>
    <w:uiPriority w:val="0"/>
  </w:style>
  <w:style w:type="paragraph" w:customStyle="1" w:styleId="124">
    <w:name w:val="p0"/>
    <w:basedOn w:val="1"/>
    <w:autoRedefine/>
    <w:qFormat/>
    <w:uiPriority w:val="0"/>
    <w:pPr>
      <w:widowControl/>
      <w:spacing w:line="365" w:lineRule="atLeast"/>
      <w:ind w:left="1"/>
      <w:textAlignment w:val="bottom"/>
    </w:pPr>
    <w:rPr>
      <w:rFonts w:ascii="Calibri" w:hAnsi="Calibri"/>
      <w:kern w:val="0"/>
      <w:sz w:val="20"/>
      <w:szCs w:val="22"/>
    </w:rPr>
  </w:style>
  <w:style w:type="paragraph" w:customStyle="1" w:styleId="125">
    <w:name w:val="xl31"/>
    <w:basedOn w:val="1"/>
    <w:autoRedefine/>
    <w:qFormat/>
    <w:uiPriority w:val="0"/>
    <w:pPr>
      <w:widowControl/>
      <w:spacing w:before="100" w:beforeAutospacing="1" w:after="100" w:afterAutospacing="1"/>
      <w:jc w:val="center"/>
    </w:pPr>
    <w:rPr>
      <w:b/>
      <w:bCs/>
      <w:kern w:val="0"/>
      <w:sz w:val="28"/>
      <w:szCs w:val="28"/>
    </w:rPr>
  </w:style>
  <w:style w:type="paragraph" w:customStyle="1" w:styleId="126">
    <w:name w:val=" Char"/>
    <w:basedOn w:val="1"/>
    <w:autoRedefine/>
    <w:qFormat/>
    <w:uiPriority w:val="0"/>
  </w:style>
  <w:style w:type="paragraph" w:customStyle="1" w:styleId="127">
    <w:name w:val="l正文"/>
    <w:autoRedefine/>
    <w:qFormat/>
    <w:uiPriority w:val="0"/>
    <w:pPr>
      <w:widowControl w:val="0"/>
      <w:spacing w:line="300" w:lineRule="auto"/>
      <w:ind w:firstLine="200" w:firstLineChars="200"/>
      <w:jc w:val="both"/>
    </w:pPr>
    <w:rPr>
      <w:rFonts w:ascii="楷体_GB2312" w:hAnsi="Times" w:eastAsia="楷体_GB2312" w:cs="Times New Roman"/>
      <w:kern w:val="2"/>
      <w:sz w:val="24"/>
      <w:szCs w:val="24"/>
      <w:lang w:val="en-US" w:eastAsia="zh-CN" w:bidi="ar-SA"/>
    </w:rPr>
  </w:style>
  <w:style w:type="table" w:customStyle="1" w:styleId="128">
    <w:name w:val="Table Normal"/>
    <w:autoRedefine/>
    <w:unhideWhenUsed/>
    <w:qFormat/>
    <w:uiPriority w:val="0"/>
    <w:rPr>
      <w:lang w:val="en-US" w:eastAsia="zh-CN" w:bidi="ar-SA"/>
    </w:rPr>
    <w:tblPr>
      <w:tblCellMar>
        <w:top w:w="0" w:type="dxa"/>
        <w:left w:w="0" w:type="dxa"/>
        <w:bottom w:w="0" w:type="dxa"/>
        <w:right w:w="0" w:type="dxa"/>
      </w:tblCellMar>
    </w:tblPr>
  </w:style>
  <w:style w:type="paragraph" w:customStyle="1" w:styleId="129">
    <w:name w:val="_Style 117"/>
    <w:basedOn w:val="1"/>
    <w:next w:val="1"/>
    <w:autoRedefine/>
    <w:qFormat/>
    <w:uiPriority w:val="0"/>
    <w:pPr>
      <w:pBdr>
        <w:bottom w:val="single" w:color="auto" w:sz="6" w:space="1"/>
      </w:pBdr>
      <w:jc w:val="center"/>
    </w:pPr>
    <w:rPr>
      <w:rFonts w:ascii="Arial" w:eastAsia="宋体"/>
      <w:vanish/>
      <w:sz w:val="16"/>
    </w:rPr>
  </w:style>
  <w:style w:type="paragraph" w:customStyle="1" w:styleId="130">
    <w:name w:val="_Style 118"/>
    <w:basedOn w:val="1"/>
    <w:next w:val="1"/>
    <w:autoRedefine/>
    <w:qFormat/>
    <w:uiPriority w:val="0"/>
    <w:pPr>
      <w:pBdr>
        <w:top w:val="single" w:color="auto" w:sz="6" w:space="1"/>
      </w:pBdr>
      <w:jc w:val="center"/>
    </w:pPr>
    <w:rPr>
      <w:rFonts w:ascii="Arial" w:eastAsia="宋体"/>
      <w:vanish/>
      <w:sz w:val="16"/>
    </w:rPr>
  </w:style>
  <w:style w:type="character" w:customStyle="1" w:styleId="131">
    <w:name w:val="num"/>
    <w:basedOn w:val="39"/>
    <w:autoRedefine/>
    <w:qFormat/>
    <w:uiPriority w:val="0"/>
    <w:rPr>
      <w:b/>
      <w:bCs/>
      <w:color w:val="FF7800"/>
    </w:rPr>
  </w:style>
  <w:style w:type="character" w:customStyle="1" w:styleId="132">
    <w:name w:val="a-desc"/>
    <w:basedOn w:val="39"/>
    <w:autoRedefine/>
    <w:qFormat/>
    <w:uiPriority w:val="0"/>
    <w:rPr>
      <w:color w:val="315EFB"/>
    </w:rPr>
  </w:style>
  <w:style w:type="character" w:customStyle="1" w:styleId="133">
    <w:name w:val="bg"/>
    <w:basedOn w:val="39"/>
    <w:autoRedefine/>
    <w:qFormat/>
    <w:uiPriority w:val="0"/>
    <w:rPr>
      <w:shd w:val="clear" w:color="auto" w:fill="000000"/>
    </w:rPr>
  </w:style>
  <w:style w:type="character" w:customStyle="1" w:styleId="134">
    <w:name w:val="bg1"/>
    <w:basedOn w:val="39"/>
    <w:qFormat/>
    <w:uiPriority w:val="0"/>
    <w:rPr>
      <w:shd w:val="clear" w:color="auto" w:fill="000000"/>
    </w:rPr>
  </w:style>
  <w:style w:type="character" w:customStyle="1" w:styleId="135">
    <w:name w:val="bg2"/>
    <w:basedOn w:val="39"/>
    <w:qFormat/>
    <w:uiPriority w:val="0"/>
    <w:rPr>
      <w:shd w:val="clear" w:color="auto" w:fill="000000"/>
    </w:rPr>
  </w:style>
  <w:style w:type="character" w:customStyle="1" w:styleId="136">
    <w:name w:val="iknow-qb-ad-sou-icon"/>
    <w:basedOn w:val="39"/>
    <w:autoRedefine/>
    <w:qFormat/>
    <w:uiPriority w:val="0"/>
  </w:style>
  <w:style w:type="character" w:customStyle="1" w:styleId="137">
    <w:name w:val="del-btn"/>
    <w:basedOn w:val="39"/>
    <w:autoRedefine/>
    <w:qFormat/>
    <w:uiPriority w:val="0"/>
  </w:style>
  <w:style w:type="character" w:customStyle="1" w:styleId="138">
    <w:name w:val="del-btn1"/>
    <w:basedOn w:val="39"/>
    <w:qFormat/>
    <w:uiPriority w:val="0"/>
  </w:style>
  <w:style w:type="character" w:customStyle="1" w:styleId="139">
    <w:name w:val="del-btn2"/>
    <w:basedOn w:val="39"/>
    <w:qFormat/>
    <w:uiPriority w:val="0"/>
  </w:style>
  <w:style w:type="character" w:customStyle="1" w:styleId="140">
    <w:name w:val="answer-title"/>
    <w:basedOn w:val="39"/>
    <w:qFormat/>
    <w:uiPriority w:val="0"/>
  </w:style>
  <w:style w:type="character" w:customStyle="1" w:styleId="141">
    <w:name w:val="new-icon2"/>
    <w:basedOn w:val="39"/>
    <w:qFormat/>
    <w:uiPriority w:val="0"/>
  </w:style>
  <w:style w:type="character" w:customStyle="1" w:styleId="142">
    <w:name w:val="new-icon3"/>
    <w:basedOn w:val="39"/>
    <w:qFormat/>
    <w:uiPriority w:val="0"/>
  </w:style>
  <w:style w:type="character" w:customStyle="1" w:styleId="143">
    <w:name w:val="green"/>
    <w:basedOn w:val="39"/>
    <w:qFormat/>
    <w:uiPriority w:val="0"/>
    <w:rPr>
      <w:color w:val="3B6FFF"/>
    </w:rPr>
  </w:style>
  <w:style w:type="character" w:customStyle="1" w:styleId="144">
    <w:name w:val="green1"/>
    <w:basedOn w:val="39"/>
    <w:autoRedefine/>
    <w:qFormat/>
    <w:uiPriority w:val="0"/>
    <w:rPr>
      <w:color w:val="3B6FFF"/>
    </w:rPr>
  </w:style>
  <w:style w:type="character" w:customStyle="1" w:styleId="145">
    <w:name w:val="green2"/>
    <w:basedOn w:val="39"/>
    <w:qFormat/>
    <w:uiPriority w:val="0"/>
    <w:rPr>
      <w:color w:val="4DC86F"/>
    </w:rPr>
  </w:style>
  <w:style w:type="character" w:customStyle="1" w:styleId="146">
    <w:name w:val="green3"/>
    <w:basedOn w:val="39"/>
    <w:qFormat/>
    <w:uiPriority w:val="0"/>
    <w:rPr>
      <w:color w:val="4DC86F"/>
    </w:rPr>
  </w:style>
  <w:style w:type="character" w:customStyle="1" w:styleId="147">
    <w:name w:val="answer-title2"/>
    <w:basedOn w:val="39"/>
    <w:qFormat/>
    <w:uiPriority w:val="0"/>
  </w:style>
  <w:style w:type="character" w:customStyle="1" w:styleId="148">
    <w:name w:val="new-icon"/>
    <w:basedOn w:val="39"/>
    <w:qFormat/>
    <w:uiPriority w:val="0"/>
  </w:style>
  <w:style w:type="character" w:customStyle="1" w:styleId="149">
    <w:name w:val="new-icon1"/>
    <w:basedOn w:val="39"/>
    <w:qFormat/>
    <w:uiPriority w:val="0"/>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52</Pages>
  <Words>18777</Words>
  <Characters>20496</Characters>
  <Lines>358</Lines>
  <Paragraphs>100</Paragraphs>
  <TotalTime>52</TotalTime>
  <ScaleCrop>false</ScaleCrop>
  <LinksUpToDate>false</LinksUpToDate>
  <CharactersWithSpaces>21683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2023-07-11T11:05:00Z</dcterms:created>
  <dc:creator>pzf</dc:creator>
  <cp:lastModifiedBy>好奇害死汪</cp:lastModifiedBy>
  <cp:lastPrinted>2025-05-07T08:47:00Z</cp:lastPrinted>
  <dcterms:modified xsi:type="dcterms:W3CDTF">2025-05-30T09:35:30Z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14D4BF8EFBE04366971C2C4CC7DDC2DA_13</vt:lpwstr>
  </property>
  <property fmtid="{D5CDD505-2E9C-101B-9397-08002B2CF9AE}" pid="4" name="KSOTemplateDocerSaveRecord">
    <vt:lpwstr>eyJoZGlkIjoiZWIyYTkxYWMwZmMyYTc0NDcxNzE0MGFlOTUzMjFjNjQiLCJ1c2VySWQiOiI1MjYzMTQ5MTEifQ==</vt:lpwstr>
  </property>
</Properties>
</file>