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5AC4451">
      <w:pPr>
        <w:spacing w:line="1200" w:lineRule="exact"/>
        <w:jc w:val="center"/>
        <w:rPr>
          <w:rFonts w:hint="eastAsia" w:ascii="楷体_GB2312" w:eastAsia="楷体_GB2312"/>
          <w:b/>
          <w:bCs/>
          <w:color w:val="auto"/>
          <w:sz w:val="72"/>
          <w:szCs w:val="72"/>
          <w:highlight w:val="none"/>
          <w:lang w:val="en-US" w:eastAsia="zh-CN"/>
        </w:rPr>
      </w:pPr>
      <w:r>
        <w:rPr>
          <w:rFonts w:hint="eastAsia" w:ascii="宋体" w:cs="宋体"/>
          <w:b/>
          <w:bCs/>
          <w:color w:val="auto"/>
          <w:sz w:val="72"/>
          <w:szCs w:val="72"/>
          <w:highlight w:val="none"/>
          <w:u w:val="none"/>
          <w:vertAlign w:val="subscript"/>
          <w:lang w:val="en-US" w:eastAsia="zh-CN"/>
        </w:rPr>
        <w:t>滁州工投科技产业园储能电站迁改项目（三次）</w:t>
      </w:r>
    </w:p>
    <w:p w14:paraId="4547015E">
      <w:pPr>
        <w:spacing w:line="1200" w:lineRule="exact"/>
        <w:jc w:val="center"/>
        <w:outlineLvl w:val="0"/>
        <w:rPr>
          <w:rFonts w:hint="eastAsia" w:ascii="楷体_GB2312" w:eastAsia="楷体_GB2312"/>
          <w:b/>
          <w:bCs/>
          <w:color w:val="auto"/>
          <w:sz w:val="84"/>
          <w:szCs w:val="84"/>
          <w:highlight w:val="none"/>
          <w:lang w:val="en-US" w:eastAsia="zh-CN"/>
        </w:rPr>
      </w:pPr>
      <w:bookmarkStart w:id="0" w:name="_Toc29051"/>
    </w:p>
    <w:p w14:paraId="695D101A">
      <w:pPr>
        <w:spacing w:line="1200" w:lineRule="exact"/>
        <w:jc w:val="center"/>
        <w:outlineLvl w:val="0"/>
        <w:rPr>
          <w:rFonts w:hint="eastAsia" w:ascii="楷体_GB2312" w:eastAsia="楷体_GB2312"/>
          <w:b/>
          <w:bCs/>
          <w:color w:val="auto"/>
          <w:sz w:val="84"/>
          <w:szCs w:val="84"/>
          <w:highlight w:val="none"/>
          <w:lang w:val="en-US" w:eastAsia="zh-CN"/>
        </w:rPr>
      </w:pPr>
    </w:p>
    <w:p w14:paraId="1B3618BF">
      <w:pPr>
        <w:spacing w:line="1200" w:lineRule="exact"/>
        <w:jc w:val="center"/>
        <w:outlineLvl w:val="0"/>
        <w:rPr>
          <w:rFonts w:hint="eastAsia" w:ascii="楷体_GB2312" w:eastAsia="楷体_GB2312"/>
          <w:b/>
          <w:bCs/>
          <w:color w:val="auto"/>
          <w:sz w:val="84"/>
          <w:szCs w:val="84"/>
          <w:highlight w:val="none"/>
          <w:lang w:val="en-US" w:eastAsia="zh-CN"/>
        </w:rPr>
      </w:pPr>
      <w:r>
        <w:rPr>
          <w:rFonts w:hint="eastAsia" w:ascii="楷体_GB2312" w:eastAsia="楷体_GB2312"/>
          <w:b/>
          <w:bCs/>
          <w:color w:val="auto"/>
          <w:sz w:val="84"/>
          <w:szCs w:val="84"/>
          <w:highlight w:val="none"/>
          <w:lang w:val="en-US" w:eastAsia="zh-CN"/>
        </w:rPr>
        <w:t>招</w:t>
      </w:r>
      <w:bookmarkEnd w:id="0"/>
    </w:p>
    <w:p w14:paraId="4C323A5A">
      <w:pPr>
        <w:spacing w:line="1200" w:lineRule="exact"/>
        <w:jc w:val="center"/>
        <w:outlineLvl w:val="0"/>
        <w:rPr>
          <w:rFonts w:hint="eastAsia" w:ascii="楷体_GB2312" w:eastAsia="楷体_GB2312"/>
          <w:b/>
          <w:bCs/>
          <w:color w:val="auto"/>
          <w:sz w:val="84"/>
          <w:szCs w:val="84"/>
          <w:highlight w:val="none"/>
          <w:lang w:val="en-US" w:eastAsia="zh-CN"/>
        </w:rPr>
      </w:pPr>
      <w:bookmarkStart w:id="1" w:name="_Toc23878"/>
      <w:r>
        <w:rPr>
          <w:rFonts w:hint="eastAsia" w:ascii="楷体_GB2312" w:eastAsia="楷体_GB2312"/>
          <w:b/>
          <w:bCs/>
          <w:color w:val="auto"/>
          <w:sz w:val="84"/>
          <w:szCs w:val="84"/>
          <w:highlight w:val="none"/>
          <w:lang w:val="en-US" w:eastAsia="zh-CN"/>
        </w:rPr>
        <w:t>标</w:t>
      </w:r>
      <w:bookmarkEnd w:id="1"/>
    </w:p>
    <w:p w14:paraId="11DA5460">
      <w:pPr>
        <w:spacing w:line="1200" w:lineRule="exact"/>
        <w:jc w:val="center"/>
        <w:outlineLvl w:val="0"/>
        <w:rPr>
          <w:rFonts w:hint="eastAsia" w:ascii="楷体_GB2312" w:eastAsia="楷体_GB2312"/>
          <w:b/>
          <w:bCs/>
          <w:color w:val="auto"/>
          <w:sz w:val="84"/>
          <w:szCs w:val="84"/>
          <w:highlight w:val="none"/>
          <w:lang w:val="en-US" w:eastAsia="zh-CN"/>
        </w:rPr>
      </w:pPr>
      <w:bookmarkStart w:id="2" w:name="_Toc3491"/>
      <w:r>
        <w:rPr>
          <w:rFonts w:hint="eastAsia" w:ascii="楷体_GB2312" w:eastAsia="楷体_GB2312"/>
          <w:b/>
          <w:bCs/>
          <w:color w:val="auto"/>
          <w:sz w:val="84"/>
          <w:szCs w:val="84"/>
          <w:highlight w:val="none"/>
          <w:lang w:val="en-US" w:eastAsia="zh-CN"/>
        </w:rPr>
        <w:t>文</w:t>
      </w:r>
      <w:bookmarkEnd w:id="2"/>
    </w:p>
    <w:p w14:paraId="4E695406">
      <w:pPr>
        <w:spacing w:line="1200" w:lineRule="exact"/>
        <w:jc w:val="center"/>
        <w:outlineLvl w:val="0"/>
        <w:rPr>
          <w:rFonts w:ascii="楷体_GB2312" w:eastAsia="楷体_GB2312"/>
          <w:b/>
          <w:bCs/>
          <w:color w:val="auto"/>
          <w:sz w:val="84"/>
          <w:szCs w:val="84"/>
          <w:highlight w:val="none"/>
        </w:rPr>
      </w:pPr>
      <w:bookmarkStart w:id="3" w:name="_Toc23873"/>
      <w:r>
        <w:rPr>
          <w:rFonts w:hint="eastAsia" w:ascii="楷体_GB2312" w:eastAsia="楷体_GB2312" w:cs="楷体_GB2312"/>
          <w:b/>
          <w:bCs/>
          <w:color w:val="auto"/>
          <w:sz w:val="84"/>
          <w:szCs w:val="84"/>
          <w:highlight w:val="none"/>
        </w:rPr>
        <w:t>件</w:t>
      </w:r>
      <w:bookmarkEnd w:id="3"/>
    </w:p>
    <w:p w14:paraId="0CC63849">
      <w:pPr>
        <w:spacing w:line="600" w:lineRule="exact"/>
        <w:jc w:val="center"/>
        <w:rPr>
          <w:rFonts w:hint="eastAsia" w:cs="宋体"/>
          <w:color w:val="auto"/>
          <w:sz w:val="28"/>
          <w:szCs w:val="28"/>
          <w:highlight w:val="none"/>
        </w:rPr>
      </w:pPr>
    </w:p>
    <w:p w14:paraId="18FC06F9">
      <w:pPr>
        <w:spacing w:line="600" w:lineRule="exact"/>
        <w:jc w:val="center"/>
        <w:rPr>
          <w:rFonts w:cs="宋体"/>
          <w:color w:val="auto"/>
          <w:sz w:val="28"/>
          <w:szCs w:val="28"/>
          <w:highlight w:val="none"/>
          <w:u w:val="single"/>
        </w:rPr>
      </w:pPr>
      <w:r>
        <w:rPr>
          <w:rFonts w:hint="eastAsia" w:cs="宋体"/>
          <w:color w:val="auto"/>
          <w:sz w:val="28"/>
          <w:szCs w:val="28"/>
          <w:highlight w:val="none"/>
        </w:rPr>
        <w:t>（自行公开招标）</w:t>
      </w:r>
    </w:p>
    <w:p w14:paraId="5F3B2EB5">
      <w:pPr>
        <w:spacing w:line="800" w:lineRule="exact"/>
        <w:rPr>
          <w:b/>
          <w:bCs/>
          <w:color w:val="auto"/>
          <w:sz w:val="44"/>
          <w:szCs w:val="44"/>
          <w:highlight w:val="none"/>
        </w:rPr>
      </w:pPr>
    </w:p>
    <w:p w14:paraId="7630133F">
      <w:pPr>
        <w:ind w:firstLine="803" w:firstLineChars="250"/>
        <w:outlineLvl w:val="0"/>
        <w:rPr>
          <w:rFonts w:ascii="宋体"/>
          <w:b/>
          <w:color w:val="auto"/>
          <w:sz w:val="32"/>
          <w:szCs w:val="32"/>
          <w:highlight w:val="none"/>
        </w:rPr>
      </w:pPr>
      <w:bookmarkStart w:id="4" w:name="_Toc22648"/>
      <w:r>
        <w:rPr>
          <w:rFonts w:hint="eastAsia" w:ascii="宋体"/>
          <w:b/>
          <w:color w:val="auto"/>
          <w:sz w:val="32"/>
          <w:szCs w:val="32"/>
          <w:highlight w:val="none"/>
        </w:rPr>
        <w:t>招 标 单 位：</w:t>
      </w:r>
      <w:r>
        <w:rPr>
          <w:rFonts w:ascii="宋体"/>
          <w:b/>
          <w:color w:val="auto"/>
          <w:sz w:val="32"/>
          <w:szCs w:val="32"/>
          <w:highlight w:val="none"/>
          <w:u w:val="single"/>
        </w:rPr>
        <w:t xml:space="preserve"> </w:t>
      </w:r>
      <w:r>
        <w:rPr>
          <w:rFonts w:hint="eastAsia" w:ascii="宋体"/>
          <w:b/>
          <w:color w:val="auto"/>
          <w:sz w:val="32"/>
          <w:szCs w:val="32"/>
          <w:highlight w:val="none"/>
          <w:u w:val="single"/>
          <w:lang w:eastAsia="zh-CN"/>
        </w:rPr>
        <w:t>滁州工投新能源开发有限公司</w:t>
      </w:r>
      <w:r>
        <w:rPr>
          <w:rFonts w:ascii="宋体"/>
          <w:b/>
          <w:color w:val="auto"/>
          <w:sz w:val="32"/>
          <w:szCs w:val="32"/>
          <w:highlight w:val="none"/>
          <w:u w:val="single"/>
        </w:rPr>
        <w:t xml:space="preserve"> </w:t>
      </w:r>
      <w:bookmarkEnd w:id="4"/>
    </w:p>
    <w:p w14:paraId="37B00457">
      <w:pPr>
        <w:spacing w:line="240" w:lineRule="exact"/>
        <w:ind w:firstLine="803" w:firstLineChars="250"/>
        <w:rPr>
          <w:rFonts w:ascii="宋体"/>
          <w:b/>
          <w:color w:val="auto"/>
          <w:sz w:val="32"/>
          <w:szCs w:val="32"/>
          <w:highlight w:val="none"/>
        </w:rPr>
      </w:pPr>
    </w:p>
    <w:p w14:paraId="43AD909C">
      <w:pPr>
        <w:spacing w:line="240" w:lineRule="exact"/>
        <w:ind w:firstLine="803" w:firstLineChars="250"/>
        <w:rPr>
          <w:rFonts w:ascii="宋体"/>
          <w:b/>
          <w:color w:val="auto"/>
          <w:sz w:val="32"/>
          <w:szCs w:val="32"/>
          <w:highlight w:val="none"/>
        </w:rPr>
      </w:pPr>
    </w:p>
    <w:p w14:paraId="5B3C466B">
      <w:pPr>
        <w:jc w:val="center"/>
        <w:rPr>
          <w:rFonts w:ascii="宋体"/>
          <w:b/>
          <w:color w:val="auto"/>
          <w:sz w:val="32"/>
          <w:szCs w:val="32"/>
          <w:highlight w:val="none"/>
        </w:rPr>
      </w:pPr>
      <w:r>
        <w:rPr>
          <w:rFonts w:ascii="宋体"/>
          <w:b/>
          <w:color w:val="auto"/>
          <w:sz w:val="32"/>
          <w:szCs w:val="32"/>
          <w:highlight w:val="none"/>
          <w:u w:val="single"/>
        </w:rPr>
        <w:t xml:space="preserve"> 20</w:t>
      </w:r>
      <w:r>
        <w:rPr>
          <w:rFonts w:hint="eastAsia" w:ascii="宋体"/>
          <w:b/>
          <w:color w:val="auto"/>
          <w:sz w:val="32"/>
          <w:szCs w:val="32"/>
          <w:highlight w:val="none"/>
          <w:u w:val="single"/>
        </w:rPr>
        <w:t>2</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年</w:t>
      </w:r>
      <w:r>
        <w:rPr>
          <w:rFonts w:ascii="宋体"/>
          <w:b/>
          <w:color w:val="auto"/>
          <w:sz w:val="32"/>
          <w:szCs w:val="32"/>
          <w:highlight w:val="none"/>
          <w:u w:val="single"/>
        </w:rPr>
        <w:t xml:space="preserve"> </w:t>
      </w:r>
      <w:r>
        <w:rPr>
          <w:rFonts w:hint="eastAsia" w:ascii="宋体"/>
          <w:b/>
          <w:color w:val="auto"/>
          <w:sz w:val="32"/>
          <w:szCs w:val="32"/>
          <w:highlight w:val="none"/>
          <w:u w:val="single"/>
          <w:lang w:val="en-US" w:eastAsia="zh-CN"/>
        </w:rPr>
        <w:t>4</w:t>
      </w:r>
      <w:r>
        <w:rPr>
          <w:rFonts w:hint="eastAsia" w:ascii="宋体"/>
          <w:b/>
          <w:color w:val="auto"/>
          <w:sz w:val="32"/>
          <w:szCs w:val="32"/>
          <w:highlight w:val="none"/>
        </w:rPr>
        <w:t>月</w:t>
      </w:r>
    </w:p>
    <w:p w14:paraId="1464B1D9">
      <w:pPr>
        <w:spacing w:line="300" w:lineRule="exact"/>
        <w:rPr>
          <w:rFonts w:ascii="宋体"/>
          <w:b/>
          <w:color w:val="auto"/>
          <w:sz w:val="28"/>
          <w:szCs w:val="28"/>
          <w:highlight w:val="none"/>
        </w:rPr>
        <w:sectPr>
          <w:headerReference r:id="rId3" w:type="default"/>
          <w:footerReference r:id="rId4" w:type="default"/>
          <w:pgSz w:w="11906" w:h="16838"/>
          <w:pgMar w:top="1134" w:right="1417" w:bottom="1134" w:left="1417" w:header="851" w:footer="992" w:gutter="0"/>
          <w:pgNumType w:fmt="decimal"/>
          <w:cols w:space="720" w:num="1"/>
          <w:docGrid w:type="lines" w:linePitch="312" w:charSpace="0"/>
        </w:sectPr>
      </w:pPr>
    </w:p>
    <w:p w14:paraId="3719DAB8">
      <w:pPr>
        <w:pStyle w:val="4"/>
        <w:rPr>
          <w:rFonts w:hint="eastAsia"/>
          <w:color w:val="auto"/>
          <w:highlight w:val="none"/>
        </w:rPr>
      </w:pPr>
      <w:bookmarkStart w:id="5" w:name="_Toc4844"/>
      <w:bookmarkStart w:id="6" w:name="_Toc26370"/>
      <w:bookmarkStart w:id="7" w:name="_Toc7143"/>
      <w:bookmarkStart w:id="8" w:name="_Toc21247_WPSOffice_Level1"/>
      <w:bookmarkStart w:id="9" w:name="OLE_LINK3"/>
      <w:bookmarkStart w:id="10" w:name="OLE_LINK2"/>
      <w:bookmarkStart w:id="11" w:name="OLE_LINK1"/>
      <w:r>
        <w:rPr>
          <w:rFonts w:hint="eastAsia"/>
          <w:color w:val="auto"/>
          <w:highlight w:val="none"/>
        </w:rPr>
        <w:t>第一章  招标公告</w:t>
      </w:r>
      <w:bookmarkEnd w:id="5"/>
      <w:bookmarkEnd w:id="6"/>
    </w:p>
    <w:p w14:paraId="2F26FED1">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textAlignment w:val="auto"/>
        <w:rPr>
          <w:rFonts w:hint="eastAsia" w:ascii="宋体" w:hAnsi="宋体" w:eastAsia="宋体" w:cs="宋体"/>
          <w:color w:val="auto"/>
          <w:sz w:val="21"/>
          <w:szCs w:val="21"/>
          <w:highlight w:val="none"/>
        </w:rPr>
      </w:pPr>
      <w:bookmarkStart w:id="12" w:name="_Toc19211"/>
      <w:r>
        <w:rPr>
          <w:rFonts w:hint="eastAsia" w:ascii="宋体" w:hAnsi="宋体" w:cs="宋体"/>
          <w:color w:val="auto"/>
          <w:szCs w:val="21"/>
          <w:highlight w:val="none"/>
          <w:lang w:eastAsia="zh-CN"/>
        </w:rPr>
        <w:t>滁州工投</w:t>
      </w:r>
      <w:r>
        <w:rPr>
          <w:rFonts w:hint="eastAsia" w:ascii="宋体" w:hAnsi="宋体" w:cs="宋体"/>
          <w:color w:val="auto"/>
          <w:szCs w:val="21"/>
          <w:highlight w:val="none"/>
          <w:lang w:val="en-US" w:eastAsia="zh-CN"/>
        </w:rPr>
        <w:t>科技产业园</w:t>
      </w:r>
      <w:r>
        <w:rPr>
          <w:rFonts w:hint="eastAsia" w:ascii="宋体" w:hAnsi="宋体" w:cs="宋体"/>
          <w:color w:val="auto"/>
          <w:szCs w:val="21"/>
          <w:highlight w:val="none"/>
          <w:lang w:eastAsia="zh-CN"/>
        </w:rPr>
        <w:t>储能电站迁</w:t>
      </w:r>
      <w:r>
        <w:rPr>
          <w:rFonts w:hint="eastAsia" w:ascii="宋体" w:hAnsi="宋体" w:cs="宋体"/>
          <w:color w:val="auto"/>
          <w:szCs w:val="21"/>
          <w:highlight w:val="none"/>
          <w:lang w:val="en-US" w:eastAsia="zh-CN"/>
        </w:rPr>
        <w:t>改</w:t>
      </w:r>
      <w:r>
        <w:rPr>
          <w:rFonts w:hint="eastAsia" w:ascii="宋体" w:hAnsi="宋体" w:cs="宋体"/>
          <w:color w:val="auto"/>
          <w:szCs w:val="21"/>
          <w:highlight w:val="none"/>
          <w:lang w:eastAsia="zh-CN"/>
        </w:rPr>
        <w:t>项目（</w:t>
      </w:r>
      <w:bookmarkStart w:id="681" w:name="_GoBack"/>
      <w:r>
        <w:rPr>
          <w:rFonts w:hint="eastAsia" w:ascii="宋体" w:hAnsi="宋体" w:cs="宋体"/>
          <w:color w:val="auto"/>
          <w:szCs w:val="21"/>
          <w:highlight w:val="none"/>
          <w:lang w:val="en-US" w:eastAsia="zh-CN"/>
        </w:rPr>
        <w:t>三次</w:t>
      </w:r>
      <w:r>
        <w:rPr>
          <w:rFonts w:hint="eastAsia" w:ascii="宋体" w:hAnsi="宋体" w:cs="宋体"/>
          <w:color w:val="auto"/>
          <w:szCs w:val="21"/>
          <w:highlight w:val="none"/>
          <w:lang w:eastAsia="zh-CN"/>
        </w:rPr>
        <w:t>）</w:t>
      </w:r>
      <w:bookmarkEnd w:id="681"/>
      <w:r>
        <w:rPr>
          <w:rFonts w:hint="eastAsia" w:ascii="宋体" w:hAnsi="宋体" w:eastAsia="宋体" w:cs="宋体"/>
          <w:color w:val="auto"/>
          <w:sz w:val="21"/>
          <w:szCs w:val="21"/>
          <w:highlight w:val="none"/>
        </w:rPr>
        <w:t>的潜在投标人应在</w:t>
      </w:r>
      <w:r>
        <w:rPr>
          <w:rFonts w:hint="eastAsia" w:ascii="宋体" w:hAnsi="宋体" w:eastAsia="宋体" w:cs="宋体"/>
          <w:color w:val="auto"/>
          <w:sz w:val="21"/>
          <w:szCs w:val="21"/>
          <w:highlight w:val="none"/>
          <w:lang w:eastAsia="zh-CN"/>
        </w:rPr>
        <w:t>滁州市扬子工业投资集团有限公司官网</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eastAsia="zh-CN"/>
        </w:rPr>
        <w:t>http://www.czyzgtjt.com</w:t>
      </w:r>
      <w:r>
        <w:rPr>
          <w:rFonts w:hint="eastAsia" w:ascii="宋体" w:hAnsi="宋体" w:cs="宋体"/>
          <w:color w:val="auto"/>
          <w:sz w:val="21"/>
          <w:szCs w:val="21"/>
          <w:highlight w:val="none"/>
          <w:lang w:eastAsia="zh-CN"/>
        </w:rPr>
        <w:t>）</w:t>
      </w:r>
      <w:r>
        <w:rPr>
          <w:rFonts w:hint="eastAsia" w:ascii="宋体" w:hAnsi="宋体" w:eastAsia="宋体" w:cs="宋体"/>
          <w:color w:val="auto"/>
          <w:szCs w:val="21"/>
          <w:highlight w:val="none"/>
        </w:rPr>
        <w:t>公告</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 w:val="21"/>
          <w:szCs w:val="21"/>
          <w:highlight w:val="none"/>
        </w:rPr>
        <w:t>获取</w:t>
      </w:r>
      <w:r>
        <w:rPr>
          <w:rFonts w:hint="eastAsia" w:ascii="宋体" w:hAnsi="宋体" w:eastAsia="宋体" w:cs="宋体"/>
          <w:color w:val="auto"/>
          <w:sz w:val="21"/>
          <w:szCs w:val="21"/>
          <w:highlight w:val="none"/>
          <w:lang w:val="en-US" w:eastAsia="zh-CN"/>
        </w:rPr>
        <w:t>方式获取</w:t>
      </w:r>
      <w:r>
        <w:rPr>
          <w:rFonts w:hint="eastAsia" w:ascii="宋体" w:hAnsi="宋体" w:eastAsia="宋体" w:cs="宋体"/>
          <w:color w:val="auto"/>
          <w:sz w:val="21"/>
          <w:szCs w:val="21"/>
          <w:highlight w:val="none"/>
        </w:rPr>
        <w:t>招标文件，并于</w:t>
      </w: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eastAsia="zh-CN"/>
        </w:rPr>
        <w:t>月</w:t>
      </w:r>
      <w:r>
        <w:rPr>
          <w:rFonts w:hint="eastAsia" w:ascii="宋体" w:hAnsi="宋体" w:cs="宋体"/>
          <w:b/>
          <w:bCs/>
          <w:color w:val="auto"/>
          <w:sz w:val="21"/>
          <w:szCs w:val="21"/>
          <w:highlight w:val="none"/>
          <w:lang w:val="en-US" w:eastAsia="zh-CN"/>
        </w:rPr>
        <w:t>25</w:t>
      </w:r>
      <w:r>
        <w:rPr>
          <w:rFonts w:hint="eastAsia" w:ascii="宋体" w:hAnsi="宋体" w:eastAsia="宋体" w:cs="宋体"/>
          <w:b/>
          <w:bCs/>
          <w:color w:val="auto"/>
          <w:sz w:val="21"/>
          <w:szCs w:val="21"/>
          <w:highlight w:val="none"/>
          <w:lang w:eastAsia="zh-CN"/>
        </w:rPr>
        <w:t>日</w:t>
      </w:r>
      <w:r>
        <w:rPr>
          <w:rFonts w:hint="eastAsia" w:ascii="宋体" w:hAnsi="宋体" w:cs="宋体"/>
          <w:b/>
          <w:bCs/>
          <w:color w:val="auto"/>
          <w:sz w:val="21"/>
          <w:szCs w:val="21"/>
          <w:highlight w:val="none"/>
          <w:lang w:val="en-US" w:eastAsia="zh-CN"/>
        </w:rPr>
        <w:t>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 w:val="21"/>
          <w:szCs w:val="21"/>
          <w:highlight w:val="none"/>
        </w:rPr>
        <w:t>（北京时间）前递交投标文件。</w:t>
      </w:r>
    </w:p>
    <w:p w14:paraId="52E20522">
      <w:pPr>
        <w:pStyle w:val="5"/>
        <w:numPr>
          <w:ilvl w:val="1"/>
          <w:numId w:val="0"/>
        </w:numPr>
        <w:spacing w:before="93" w:beforeLines="30" w:after="93" w:afterLines="30" w:line="440" w:lineRule="exact"/>
        <w:ind w:left="431"/>
        <w:jc w:val="left"/>
        <w:rPr>
          <w:rFonts w:hint="eastAsia" w:ascii="宋体" w:hAnsi="宋体" w:cs="宋体"/>
          <w:color w:val="auto"/>
          <w:szCs w:val="24"/>
          <w:highlight w:val="none"/>
        </w:rPr>
      </w:pPr>
      <w:bookmarkStart w:id="13" w:name="_Toc23453"/>
      <w:r>
        <w:rPr>
          <w:rFonts w:hint="eastAsia" w:ascii="宋体" w:hAnsi="宋体" w:cs="宋体"/>
          <w:b/>
          <w:color w:val="auto"/>
          <w:szCs w:val="24"/>
          <w:highlight w:val="none"/>
        </w:rPr>
        <w:t>一、项目基本情况</w:t>
      </w:r>
      <w:bookmarkEnd w:id="12"/>
      <w:bookmarkEnd w:id="13"/>
    </w:p>
    <w:p w14:paraId="3B70E308">
      <w:pPr>
        <w:spacing w:line="440" w:lineRule="exact"/>
        <w:ind w:firstLine="420" w:firstLineChars="200"/>
        <w:jc w:val="left"/>
        <w:rPr>
          <w:rFonts w:hint="eastAsia" w:ascii="宋体" w:hAnsi="宋体" w:cs="宋体"/>
          <w:color w:val="auto"/>
          <w:szCs w:val="21"/>
          <w:highlight w:val="none"/>
          <w:lang w:eastAsia="zh-CN"/>
        </w:rPr>
      </w:pPr>
      <w:r>
        <w:rPr>
          <w:rFonts w:hint="eastAsia" w:ascii="宋体" w:hAnsi="宋体" w:cs="宋体"/>
          <w:color w:val="auto"/>
          <w:szCs w:val="21"/>
          <w:highlight w:val="none"/>
        </w:rPr>
        <w:t>项目名称：</w:t>
      </w:r>
      <w:r>
        <w:rPr>
          <w:rFonts w:hint="eastAsia" w:ascii="宋体" w:hAnsi="宋体" w:cs="宋体"/>
          <w:color w:val="auto"/>
          <w:szCs w:val="21"/>
          <w:highlight w:val="none"/>
          <w:lang w:eastAsia="zh-CN"/>
        </w:rPr>
        <w:t>滁州工投</w:t>
      </w:r>
      <w:r>
        <w:rPr>
          <w:rFonts w:hint="eastAsia" w:ascii="宋体" w:hAnsi="宋体" w:cs="宋体"/>
          <w:color w:val="auto"/>
          <w:szCs w:val="21"/>
          <w:highlight w:val="none"/>
          <w:lang w:val="en-US" w:eastAsia="zh-CN"/>
        </w:rPr>
        <w:t>科技产业园</w:t>
      </w:r>
      <w:r>
        <w:rPr>
          <w:rFonts w:hint="eastAsia" w:ascii="宋体" w:hAnsi="宋体" w:cs="宋体"/>
          <w:color w:val="auto"/>
          <w:szCs w:val="21"/>
          <w:highlight w:val="none"/>
          <w:lang w:eastAsia="zh-CN"/>
        </w:rPr>
        <w:t>储能电站迁</w:t>
      </w:r>
      <w:r>
        <w:rPr>
          <w:rFonts w:hint="eastAsia" w:ascii="宋体" w:hAnsi="宋体" w:cs="宋体"/>
          <w:color w:val="auto"/>
          <w:szCs w:val="21"/>
          <w:highlight w:val="none"/>
          <w:lang w:val="en-US" w:eastAsia="zh-CN"/>
        </w:rPr>
        <w:t>改</w:t>
      </w:r>
      <w:r>
        <w:rPr>
          <w:rFonts w:hint="eastAsia" w:ascii="宋体" w:hAnsi="宋体" w:cs="宋体"/>
          <w:color w:val="auto"/>
          <w:szCs w:val="21"/>
          <w:highlight w:val="none"/>
          <w:lang w:eastAsia="zh-CN"/>
        </w:rPr>
        <w:t>项目（</w:t>
      </w:r>
      <w:r>
        <w:rPr>
          <w:rFonts w:hint="eastAsia" w:ascii="宋体" w:hAnsi="宋体" w:cs="宋体"/>
          <w:color w:val="auto"/>
          <w:szCs w:val="21"/>
          <w:highlight w:val="none"/>
          <w:lang w:val="en-US" w:eastAsia="zh-CN"/>
        </w:rPr>
        <w:t>三次</w:t>
      </w:r>
      <w:r>
        <w:rPr>
          <w:rFonts w:hint="eastAsia" w:ascii="宋体" w:hAnsi="宋体" w:cs="宋体"/>
          <w:color w:val="auto"/>
          <w:szCs w:val="21"/>
          <w:highlight w:val="none"/>
          <w:lang w:eastAsia="zh-CN"/>
        </w:rPr>
        <w:t>）</w:t>
      </w:r>
    </w:p>
    <w:p w14:paraId="2E54F046">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cs="宋体"/>
          <w:color w:val="auto"/>
          <w:szCs w:val="21"/>
          <w:highlight w:val="none"/>
        </w:rPr>
        <w:t>预算金</w:t>
      </w:r>
      <w:r>
        <w:rPr>
          <w:rFonts w:hint="eastAsia" w:ascii="宋体" w:hAnsi="宋体" w:eastAsia="宋体" w:cs="宋体"/>
          <w:color w:val="auto"/>
          <w:szCs w:val="21"/>
          <w:highlight w:val="none"/>
        </w:rPr>
        <w:t>额：</w:t>
      </w:r>
      <w:r>
        <w:rPr>
          <w:rFonts w:hint="eastAsia" w:ascii="宋体" w:hAnsi="宋体" w:cs="宋体"/>
          <w:color w:val="auto"/>
          <w:szCs w:val="21"/>
          <w:highlight w:val="none"/>
          <w:lang w:val="en-US" w:eastAsia="zh-CN"/>
        </w:rPr>
        <w:t>3.8万元</w:t>
      </w:r>
      <w:r>
        <w:rPr>
          <w:rFonts w:hint="eastAsia" w:ascii="宋体" w:hAnsi="宋体" w:cs="宋体"/>
          <w:color w:val="auto"/>
          <w:kern w:val="0"/>
          <w:szCs w:val="21"/>
          <w:highlight w:val="none"/>
          <w:lang w:val="en-US" w:eastAsia="zh-CN"/>
        </w:rPr>
        <w:t>（含税）</w:t>
      </w:r>
    </w:p>
    <w:p w14:paraId="1AF585A6">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最高限价：</w:t>
      </w:r>
      <w:r>
        <w:rPr>
          <w:rFonts w:hint="eastAsia" w:ascii="宋体" w:hAnsi="宋体" w:cs="宋体"/>
          <w:color w:val="auto"/>
          <w:szCs w:val="21"/>
          <w:highlight w:val="none"/>
          <w:lang w:val="en-US" w:eastAsia="zh-CN"/>
        </w:rPr>
        <w:t>3.8万元</w:t>
      </w:r>
      <w:r>
        <w:rPr>
          <w:rFonts w:hint="eastAsia" w:ascii="宋体" w:hAnsi="宋体" w:cs="宋体"/>
          <w:color w:val="auto"/>
          <w:kern w:val="0"/>
          <w:szCs w:val="21"/>
          <w:highlight w:val="none"/>
          <w:lang w:val="en-US" w:eastAsia="zh-CN"/>
        </w:rPr>
        <w:t>（含税），高于最高投标限价的，按无效标处理</w:t>
      </w:r>
      <w:r>
        <w:rPr>
          <w:rFonts w:hint="eastAsia" w:ascii="宋体" w:hAnsi="宋体" w:eastAsia="宋体" w:cs="宋体"/>
          <w:color w:val="auto"/>
          <w:szCs w:val="21"/>
          <w:highlight w:val="none"/>
        </w:rPr>
        <w:t>。</w:t>
      </w:r>
    </w:p>
    <w:p w14:paraId="284C067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采购需求：详见《采购需求及技术参数要求》</w:t>
      </w:r>
    </w:p>
    <w:p w14:paraId="25C6A4AA">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合同履行期限：自合同签订之日起</w:t>
      </w:r>
      <w:r>
        <w:rPr>
          <w:rFonts w:hint="eastAsia" w:ascii="宋体" w:hAnsi="宋体" w:cs="宋体"/>
          <w:color w:val="auto"/>
          <w:szCs w:val="21"/>
          <w:highlight w:val="none"/>
          <w:lang w:val="en-US" w:eastAsia="zh-CN"/>
        </w:rPr>
        <w:t>10个日历天</w:t>
      </w:r>
      <w:r>
        <w:rPr>
          <w:rFonts w:hint="eastAsia" w:ascii="宋体" w:hAnsi="宋体" w:cs="宋体"/>
          <w:color w:val="auto"/>
          <w:szCs w:val="21"/>
          <w:highlight w:val="none"/>
        </w:rPr>
        <w:t>内</w:t>
      </w:r>
      <w:r>
        <w:rPr>
          <w:rFonts w:hint="eastAsia" w:ascii="宋体" w:hAnsi="宋体" w:cs="宋体"/>
          <w:color w:val="auto"/>
          <w:szCs w:val="21"/>
          <w:highlight w:val="none"/>
          <w:lang w:val="en-US" w:eastAsia="zh-CN"/>
        </w:rPr>
        <w:t>完成迁移、</w:t>
      </w:r>
      <w:r>
        <w:rPr>
          <w:rFonts w:hint="eastAsia" w:ascii="宋体" w:hAnsi="宋体" w:cs="宋体"/>
          <w:color w:val="auto"/>
          <w:szCs w:val="21"/>
          <w:highlight w:val="none"/>
        </w:rPr>
        <w:t>安装、调试及验收完成</w:t>
      </w:r>
      <w:r>
        <w:rPr>
          <w:rFonts w:hint="eastAsia" w:hAnsi="宋体" w:cs="宋体"/>
          <w:color w:val="auto"/>
          <w:szCs w:val="21"/>
          <w:highlight w:val="none"/>
        </w:rPr>
        <w:t>。</w:t>
      </w:r>
      <w:r>
        <w:rPr>
          <w:rFonts w:hint="eastAsia" w:ascii="宋体" w:hAnsi="宋体" w:eastAsia="宋体" w:cs="宋体"/>
          <w:color w:val="auto"/>
          <w:szCs w:val="21"/>
          <w:highlight w:val="none"/>
          <w:lang w:val="en-US" w:eastAsia="zh-CN"/>
        </w:rPr>
        <w:t>投标人自报的承诺工期为考核标准，每推迟一天，按</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00 元/天处以违约金。</w:t>
      </w:r>
    </w:p>
    <w:p w14:paraId="4E9D194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本项目不接受联合体投标。</w:t>
      </w:r>
    </w:p>
    <w:p w14:paraId="216DA148">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14" w:name="_Toc15472"/>
      <w:bookmarkStart w:id="15" w:name="_Toc28359080"/>
      <w:bookmarkStart w:id="16" w:name="_Toc35393622"/>
      <w:bookmarkStart w:id="17" w:name="_Toc58430306"/>
      <w:bookmarkStart w:id="18" w:name="_Toc35393791"/>
      <w:bookmarkStart w:id="19" w:name="_Toc2663"/>
      <w:bookmarkStart w:id="20" w:name="_Toc28359003"/>
      <w:r>
        <w:rPr>
          <w:rFonts w:hint="eastAsia" w:ascii="宋体" w:hAnsi="宋体" w:cs="宋体"/>
          <w:b/>
          <w:color w:val="auto"/>
          <w:szCs w:val="24"/>
          <w:highlight w:val="none"/>
        </w:rPr>
        <w:t>二、申请人的资格要求</w:t>
      </w:r>
      <w:bookmarkEnd w:id="14"/>
      <w:bookmarkEnd w:id="15"/>
      <w:bookmarkEnd w:id="16"/>
      <w:bookmarkEnd w:id="17"/>
      <w:bookmarkEnd w:id="18"/>
      <w:bookmarkEnd w:id="19"/>
      <w:bookmarkEnd w:id="20"/>
    </w:p>
    <w:p w14:paraId="39E3A055">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企业资格</w:t>
      </w:r>
      <w:r>
        <w:rPr>
          <w:rFonts w:hint="eastAsia" w:ascii="宋体" w:hAnsi="宋体" w:eastAsia="宋体" w:cs="宋体"/>
          <w:color w:val="auto"/>
          <w:szCs w:val="21"/>
          <w:highlight w:val="none"/>
        </w:rPr>
        <w:t>要求：</w:t>
      </w:r>
      <w:bookmarkStart w:id="21" w:name="_Toc28359004"/>
      <w:bookmarkStart w:id="22" w:name="_Toc28359081"/>
    </w:p>
    <w:p w14:paraId="1CA14FCC">
      <w:pPr>
        <w:spacing w:line="440" w:lineRule="exact"/>
        <w:ind w:firstLine="420" w:firstLineChars="200"/>
        <w:jc w:val="left"/>
        <w:rPr>
          <w:rFonts w:hint="eastAsia"/>
          <w:color w:val="auto"/>
          <w:highlight w:val="none"/>
          <w:lang w:val="en-US" w:eastAsia="zh-CN"/>
        </w:rPr>
      </w:pPr>
      <w:r>
        <w:rPr>
          <w:rFonts w:hint="eastAsia" w:ascii="宋体" w:hAnsi="宋体" w:cs="宋体"/>
          <w:color w:val="auto"/>
          <w:szCs w:val="21"/>
          <w:highlight w:val="none"/>
          <w:lang w:val="en-US" w:eastAsia="zh-CN"/>
        </w:rPr>
        <w:t>①</w:t>
      </w:r>
      <w:r>
        <w:rPr>
          <w:rFonts w:hint="eastAsia"/>
          <w:color w:val="auto"/>
          <w:highlight w:val="none"/>
          <w:lang w:val="en-US" w:eastAsia="zh-CN"/>
        </w:rPr>
        <w:t>投标人须具有独立法人资格，具有合法有效的营业执照、组织机构代码证、税务登记证（或三证合一的营业执照）；</w:t>
      </w:r>
    </w:p>
    <w:p w14:paraId="0E3AE2A4">
      <w:pPr>
        <w:spacing w:line="440" w:lineRule="exact"/>
        <w:ind w:firstLine="420" w:firstLineChars="200"/>
        <w:jc w:val="left"/>
        <w:rPr>
          <w:rFonts w:hint="default"/>
          <w:color w:val="auto"/>
          <w:highlight w:val="none"/>
          <w:lang w:val="en-US" w:eastAsia="zh-CN"/>
        </w:rPr>
      </w:pPr>
      <w:r>
        <w:rPr>
          <w:rFonts w:hint="eastAsia"/>
          <w:color w:val="auto"/>
          <w:highlight w:val="none"/>
          <w:lang w:val="en-US" w:eastAsia="zh-CN"/>
        </w:rPr>
        <w:t>②投标人具有电力工程施工总承包三级及以上资质和行业主管部门颁发的承装（修、试）电力设施许可证五级及以上等相关资质；</w:t>
      </w:r>
    </w:p>
    <w:p w14:paraId="47786335">
      <w:pPr>
        <w:spacing w:line="440" w:lineRule="exact"/>
        <w:ind w:firstLine="420" w:firstLineChars="200"/>
        <w:jc w:val="left"/>
        <w:rPr>
          <w:rFonts w:hint="eastAsia" w:ascii="宋体" w:hAnsi="宋体" w:cs="宋体"/>
          <w:color w:val="auto"/>
          <w:szCs w:val="21"/>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、信誉要求：投标人</w:t>
      </w:r>
      <w:r>
        <w:rPr>
          <w:rFonts w:hint="eastAsia" w:ascii="宋体" w:hAnsi="宋体" w:cs="宋体"/>
          <w:color w:val="auto"/>
          <w:szCs w:val="21"/>
          <w:highlight w:val="none"/>
        </w:rPr>
        <w:t>不得存在以下情形：</w:t>
      </w:r>
    </w:p>
    <w:p w14:paraId="2D1686C3">
      <w:pPr>
        <w:spacing w:line="440" w:lineRule="exact"/>
        <w:ind w:firstLine="420" w:firstLineChars="200"/>
        <w:jc w:val="left"/>
        <w:rPr>
          <w:rFonts w:hint="eastAsia" w:ascii="宋体" w:hAnsi="宋体" w:eastAsia="宋体" w:cs="宋体"/>
          <w:color w:val="auto"/>
          <w:sz w:val="21"/>
          <w:szCs w:val="21"/>
          <w:highlight w:val="none"/>
          <w:lang w:val="en-US" w:eastAsia="zh-CN"/>
        </w:rPr>
      </w:pPr>
      <w:bookmarkStart w:id="23" w:name="_Toc35393623"/>
      <w:bookmarkStart w:id="24" w:name="_Toc58430307"/>
      <w:bookmarkStart w:id="25" w:name="_Toc348"/>
      <w:bookmarkStart w:id="26" w:name="_Toc35393792"/>
      <w:r>
        <w:rPr>
          <w:rFonts w:hint="eastAsia" w:ascii="宋体" w:hAnsi="宋体" w:eastAsia="宋体" w:cs="宋体"/>
          <w:color w:val="auto"/>
          <w:sz w:val="21"/>
          <w:szCs w:val="21"/>
          <w:highlight w:val="none"/>
          <w:lang w:val="en-US" w:eastAsia="zh-CN"/>
        </w:rPr>
        <w:t>①投标人被人民法院列入失信被执行人的；</w:t>
      </w:r>
    </w:p>
    <w:p w14:paraId="31EF741E">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②投标人或其法定代表人或拟派项目经理（项目负责人）前三年有行贿犯罪行为的；</w:t>
      </w:r>
    </w:p>
    <w:p w14:paraId="31EF0FB8">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③投标人被市场监督管理部门列入经营异常名录或者严重违法企业名单的；</w:t>
      </w:r>
    </w:p>
    <w:p w14:paraId="2DF6A0EB">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④投标人被税务部门列入重大税收违法案件当事人的；</w:t>
      </w:r>
    </w:p>
    <w:p w14:paraId="67207939">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⑤投标人被政府采购监管部门列入政府采购严重违法失信行为记录名单的；</w:t>
      </w:r>
    </w:p>
    <w:p w14:paraId="12AF4899">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⑥在“信用中国”网站上披露仍在公示期的严重失信行为的；</w:t>
      </w:r>
    </w:p>
    <w:p w14:paraId="5964DBD0">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3、投标人所属分公司、办事处等分支机构存在第2款信誉要求①-⑥项情形之一的，不接受投标人参加本项目。</w:t>
      </w:r>
    </w:p>
    <w:p w14:paraId="4ADEA457">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备注：第2、3条按照“关于联合惩戒失信行为加强信用查询管理的通知”查询或承诺。</w:t>
      </w:r>
    </w:p>
    <w:p w14:paraId="1346CE6D">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27" w:name="_Toc3924"/>
      <w:r>
        <w:rPr>
          <w:rFonts w:hint="eastAsia" w:ascii="宋体" w:hAnsi="宋体" w:cs="宋体"/>
          <w:b/>
          <w:color w:val="auto"/>
          <w:szCs w:val="24"/>
          <w:highlight w:val="none"/>
        </w:rPr>
        <w:t>三、获取招标文件</w:t>
      </w:r>
      <w:bookmarkEnd w:id="21"/>
      <w:bookmarkEnd w:id="22"/>
      <w:bookmarkEnd w:id="23"/>
      <w:bookmarkEnd w:id="24"/>
      <w:bookmarkEnd w:id="25"/>
      <w:bookmarkEnd w:id="26"/>
      <w:bookmarkEnd w:id="27"/>
    </w:p>
    <w:p w14:paraId="00317AF9">
      <w:pPr>
        <w:spacing w:line="440" w:lineRule="exact"/>
        <w:ind w:firstLine="420" w:firstLineChars="200"/>
        <w:jc w:val="left"/>
        <w:rPr>
          <w:rFonts w:hint="eastAsia" w:ascii="宋体" w:hAnsi="宋体" w:eastAsia="宋体" w:cs="宋体"/>
          <w:color w:val="auto"/>
          <w:szCs w:val="21"/>
          <w:highlight w:val="none"/>
          <w:lang w:eastAsia="zh-CN"/>
        </w:rPr>
      </w:pPr>
      <w:bookmarkStart w:id="28" w:name="_Toc28359005"/>
      <w:bookmarkStart w:id="29" w:name="_Toc28359082"/>
      <w:bookmarkStart w:id="30" w:name="_Toc21400"/>
      <w:bookmarkStart w:id="31" w:name="_Toc35393624"/>
      <w:bookmarkStart w:id="32" w:name="_Toc22285"/>
      <w:bookmarkStart w:id="33" w:name="_Toc58430308"/>
      <w:bookmarkStart w:id="34" w:name="_Toc35393793"/>
      <w:r>
        <w:rPr>
          <w:rFonts w:hint="eastAsia" w:ascii="宋体" w:hAnsi="宋体" w:eastAsia="宋体" w:cs="宋体"/>
          <w:color w:val="auto"/>
          <w:szCs w:val="21"/>
          <w:highlight w:val="none"/>
          <w:lang w:eastAsia="zh-CN"/>
        </w:rPr>
        <w:t>潜在投标人从滁州市扬子工业投资集团有限公司官网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下载</w:t>
      </w:r>
      <w:r>
        <w:rPr>
          <w:rFonts w:hint="eastAsia" w:ascii="宋体" w:hAnsi="宋体" w:cs="宋体"/>
          <w:color w:val="auto"/>
          <w:szCs w:val="21"/>
          <w:highlight w:val="none"/>
          <w:lang w:eastAsia="zh-CN"/>
        </w:rPr>
        <w:t>。</w:t>
      </w:r>
    </w:p>
    <w:p w14:paraId="2807F1C8">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r>
        <w:rPr>
          <w:rFonts w:hint="eastAsia" w:ascii="宋体" w:hAnsi="宋体" w:cs="宋体"/>
          <w:b/>
          <w:color w:val="auto"/>
          <w:szCs w:val="24"/>
          <w:highlight w:val="none"/>
        </w:rPr>
        <w:t>四、提交投标文件</w:t>
      </w:r>
      <w:bookmarkEnd w:id="28"/>
      <w:bookmarkEnd w:id="29"/>
      <w:r>
        <w:rPr>
          <w:rFonts w:hint="eastAsia" w:ascii="宋体" w:hAnsi="宋体" w:cs="宋体"/>
          <w:b/>
          <w:color w:val="auto"/>
          <w:szCs w:val="24"/>
          <w:highlight w:val="none"/>
        </w:rPr>
        <w:t>截止时间、开标时间和地点</w:t>
      </w:r>
      <w:bookmarkEnd w:id="30"/>
      <w:bookmarkEnd w:id="31"/>
      <w:bookmarkEnd w:id="32"/>
      <w:bookmarkEnd w:id="33"/>
      <w:bookmarkEnd w:id="34"/>
    </w:p>
    <w:p w14:paraId="34260359">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投标文件截止</w:t>
      </w:r>
      <w:r>
        <w:rPr>
          <w:rFonts w:hint="eastAsia" w:ascii="宋体" w:hAnsi="宋体" w:eastAsia="宋体" w:cs="宋体"/>
          <w:color w:val="auto"/>
          <w:szCs w:val="21"/>
          <w:highlight w:val="none"/>
          <w:lang w:val="en-US" w:eastAsia="zh-CN"/>
        </w:rPr>
        <w:t>时间：</w:t>
      </w:r>
      <w:r>
        <w:rPr>
          <w:rFonts w:hint="eastAsia" w:ascii="宋体" w:hAnsi="宋体" w:eastAsia="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eastAsia="zh-CN"/>
        </w:rPr>
        <w:t>年</w:t>
      </w:r>
      <w:r>
        <w:rPr>
          <w:rFonts w:hint="eastAsia" w:ascii="宋体" w:hAnsi="宋体" w:cs="宋体"/>
          <w:color w:val="auto"/>
          <w:szCs w:val="21"/>
          <w:highlight w:val="none"/>
          <w:lang w:val="en-US" w:eastAsia="zh-CN"/>
        </w:rPr>
        <w:t>4月25日10</w:t>
      </w:r>
      <w:r>
        <w:rPr>
          <w:rFonts w:hint="eastAsia" w:ascii="宋体" w:hAnsi="宋体" w:eastAsia="宋体" w:cs="宋体"/>
          <w:color w:val="auto"/>
          <w:szCs w:val="21"/>
          <w:highlight w:val="none"/>
          <w:lang w:eastAsia="zh-CN"/>
        </w:rPr>
        <w:t>点</w:t>
      </w:r>
      <w:r>
        <w:rPr>
          <w:rFonts w:hint="eastAsia" w:ascii="宋体" w:hAnsi="宋体" w:cs="宋体"/>
          <w:color w:val="auto"/>
          <w:szCs w:val="21"/>
          <w:highlight w:val="none"/>
          <w:lang w:val="en-US" w:eastAsia="zh-CN"/>
        </w:rPr>
        <w:t>00</w:t>
      </w:r>
      <w:r>
        <w:rPr>
          <w:rFonts w:hint="eastAsia" w:ascii="宋体" w:hAnsi="宋体" w:eastAsia="宋体" w:cs="宋体"/>
          <w:color w:val="auto"/>
          <w:szCs w:val="21"/>
          <w:highlight w:val="none"/>
          <w:lang w:eastAsia="zh-CN"/>
        </w:rPr>
        <w:t>分（北京时间）</w:t>
      </w:r>
    </w:p>
    <w:p w14:paraId="34A301A4">
      <w:pPr>
        <w:spacing w:line="440" w:lineRule="exact"/>
        <w:ind w:firstLine="420" w:firstLineChars="200"/>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投标文件递交</w:t>
      </w:r>
      <w:r>
        <w:rPr>
          <w:rFonts w:hint="eastAsia" w:ascii="宋体" w:hAnsi="宋体" w:cs="宋体"/>
          <w:color w:val="auto"/>
          <w:szCs w:val="21"/>
          <w:highlight w:val="none"/>
        </w:rPr>
        <w:t>地点：</w:t>
      </w:r>
      <w:r>
        <w:rPr>
          <w:rFonts w:hint="eastAsia"/>
          <w:highlight w:val="none"/>
          <w:lang w:val="en-US" w:eastAsia="zh-CN"/>
        </w:rPr>
        <w:t>滁州市醉翁路与中都大道交口城投大厦1310会议室</w:t>
      </w:r>
    </w:p>
    <w:p w14:paraId="4C16358E">
      <w:pPr>
        <w:spacing w:line="440" w:lineRule="exact"/>
        <w:ind w:firstLine="420" w:firstLineChars="200"/>
        <w:jc w:val="left"/>
        <w:rPr>
          <w:rFonts w:hint="eastAsia"/>
          <w:highlight w:val="none"/>
          <w:lang w:val="en-US" w:eastAsia="zh-CN"/>
        </w:rPr>
      </w:pPr>
      <w:r>
        <w:rPr>
          <w:rFonts w:hint="eastAsia"/>
          <w:highlight w:val="none"/>
          <w:lang w:val="en-US" w:eastAsia="zh-CN"/>
        </w:rPr>
        <w:t>开标时间：2025年4月25日10点00分（北京时间）</w:t>
      </w:r>
    </w:p>
    <w:p w14:paraId="7CB7FEDB">
      <w:pPr>
        <w:spacing w:line="440" w:lineRule="exact"/>
        <w:ind w:firstLine="420" w:firstLineChars="200"/>
        <w:jc w:val="left"/>
        <w:rPr>
          <w:rFonts w:hint="default"/>
          <w:highlight w:val="none"/>
          <w:lang w:val="en-US" w:eastAsia="zh-CN"/>
        </w:rPr>
      </w:pPr>
      <w:r>
        <w:rPr>
          <w:rFonts w:hint="eastAsia"/>
          <w:highlight w:val="none"/>
          <w:lang w:val="en-US" w:eastAsia="zh-CN"/>
        </w:rPr>
        <w:t>开标地点：滁州市醉翁路与中都大道交口城投大厦1310会议室</w:t>
      </w:r>
    </w:p>
    <w:p w14:paraId="5B9EA75E">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35" w:name="_Toc28451"/>
      <w:bookmarkStart w:id="36" w:name="_Toc28359007"/>
      <w:bookmarkStart w:id="37" w:name="_Toc35393794"/>
      <w:bookmarkStart w:id="38" w:name="_Toc35393625"/>
      <w:bookmarkStart w:id="39" w:name="_Toc58430309"/>
      <w:bookmarkStart w:id="40" w:name="_Toc28359084"/>
      <w:bookmarkStart w:id="41" w:name="_Toc22843"/>
      <w:r>
        <w:rPr>
          <w:rFonts w:hint="eastAsia" w:ascii="宋体" w:hAnsi="宋体" w:cs="宋体"/>
          <w:b/>
          <w:color w:val="auto"/>
          <w:szCs w:val="24"/>
          <w:highlight w:val="none"/>
        </w:rPr>
        <w:t>五、公告期限</w:t>
      </w:r>
      <w:bookmarkEnd w:id="35"/>
      <w:bookmarkEnd w:id="36"/>
      <w:bookmarkEnd w:id="37"/>
      <w:bookmarkEnd w:id="38"/>
      <w:bookmarkEnd w:id="39"/>
      <w:bookmarkEnd w:id="40"/>
      <w:bookmarkEnd w:id="41"/>
    </w:p>
    <w:p w14:paraId="2E50B3E1">
      <w:pPr>
        <w:tabs>
          <w:tab w:val="left" w:pos="5670"/>
        </w:tabs>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2025年4月15日—2025年4月25日</w:t>
      </w:r>
      <w:r>
        <w:rPr>
          <w:rFonts w:hint="eastAsia" w:ascii="宋体" w:hAnsi="宋体" w:cs="宋体"/>
          <w:color w:val="auto"/>
          <w:kern w:val="0"/>
          <w:szCs w:val="21"/>
          <w:highlight w:val="none"/>
        </w:rPr>
        <w:t>。</w:t>
      </w:r>
    </w:p>
    <w:p w14:paraId="1B901FA6">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42" w:name="_Toc58430310"/>
      <w:bookmarkStart w:id="43" w:name="_Toc3884"/>
      <w:bookmarkStart w:id="44" w:name="_Toc28706"/>
      <w:r>
        <w:rPr>
          <w:rFonts w:hint="eastAsia" w:ascii="宋体" w:hAnsi="宋体" w:cs="宋体"/>
          <w:b/>
          <w:color w:val="auto"/>
          <w:szCs w:val="24"/>
          <w:highlight w:val="none"/>
        </w:rPr>
        <w:t>六、投标保证金金额及缴纳账户</w:t>
      </w:r>
      <w:bookmarkEnd w:id="42"/>
      <w:bookmarkEnd w:id="43"/>
      <w:bookmarkEnd w:id="44"/>
    </w:p>
    <w:p w14:paraId="708D320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本项目不要求提交投标保证金。</w:t>
      </w:r>
    </w:p>
    <w:p w14:paraId="4EBC0F8C">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45" w:name="_Toc35393626"/>
      <w:bookmarkStart w:id="46" w:name="_Toc58430311"/>
      <w:bookmarkStart w:id="47" w:name="_Toc7564"/>
      <w:bookmarkStart w:id="48" w:name="_Toc35393795"/>
      <w:bookmarkStart w:id="49" w:name="_Toc5123"/>
      <w:r>
        <w:rPr>
          <w:rFonts w:hint="eastAsia" w:ascii="宋体" w:hAnsi="宋体" w:cs="宋体"/>
          <w:b/>
          <w:color w:val="auto"/>
          <w:szCs w:val="24"/>
          <w:highlight w:val="none"/>
        </w:rPr>
        <w:t>七、</w:t>
      </w:r>
      <w:bookmarkEnd w:id="45"/>
      <w:bookmarkEnd w:id="46"/>
      <w:bookmarkEnd w:id="47"/>
      <w:bookmarkEnd w:id="48"/>
      <w:bookmarkStart w:id="50" w:name="_Toc58430312"/>
      <w:bookmarkStart w:id="51" w:name="_Toc8092"/>
      <w:r>
        <w:rPr>
          <w:rFonts w:hint="eastAsia" w:ascii="宋体" w:hAnsi="宋体" w:cs="宋体"/>
          <w:b/>
          <w:color w:val="auto"/>
          <w:szCs w:val="24"/>
          <w:highlight w:val="none"/>
        </w:rPr>
        <w:t>对本次招标提出询问，请按以下方式联系</w:t>
      </w:r>
      <w:bookmarkEnd w:id="49"/>
      <w:bookmarkEnd w:id="50"/>
      <w:bookmarkEnd w:id="51"/>
    </w:p>
    <w:p w14:paraId="7E0E319A">
      <w:pPr>
        <w:pStyle w:val="5"/>
        <w:numPr>
          <w:ilvl w:val="1"/>
          <w:numId w:val="0"/>
        </w:numPr>
        <w:adjustRightInd/>
        <w:spacing w:line="440" w:lineRule="exact"/>
        <w:ind w:left="-199" w:leftChars="-95" w:firstLine="422"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w:t>
      </w:r>
      <w:bookmarkStart w:id="52" w:name="_Toc24540"/>
      <w:bookmarkStart w:id="53" w:name="_Toc6257"/>
      <w:r>
        <w:rPr>
          <w:rFonts w:hint="eastAsia" w:ascii="宋体" w:hAnsi="宋体" w:cs="宋体"/>
          <w:color w:val="auto"/>
          <w:sz w:val="21"/>
          <w:szCs w:val="21"/>
          <w:highlight w:val="none"/>
          <w:lang w:eastAsia="zh-CN"/>
        </w:rPr>
        <w:t>招标人</w:t>
      </w:r>
      <w:r>
        <w:rPr>
          <w:rFonts w:hint="eastAsia" w:ascii="宋体" w:hAnsi="宋体" w:cs="宋体"/>
          <w:color w:val="auto"/>
          <w:sz w:val="21"/>
          <w:szCs w:val="21"/>
          <w:highlight w:val="none"/>
        </w:rPr>
        <w:t>信息</w:t>
      </w:r>
      <w:bookmarkEnd w:id="52"/>
      <w:bookmarkEnd w:id="53"/>
    </w:p>
    <w:p w14:paraId="6B058BC9">
      <w:pPr>
        <w:spacing w:line="440" w:lineRule="exact"/>
        <w:ind w:left="-199" w:leftChars="-95" w:firstLine="630" w:firstLineChars="300"/>
        <w:jc w:val="left"/>
        <w:rPr>
          <w:rFonts w:hint="eastAsia" w:ascii="宋体" w:hAnsi="宋体" w:eastAsia="宋体" w:cs="宋体"/>
          <w:color w:val="auto"/>
          <w:szCs w:val="21"/>
          <w:highlight w:val="none"/>
          <w:lang w:eastAsia="zh-CN"/>
        </w:rPr>
      </w:pPr>
      <w:bookmarkStart w:id="54" w:name="_Toc5910"/>
      <w:bookmarkStart w:id="55" w:name="_Toc4516"/>
      <w:r>
        <w:rPr>
          <w:rFonts w:hint="eastAsia" w:ascii="宋体" w:hAnsi="宋体" w:eastAsia="宋体" w:cs="宋体"/>
          <w:color w:val="auto"/>
          <w:szCs w:val="21"/>
          <w:highlight w:val="none"/>
        </w:rPr>
        <w:t>招标人名称：</w:t>
      </w:r>
      <w:r>
        <w:rPr>
          <w:rFonts w:hint="eastAsia" w:ascii="宋体" w:hAnsi="宋体" w:eastAsia="宋体" w:cs="宋体"/>
          <w:color w:val="auto"/>
          <w:szCs w:val="21"/>
          <w:highlight w:val="none"/>
          <w:u w:val="single"/>
          <w:lang w:eastAsia="zh-CN"/>
        </w:rPr>
        <w:t>滁州工投新能源开发有限公司</w:t>
      </w:r>
    </w:p>
    <w:p w14:paraId="5CC50C8B">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地址：</w:t>
      </w:r>
      <w:r>
        <w:rPr>
          <w:rFonts w:hint="eastAsia" w:ascii="宋体" w:hAnsi="宋体" w:cs="宋体"/>
          <w:color w:val="auto"/>
          <w:szCs w:val="21"/>
          <w:highlight w:val="none"/>
        </w:rPr>
        <w:t>滁州市</w:t>
      </w:r>
      <w:r>
        <w:rPr>
          <w:rFonts w:hint="eastAsia" w:ascii="宋体" w:hAnsi="宋体" w:cs="宋体"/>
          <w:color w:val="auto"/>
          <w:szCs w:val="21"/>
          <w:highlight w:val="none"/>
          <w:lang w:val="en-US" w:eastAsia="zh-CN"/>
        </w:rPr>
        <w:t>苏滁开发区工投科技产业园综合办公楼3楼316室</w:t>
      </w:r>
    </w:p>
    <w:p w14:paraId="3C920640">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联系人：李</w:t>
      </w:r>
      <w:r>
        <w:rPr>
          <w:rFonts w:hint="eastAsia" w:ascii="宋体" w:hAnsi="宋体" w:cs="宋体"/>
          <w:color w:val="auto"/>
          <w:szCs w:val="21"/>
          <w:highlight w:val="none"/>
          <w:u w:val="single"/>
          <w:lang w:val="en-US" w:eastAsia="zh-CN"/>
        </w:rPr>
        <w:t>工</w:t>
      </w:r>
    </w:p>
    <w:p w14:paraId="65EA7050">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联系方式：</w:t>
      </w:r>
      <w:r>
        <w:rPr>
          <w:rFonts w:hint="eastAsia" w:ascii="宋体" w:hAnsi="宋体" w:cs="宋体"/>
          <w:color w:val="auto"/>
          <w:szCs w:val="21"/>
          <w:highlight w:val="none"/>
          <w:lang w:val="en-US" w:eastAsia="zh-CN"/>
        </w:rPr>
        <w:t>19355082836</w:t>
      </w:r>
    </w:p>
    <w:p w14:paraId="0BB465E9">
      <w:pPr>
        <w:spacing w:line="440" w:lineRule="exact"/>
        <w:ind w:left="-199" w:leftChars="-95" w:firstLine="630" w:firstLineChars="300"/>
        <w:jc w:val="left"/>
        <w:rPr>
          <w:rFonts w:hint="default" w:ascii="宋体" w:hAnsi="宋体" w:eastAsia="宋体" w:cs="宋体"/>
          <w:color w:val="auto"/>
          <w:szCs w:val="21"/>
          <w:highlight w:val="none"/>
          <w:u w:val="single"/>
          <w:lang w:val="en-US" w:eastAsia="zh-CN"/>
        </w:rPr>
      </w:pPr>
      <w:r>
        <w:rPr>
          <w:rFonts w:hint="eastAsia" w:ascii="宋体" w:hAnsi="宋体" w:eastAsia="宋体" w:cs="宋体"/>
          <w:color w:val="auto"/>
          <w:szCs w:val="21"/>
          <w:highlight w:val="none"/>
          <w:lang w:eastAsia="zh-CN"/>
        </w:rPr>
        <w:t>监督电话：</w:t>
      </w:r>
      <w:r>
        <w:rPr>
          <w:rFonts w:hint="eastAsia" w:ascii="宋体" w:hAnsi="宋体" w:eastAsia="宋体" w:cs="宋体"/>
          <w:color w:val="auto"/>
          <w:szCs w:val="21"/>
          <w:highlight w:val="none"/>
          <w:u w:val="single"/>
          <w:lang w:val="en-US" w:eastAsia="zh-CN"/>
        </w:rPr>
        <w:t>0550-3017855</w:t>
      </w:r>
    </w:p>
    <w:bookmarkEnd w:id="54"/>
    <w:bookmarkEnd w:id="55"/>
    <w:p w14:paraId="5C209B4E">
      <w:pPr>
        <w:pStyle w:val="4"/>
        <w:bidi w:val="0"/>
        <w:rPr>
          <w:rFonts w:hint="eastAsia"/>
          <w:color w:val="auto"/>
          <w:highlight w:val="none"/>
        </w:rPr>
      </w:pPr>
      <w:bookmarkStart w:id="56" w:name="_Toc9935"/>
    </w:p>
    <w:p w14:paraId="173FA9C3">
      <w:pPr>
        <w:pStyle w:val="4"/>
        <w:bidi w:val="0"/>
        <w:rPr>
          <w:rFonts w:hint="eastAsia"/>
          <w:color w:val="auto"/>
          <w:highlight w:val="none"/>
        </w:rPr>
      </w:pPr>
    </w:p>
    <w:p w14:paraId="61E72921">
      <w:pPr>
        <w:pStyle w:val="4"/>
        <w:bidi w:val="0"/>
        <w:rPr>
          <w:rFonts w:hint="eastAsia"/>
          <w:color w:val="auto"/>
          <w:highlight w:val="none"/>
        </w:rPr>
      </w:pPr>
    </w:p>
    <w:p w14:paraId="749DC392">
      <w:pPr>
        <w:rPr>
          <w:rFonts w:hint="eastAsia"/>
          <w:highlight w:val="none"/>
        </w:rPr>
      </w:pPr>
    </w:p>
    <w:p w14:paraId="64E5C225">
      <w:pPr>
        <w:rPr>
          <w:rFonts w:hint="eastAsia"/>
          <w:color w:val="auto"/>
          <w:highlight w:val="none"/>
        </w:rPr>
      </w:pPr>
    </w:p>
    <w:p w14:paraId="1475BC3A">
      <w:pPr>
        <w:pStyle w:val="5"/>
        <w:rPr>
          <w:rFonts w:hint="eastAsia"/>
          <w:color w:val="auto"/>
          <w:highlight w:val="none"/>
        </w:rPr>
      </w:pPr>
    </w:p>
    <w:p w14:paraId="22DE47E8">
      <w:pPr>
        <w:rPr>
          <w:rFonts w:hint="eastAsia"/>
          <w:color w:val="auto"/>
          <w:highlight w:val="none"/>
        </w:rPr>
      </w:pPr>
    </w:p>
    <w:p w14:paraId="7CC51EA6">
      <w:pPr>
        <w:pStyle w:val="4"/>
        <w:bidi w:val="0"/>
        <w:rPr>
          <w:rFonts w:hint="eastAsia"/>
          <w:color w:val="auto"/>
          <w:highlight w:val="none"/>
        </w:rPr>
      </w:pPr>
    </w:p>
    <w:p w14:paraId="56AD4BA2">
      <w:pPr>
        <w:pStyle w:val="4"/>
        <w:bidi w:val="0"/>
        <w:rPr>
          <w:rFonts w:hint="eastAsia"/>
          <w:color w:val="auto"/>
          <w:highlight w:val="none"/>
        </w:rPr>
      </w:pPr>
    </w:p>
    <w:p w14:paraId="06BDC961">
      <w:pPr>
        <w:pStyle w:val="4"/>
        <w:bidi w:val="0"/>
        <w:rPr>
          <w:rFonts w:hint="eastAsia"/>
          <w:color w:val="auto"/>
          <w:highlight w:val="none"/>
        </w:rPr>
      </w:pPr>
      <w:r>
        <w:rPr>
          <w:rFonts w:hint="eastAsia"/>
          <w:color w:val="auto"/>
          <w:highlight w:val="none"/>
        </w:rPr>
        <w:t>第</w:t>
      </w:r>
      <w:r>
        <w:rPr>
          <w:rFonts w:hint="eastAsia"/>
          <w:color w:val="auto"/>
          <w:highlight w:val="none"/>
          <w:lang w:val="en-US" w:eastAsia="zh-CN"/>
        </w:rPr>
        <w:t>二</w:t>
      </w:r>
      <w:r>
        <w:rPr>
          <w:rFonts w:hint="eastAsia"/>
          <w:color w:val="auto"/>
          <w:highlight w:val="none"/>
        </w:rPr>
        <w:t>章  投标须知</w:t>
      </w:r>
      <w:bookmarkEnd w:id="7"/>
      <w:bookmarkEnd w:id="56"/>
    </w:p>
    <w:tbl>
      <w:tblPr>
        <w:tblStyle w:val="50"/>
        <w:tblW w:w="9289" w:type="dxa"/>
        <w:tblInd w:w="-176" w:type="dxa"/>
        <w:tblLayout w:type="fixed"/>
        <w:tblCellMar>
          <w:top w:w="0" w:type="dxa"/>
          <w:left w:w="108" w:type="dxa"/>
          <w:bottom w:w="0" w:type="dxa"/>
          <w:right w:w="108" w:type="dxa"/>
        </w:tblCellMar>
      </w:tblPr>
      <w:tblGrid>
        <w:gridCol w:w="925"/>
        <w:gridCol w:w="777"/>
        <w:gridCol w:w="1440"/>
        <w:gridCol w:w="6147"/>
      </w:tblGrid>
      <w:tr w14:paraId="20CED064">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3B85C075">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4F8B592">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条  款  名  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5CA7E7C">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编  列  内  容</w:t>
            </w:r>
          </w:p>
        </w:tc>
      </w:tr>
      <w:tr w14:paraId="20D1D40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748B8D86">
            <w:pPr>
              <w:spacing w:line="440" w:lineRule="exact"/>
              <w:ind w:left="-718" w:leftChars="-342" w:firstLine="718" w:firstLineChars="34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541A84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招标单位</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8C6C4A7">
            <w:pPr>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招标单位：</w:t>
            </w:r>
            <w:r>
              <w:rPr>
                <w:rFonts w:hint="eastAsia" w:ascii="宋体" w:hAnsi="宋体" w:eastAsia="宋体" w:cs="宋体"/>
                <w:color w:val="auto"/>
                <w:kern w:val="0"/>
                <w:szCs w:val="21"/>
                <w:highlight w:val="none"/>
                <w:lang w:eastAsia="zh-CN"/>
              </w:rPr>
              <w:t>滁州工投新能源开发有限公司</w:t>
            </w:r>
          </w:p>
          <w:p w14:paraId="21F6B556">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rPr>
              <w:t>地址：</w:t>
            </w:r>
            <w:r>
              <w:rPr>
                <w:rFonts w:hint="eastAsia" w:ascii="宋体" w:hAnsi="宋体" w:cs="宋体"/>
                <w:color w:val="auto"/>
                <w:szCs w:val="21"/>
                <w:highlight w:val="none"/>
              </w:rPr>
              <w:t>滁州市</w:t>
            </w:r>
            <w:r>
              <w:rPr>
                <w:rFonts w:hint="eastAsia" w:ascii="宋体" w:hAnsi="宋体" w:cs="宋体"/>
                <w:color w:val="auto"/>
                <w:szCs w:val="21"/>
                <w:highlight w:val="none"/>
                <w:lang w:val="en-US" w:eastAsia="zh-CN"/>
              </w:rPr>
              <w:t>苏滁开发区工投科技产业园综合办公楼3楼316室</w:t>
            </w:r>
          </w:p>
          <w:p w14:paraId="21BA1DA6">
            <w:pPr>
              <w:spacing w:line="440" w:lineRule="exact"/>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联系人：</w:t>
            </w:r>
            <w:r>
              <w:rPr>
                <w:rFonts w:hint="eastAsia" w:ascii="宋体" w:cs="Times New Roman"/>
                <w:color w:val="auto"/>
                <w:szCs w:val="21"/>
                <w:highlight w:val="none"/>
                <w:lang w:val="en-US" w:eastAsia="zh-CN"/>
              </w:rPr>
              <w:t>李工</w:t>
            </w:r>
          </w:p>
          <w:p w14:paraId="27F3F4F9">
            <w:pPr>
              <w:spacing w:line="440" w:lineRule="exact"/>
              <w:rPr>
                <w:rFonts w:hint="default" w:ascii="宋体" w:hAnsi="宋体" w:eastAsia="宋体" w:cs="宋体"/>
                <w:color w:val="auto"/>
                <w:highlight w:val="none"/>
                <w:lang w:val="en-US" w:eastAsia="zh-CN"/>
              </w:rPr>
            </w:pPr>
            <w:r>
              <w:rPr>
                <w:rFonts w:hint="eastAsia" w:ascii="宋体" w:hAnsi="宋体" w:eastAsia="宋体" w:cs="宋体"/>
                <w:color w:val="auto"/>
                <w:kern w:val="0"/>
                <w:szCs w:val="21"/>
                <w:highlight w:val="none"/>
              </w:rPr>
              <w:t>联系方式：</w:t>
            </w:r>
            <w:r>
              <w:rPr>
                <w:rFonts w:hint="eastAsia" w:ascii="宋体" w:cs="Times New Roman"/>
                <w:color w:val="auto"/>
                <w:szCs w:val="21"/>
                <w:highlight w:val="none"/>
                <w:lang w:val="en-US" w:eastAsia="zh-CN"/>
              </w:rPr>
              <w:t>19355082836</w:t>
            </w:r>
          </w:p>
        </w:tc>
      </w:tr>
      <w:tr w14:paraId="1B22ECDB">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307CB1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8637E8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F9A3481">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3C8E1057">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5F4B8EE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AAAB89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55E8E2D">
            <w:pPr>
              <w:spacing w:line="440" w:lineRule="exact"/>
              <w:rPr>
                <w:rFonts w:hint="eastAsia" w:ascii="宋体" w:hAnsi="宋体" w:eastAsia="宋体" w:cs="宋体"/>
                <w:color w:val="auto"/>
                <w:szCs w:val="21"/>
                <w:highlight w:val="none"/>
                <w:lang w:val="en-US" w:eastAsia="zh-CN"/>
              </w:rPr>
            </w:pPr>
            <w:r>
              <w:rPr>
                <w:rFonts w:hint="eastAsia" w:eastAsia="宋体"/>
                <w:color w:val="auto"/>
                <w:highlight w:val="none"/>
                <w:lang w:eastAsia="zh-CN"/>
              </w:rPr>
              <w:t>滁州工投</w:t>
            </w:r>
            <w:r>
              <w:rPr>
                <w:rFonts w:hint="eastAsia"/>
                <w:color w:val="auto"/>
                <w:highlight w:val="none"/>
                <w:lang w:val="en-US" w:eastAsia="zh-CN"/>
              </w:rPr>
              <w:t>科技产业园</w:t>
            </w:r>
            <w:r>
              <w:rPr>
                <w:rFonts w:hint="eastAsia" w:eastAsia="宋体"/>
                <w:color w:val="auto"/>
                <w:highlight w:val="none"/>
                <w:lang w:eastAsia="zh-CN"/>
              </w:rPr>
              <w:t>储能电站迁</w:t>
            </w:r>
            <w:r>
              <w:rPr>
                <w:rFonts w:hint="eastAsia"/>
                <w:color w:val="auto"/>
                <w:highlight w:val="none"/>
                <w:lang w:val="en-US" w:eastAsia="zh-CN"/>
              </w:rPr>
              <w:t>改</w:t>
            </w:r>
            <w:r>
              <w:rPr>
                <w:rFonts w:hint="eastAsia" w:eastAsia="宋体"/>
                <w:color w:val="auto"/>
                <w:highlight w:val="none"/>
                <w:lang w:eastAsia="zh-CN"/>
              </w:rPr>
              <w:t>项目</w:t>
            </w:r>
            <w:r>
              <w:rPr>
                <w:rFonts w:hint="eastAsia"/>
                <w:color w:val="auto"/>
                <w:highlight w:val="none"/>
                <w:lang w:eastAsia="zh-CN"/>
              </w:rPr>
              <w:t>（</w:t>
            </w:r>
            <w:r>
              <w:rPr>
                <w:rFonts w:hint="eastAsia"/>
                <w:color w:val="auto"/>
                <w:highlight w:val="none"/>
                <w:lang w:val="en-US" w:eastAsia="zh-CN"/>
              </w:rPr>
              <w:t>三次</w:t>
            </w:r>
            <w:r>
              <w:rPr>
                <w:rFonts w:hint="eastAsia"/>
                <w:color w:val="auto"/>
                <w:highlight w:val="none"/>
                <w:lang w:eastAsia="zh-CN"/>
              </w:rPr>
              <w:t>）</w:t>
            </w:r>
          </w:p>
        </w:tc>
      </w:tr>
      <w:tr w14:paraId="5B68052D">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4513A6F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3FDDA99">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建设地点</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F883DE3">
            <w:pPr>
              <w:spacing w:line="440" w:lineRule="exact"/>
              <w:rPr>
                <w:rFonts w:hint="eastAsia" w:ascii="宋体" w:hAnsi="宋体" w:eastAsia="宋体" w:cs="宋体"/>
                <w:color w:val="auto"/>
                <w:highlight w:val="none"/>
              </w:rPr>
            </w:pPr>
            <w:r>
              <w:rPr>
                <w:rFonts w:hint="eastAsia" w:ascii="宋体" w:hAnsi="宋体" w:eastAsia="宋体" w:cs="宋体"/>
                <w:color w:val="auto"/>
                <w:szCs w:val="21"/>
                <w:highlight w:val="none"/>
              </w:rPr>
              <w:t>滁州市</w:t>
            </w:r>
          </w:p>
        </w:tc>
      </w:tr>
      <w:tr w14:paraId="3EFFE6D6">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B95728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5521FE7">
            <w:pPr>
              <w:widowControl/>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val="en-US" w:eastAsia="zh-CN"/>
              </w:rPr>
              <w:t>项目</w:t>
            </w:r>
            <w:r>
              <w:rPr>
                <w:rFonts w:hint="eastAsia" w:ascii="宋体" w:hAnsi="宋体" w:eastAsia="宋体" w:cs="宋体"/>
                <w:color w:val="auto"/>
                <w:kern w:val="0"/>
                <w:szCs w:val="21"/>
                <w:highlight w:val="none"/>
              </w:rPr>
              <w:t>规模</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6DC9E75">
            <w:pPr>
              <w:widowControl/>
              <w:spacing w:line="440" w:lineRule="exact"/>
              <w:rPr>
                <w:rFonts w:hint="eastAsia" w:ascii="宋体" w:hAnsi="宋体" w:eastAsia="宋体" w:cs="宋体"/>
                <w:color w:val="auto"/>
                <w:highlight w:val="none"/>
              </w:rPr>
            </w:pPr>
            <w:r>
              <w:rPr>
                <w:rFonts w:hint="eastAsia" w:ascii="宋体" w:hAnsi="宋体" w:cs="宋体"/>
                <w:color w:val="auto"/>
                <w:kern w:val="0"/>
                <w:szCs w:val="21"/>
                <w:highlight w:val="none"/>
                <w:lang w:val="en-US" w:eastAsia="zh-CN"/>
              </w:rPr>
              <w:t>3.8万元</w:t>
            </w:r>
          </w:p>
        </w:tc>
      </w:tr>
      <w:tr w14:paraId="70F65599">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67C8ECA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626015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资金来源及比例</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1253F9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自筹</w:t>
            </w:r>
            <w:r>
              <w:rPr>
                <w:rFonts w:hint="eastAsia" w:ascii="宋体" w:hAnsi="宋体" w:eastAsia="宋体" w:cs="宋体"/>
                <w:color w:val="auto"/>
                <w:szCs w:val="21"/>
                <w:highlight w:val="none"/>
              </w:rPr>
              <w:t>资金，100%</w:t>
            </w:r>
          </w:p>
        </w:tc>
      </w:tr>
      <w:tr w14:paraId="3B3AD264">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068F75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BFD991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招标范围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16627A5">
            <w:pPr>
              <w:spacing w:line="44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储能</w:t>
            </w:r>
            <w:r>
              <w:rPr>
                <w:rFonts w:hint="eastAsia" w:ascii="宋体" w:hAnsi="宋体" w:cs="宋体"/>
                <w:color w:val="auto"/>
                <w:szCs w:val="21"/>
                <w:highlight w:val="none"/>
                <w:lang w:val="en-US" w:eastAsia="zh-CN"/>
              </w:rPr>
              <w:t>设备</w:t>
            </w:r>
            <w:r>
              <w:rPr>
                <w:rFonts w:hint="eastAsia" w:ascii="宋体" w:hAnsi="宋体" w:eastAsia="宋体" w:cs="宋体"/>
                <w:color w:val="auto"/>
                <w:szCs w:val="21"/>
                <w:highlight w:val="none"/>
              </w:rPr>
              <w:t>迁移</w:t>
            </w:r>
            <w:r>
              <w:rPr>
                <w:rFonts w:hint="eastAsia" w:ascii="宋体" w:hAnsi="宋体" w:cs="宋体"/>
                <w:color w:val="auto"/>
                <w:szCs w:val="21"/>
                <w:highlight w:val="none"/>
                <w:lang w:val="en-US" w:eastAsia="zh-CN"/>
              </w:rPr>
              <w:t>安装（含调试）</w:t>
            </w:r>
          </w:p>
        </w:tc>
      </w:tr>
      <w:tr w14:paraId="6BD22CBC">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A76FBE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40A9B6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标段划分</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7147E63">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一个标段</w:t>
            </w:r>
          </w:p>
        </w:tc>
      </w:tr>
      <w:tr w14:paraId="0E5EE2C3">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6BF2E38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2CCD14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评标办法</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3CA9E1">
            <w:pPr>
              <w:spacing w:line="440" w:lineRule="exact"/>
              <w:rPr>
                <w:rFonts w:hint="default" w:ascii="宋体" w:hAnsi="宋体" w:eastAsia="宋体" w:cs="宋体"/>
                <w:b/>
                <w:color w:val="auto"/>
                <w:szCs w:val="21"/>
                <w:highlight w:val="none"/>
                <w:lang w:val="en-US" w:eastAsia="zh-CN"/>
              </w:rPr>
            </w:pPr>
            <w:r>
              <w:rPr>
                <w:rFonts w:hint="eastAsia" w:ascii="宋体" w:hAnsi="宋体" w:eastAsia="宋体" w:cs="宋体"/>
                <w:b/>
                <w:bCs/>
                <w:color w:val="auto"/>
                <w:szCs w:val="21"/>
                <w:highlight w:val="none"/>
                <w:lang w:val="en-US" w:eastAsia="zh-CN"/>
              </w:rPr>
              <w:t>最低评标价法（扣除可抵扣进项税后价格）</w:t>
            </w:r>
          </w:p>
        </w:tc>
      </w:tr>
      <w:tr w14:paraId="360B7DE3">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E72683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7F703FC">
            <w:pPr>
              <w:widowControl/>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val="en-US" w:eastAsia="zh-CN"/>
              </w:rPr>
              <w:t>供货期</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9C12C5">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自合同签订之日起</w:t>
            </w:r>
            <w:r>
              <w:rPr>
                <w:rFonts w:hint="eastAsia" w:ascii="宋体" w:hAnsi="宋体" w:cs="宋体"/>
                <w:color w:val="auto"/>
                <w:szCs w:val="21"/>
                <w:highlight w:val="none"/>
                <w:lang w:val="en-US" w:eastAsia="zh-CN"/>
              </w:rPr>
              <w:t>10个日历天</w:t>
            </w:r>
            <w:r>
              <w:rPr>
                <w:rFonts w:hint="eastAsia" w:ascii="宋体" w:hAnsi="宋体" w:cs="宋体"/>
                <w:color w:val="auto"/>
                <w:szCs w:val="21"/>
                <w:highlight w:val="none"/>
              </w:rPr>
              <w:t>内完成迁移、安装、调试及验收完成</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val="en-US" w:eastAsia="zh-CN"/>
              </w:rPr>
              <w:t>投标人自报的承诺工期为考核标准，每推迟一天，按</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00 元/天处以违约金。</w:t>
            </w:r>
          </w:p>
        </w:tc>
      </w:tr>
      <w:tr w14:paraId="49BED1E7">
        <w:tblPrEx>
          <w:tblCellMar>
            <w:top w:w="0" w:type="dxa"/>
            <w:left w:w="108" w:type="dxa"/>
            <w:bottom w:w="0" w:type="dxa"/>
            <w:right w:w="108" w:type="dxa"/>
          </w:tblCellMar>
        </w:tblPrEx>
        <w:tc>
          <w:tcPr>
            <w:tcW w:w="925" w:type="dxa"/>
            <w:vMerge w:val="restart"/>
            <w:tcBorders>
              <w:top w:val="single" w:color="auto" w:sz="4" w:space="0"/>
              <w:left w:val="single" w:color="auto" w:sz="4" w:space="0"/>
              <w:right w:val="single" w:color="auto" w:sz="4" w:space="0"/>
            </w:tcBorders>
            <w:noWrap w:val="0"/>
            <w:vAlign w:val="center"/>
          </w:tcPr>
          <w:p w14:paraId="31680B6D">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629302B">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投标人资质条件、能力</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268CAE2">
            <w:pPr>
              <w:pStyle w:val="93"/>
              <w:ind w:left="0" w:leftChars="0" w:firstLine="0" w:firstLineChars="0"/>
              <w:rPr>
                <w:rFonts w:hint="default"/>
                <w:color w:val="auto"/>
                <w:highlight w:val="none"/>
                <w:lang w:val="en-US" w:eastAsia="zh-CN"/>
              </w:rPr>
            </w:pPr>
            <w:r>
              <w:rPr>
                <w:rFonts w:hint="eastAsia" w:ascii="宋体" w:hAnsi="宋体" w:eastAsia="宋体" w:cs="宋体"/>
                <w:color w:val="auto"/>
                <w:kern w:val="2"/>
                <w:sz w:val="21"/>
                <w:szCs w:val="21"/>
                <w:highlight w:val="none"/>
                <w:lang w:val="en-US" w:eastAsia="zh-CN" w:bidi="ar-SA"/>
              </w:rPr>
              <w:t>见招标公告</w:t>
            </w:r>
          </w:p>
        </w:tc>
      </w:tr>
      <w:tr w14:paraId="1067EE9B">
        <w:tblPrEx>
          <w:tblCellMar>
            <w:top w:w="0" w:type="dxa"/>
            <w:left w:w="108" w:type="dxa"/>
            <w:bottom w:w="0" w:type="dxa"/>
            <w:right w:w="108" w:type="dxa"/>
          </w:tblCellMar>
        </w:tblPrEx>
        <w:tc>
          <w:tcPr>
            <w:tcW w:w="925" w:type="dxa"/>
            <w:vMerge w:val="continue"/>
            <w:tcBorders>
              <w:left w:val="single" w:color="auto" w:sz="4" w:space="0"/>
              <w:bottom w:val="single" w:color="auto" w:sz="4" w:space="0"/>
              <w:right w:val="single" w:color="auto" w:sz="4" w:space="0"/>
            </w:tcBorders>
            <w:noWrap w:val="0"/>
            <w:vAlign w:val="center"/>
          </w:tcPr>
          <w:p w14:paraId="04777EE1">
            <w:pPr>
              <w:spacing w:line="440" w:lineRule="exact"/>
              <w:jc w:val="center"/>
              <w:rPr>
                <w:rFonts w:hint="eastAsia" w:ascii="宋体" w:hAnsi="宋体" w:eastAsia="宋体" w:cs="宋体"/>
                <w:color w:val="auto"/>
                <w:szCs w:val="21"/>
                <w:highlight w:val="none"/>
              </w:rPr>
            </w:pP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43EE4FA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highlight w:val="none"/>
              </w:rPr>
              <w:t>领取文件方式及时间：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5CDDBCF">
            <w:pPr>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招标文件</w:t>
            </w:r>
            <w:r>
              <w:rPr>
                <w:rFonts w:hint="eastAsia" w:ascii="宋体" w:hAnsi="宋体" w:eastAsia="宋体" w:cs="宋体"/>
                <w:color w:val="auto"/>
                <w:kern w:val="0"/>
                <w:szCs w:val="21"/>
                <w:highlight w:val="none"/>
              </w:rPr>
              <w:t>获取方式：潜在投标人从</w:t>
            </w:r>
            <w:r>
              <w:rPr>
                <w:rFonts w:hint="eastAsia" w:ascii="宋体" w:hAnsi="宋体" w:eastAsia="宋体" w:cs="宋体"/>
                <w:color w:val="auto"/>
                <w:kern w:val="0"/>
                <w:szCs w:val="21"/>
                <w:highlight w:val="none"/>
                <w:lang w:eastAsia="zh-CN"/>
              </w:rPr>
              <w:t>滁州市扬子工业投资集团有限公司官网</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lang w:eastAsia="zh-CN"/>
              </w:rPr>
              <w:t>http://www.czyzgtjt.com</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下载</w:t>
            </w:r>
          </w:p>
        </w:tc>
      </w:tr>
      <w:tr w14:paraId="057F1D83">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6143CC46">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C561234">
            <w:pPr>
              <w:spacing w:line="440" w:lineRule="exact"/>
              <w:jc w:val="center"/>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踏勘现场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A97DED">
            <w:pPr>
              <w:pStyle w:val="17"/>
              <w:topLinePunct/>
              <w:spacing w:line="440" w:lineRule="exact"/>
              <w:rPr>
                <w:rFonts w:hint="eastAsia" w:ascii="宋体" w:hAnsi="宋体" w:eastAsia="宋体" w:cs="宋体"/>
                <w:color w:val="auto"/>
                <w:spacing w:val="-4"/>
                <w:kern w:val="0"/>
                <w:sz w:val="21"/>
                <w:szCs w:val="21"/>
                <w:highlight w:val="none"/>
              </w:rPr>
            </w:pPr>
            <w:r>
              <w:rPr>
                <w:rFonts w:hint="eastAsia" w:ascii="宋体" w:hAnsi="宋体" w:eastAsia="宋体" w:cs="宋体"/>
                <w:color w:val="auto"/>
                <w:spacing w:val="-4"/>
                <w:kern w:val="0"/>
                <w:sz w:val="21"/>
                <w:szCs w:val="21"/>
                <w:highlight w:val="none"/>
              </w:rPr>
              <w:t>不组织，投标人自行组织踏勘现场。</w:t>
            </w:r>
          </w:p>
        </w:tc>
      </w:tr>
      <w:tr w14:paraId="4E971499">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31DCBDD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1E489DF">
            <w:pPr>
              <w:spacing w:line="440" w:lineRule="exact"/>
              <w:jc w:val="center"/>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投标预备会</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C8A3A6E">
            <w:pPr>
              <w:pStyle w:val="17"/>
              <w:topLinePunct/>
              <w:spacing w:line="440" w:lineRule="exact"/>
              <w:rPr>
                <w:rFonts w:hint="eastAsia" w:ascii="宋体" w:hAnsi="宋体" w:eastAsia="宋体" w:cs="宋体"/>
                <w:color w:val="auto"/>
                <w:spacing w:val="-4"/>
                <w:kern w:val="0"/>
                <w:sz w:val="21"/>
                <w:szCs w:val="21"/>
                <w:highlight w:val="none"/>
              </w:rPr>
            </w:pPr>
            <w:r>
              <w:rPr>
                <w:rFonts w:hint="eastAsia" w:ascii="宋体" w:hAnsi="宋体" w:eastAsia="宋体" w:cs="宋体"/>
                <w:color w:val="auto"/>
                <w:spacing w:val="-4"/>
                <w:kern w:val="0"/>
                <w:sz w:val="21"/>
                <w:szCs w:val="21"/>
                <w:highlight w:val="none"/>
              </w:rPr>
              <w:t>不召开</w:t>
            </w:r>
          </w:p>
        </w:tc>
      </w:tr>
      <w:tr w14:paraId="1D9492F4">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33DB3B95">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78E88A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投标人提出问题的截止时间</w:t>
            </w:r>
          </w:p>
          <w:p w14:paraId="05C3F22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及方式</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8208F83">
            <w:pPr>
              <w:keepNext w:val="0"/>
              <w:keepLines w:val="0"/>
              <w:pageBreakBefore w:val="0"/>
              <w:widowControl w:val="0"/>
              <w:kinsoku/>
              <w:wordWrap/>
              <w:overflowPunct/>
              <w:topLinePunct w:val="0"/>
              <w:autoSpaceDE/>
              <w:autoSpaceDN/>
              <w:bidi w:val="0"/>
              <w:adjustRightInd/>
              <w:snapToGrid/>
              <w:spacing w:line="400" w:lineRule="exact"/>
              <w:ind w:left="0" w:firstLine="0" w:firstLineChars="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答疑及澄清</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如投标人对</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有疑问，请于</w:t>
            </w:r>
            <w:r>
              <w:rPr>
                <w:rFonts w:hint="eastAsia" w:ascii="宋体" w:hAnsi="宋体" w:eastAsia="宋体" w:cs="宋体"/>
                <w:color w:val="auto"/>
                <w:szCs w:val="21"/>
                <w:highlight w:val="none"/>
                <w:lang w:val="en-US" w:eastAsia="zh-CN"/>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23</w:t>
            </w:r>
            <w:r>
              <w:rPr>
                <w:rFonts w:hint="eastAsia" w:ascii="宋体" w:hAnsi="宋体" w:eastAsia="宋体" w:cs="宋体"/>
                <w:color w:val="auto"/>
                <w:szCs w:val="21"/>
                <w:highlight w:val="none"/>
                <w:u w:val="none"/>
              </w:rPr>
              <w:t>日</w:t>
            </w:r>
            <w:r>
              <w:rPr>
                <w:rFonts w:hint="eastAsia" w:ascii="宋体" w:hAnsi="宋体" w:cs="宋体"/>
                <w:color w:val="auto"/>
                <w:szCs w:val="21"/>
                <w:highlight w:val="none"/>
                <w:u w:val="none"/>
                <w:lang w:val="en-US" w:eastAsia="zh-CN"/>
              </w:rPr>
              <w:t>17</w:t>
            </w:r>
            <w:r>
              <w:rPr>
                <w:rFonts w:hint="eastAsia" w:ascii="宋体" w:hAnsi="宋体" w:eastAsia="宋体" w:cs="宋体"/>
                <w:color w:val="auto"/>
                <w:szCs w:val="21"/>
                <w:highlight w:val="none"/>
                <w:u w:val="none"/>
              </w:rPr>
              <w:t>时前将疑问内容以电子邮件形式发送至czgtxnygs@163.com，招标人将在</w:t>
            </w:r>
            <w:r>
              <w:rPr>
                <w:rFonts w:hint="eastAsia" w:ascii="宋体" w:hAnsi="宋体" w:eastAsia="宋体" w:cs="宋体"/>
                <w:color w:val="auto"/>
                <w:szCs w:val="21"/>
                <w:highlight w:val="none"/>
                <w:u w:val="none"/>
                <w:lang w:eastAsia="zh-CN"/>
              </w:rPr>
              <w:t>202</w:t>
            </w:r>
            <w:r>
              <w:rPr>
                <w:rFonts w:hint="eastAsia" w:ascii="宋体" w:hAnsi="宋体" w:eastAsia="宋体" w:cs="宋体"/>
                <w:color w:val="auto"/>
                <w:szCs w:val="21"/>
                <w:highlight w:val="none"/>
                <w:u w:val="none"/>
                <w:lang w:val="en-US" w:eastAsia="zh-CN"/>
              </w:rPr>
              <w:t>4</w:t>
            </w:r>
            <w:r>
              <w:rPr>
                <w:rFonts w:hint="eastAsia" w:ascii="宋体" w:hAnsi="宋体" w:eastAsia="宋体" w:cs="宋体"/>
                <w:color w:val="auto"/>
                <w:szCs w:val="21"/>
                <w:highlight w:val="none"/>
                <w:u w:val="none"/>
                <w:lang w:eastAsia="zh-CN"/>
              </w:rPr>
              <w:t>年</w:t>
            </w:r>
            <w:r>
              <w:rPr>
                <w:rFonts w:hint="eastAsia" w:ascii="宋体" w:hAnsi="宋体" w:cs="宋体"/>
                <w:color w:val="auto"/>
                <w:szCs w:val="21"/>
                <w:highlight w:val="none"/>
                <w:u w:val="none"/>
                <w:lang w:val="en-US" w:eastAsia="zh-CN"/>
              </w:rPr>
              <w:t>4月24日</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时</w:t>
            </w:r>
            <w:r>
              <w:rPr>
                <w:rFonts w:hint="eastAsia" w:ascii="宋体" w:hAnsi="宋体" w:eastAsia="宋体" w:cs="宋体"/>
                <w:color w:val="auto"/>
                <w:szCs w:val="21"/>
                <w:highlight w:val="none"/>
                <w:lang w:val="en-US" w:eastAsia="zh-CN"/>
              </w:rPr>
              <w:t>后</w:t>
            </w:r>
            <w:r>
              <w:rPr>
                <w:rFonts w:hint="eastAsia" w:ascii="宋体" w:hAnsi="宋体" w:eastAsia="宋体" w:cs="宋体"/>
                <w:color w:val="auto"/>
                <w:szCs w:val="21"/>
                <w:highlight w:val="none"/>
              </w:rPr>
              <w:t>以澄清公告形式在</w:t>
            </w:r>
            <w:r>
              <w:rPr>
                <w:rFonts w:hint="eastAsia" w:ascii="宋体" w:hAnsi="宋体" w:eastAsia="宋体" w:cs="宋体"/>
                <w:color w:val="auto"/>
                <w:kern w:val="0"/>
                <w:szCs w:val="21"/>
                <w:highlight w:val="none"/>
                <w:lang w:eastAsia="zh-CN"/>
              </w:rPr>
              <w:t>滁州市扬子工业投资集团有限公司官网</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lang w:eastAsia="zh-CN"/>
              </w:rPr>
              <w:t>http://www.czyzgtjt.com</w:t>
            </w:r>
            <w:r>
              <w:rPr>
                <w:rFonts w:hint="eastAsia" w:ascii="宋体" w:hAnsi="宋体" w:cs="宋体"/>
                <w:color w:val="auto"/>
                <w:kern w:val="0"/>
                <w:szCs w:val="21"/>
                <w:highlight w:val="none"/>
                <w:lang w:eastAsia="zh-CN"/>
              </w:rPr>
              <w:t>）</w:t>
            </w:r>
            <w:r>
              <w:rPr>
                <w:rFonts w:hint="eastAsia" w:ascii="宋体" w:hAnsi="宋体" w:eastAsia="宋体" w:cs="宋体"/>
                <w:color w:val="auto"/>
                <w:szCs w:val="21"/>
                <w:highlight w:val="none"/>
              </w:rPr>
              <w:t>公告，请各位投标人注意查看有关澄清内容，如不及时查看造成后果由投标人自负。</w:t>
            </w:r>
          </w:p>
        </w:tc>
      </w:tr>
      <w:tr w14:paraId="63638815">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183AA94F">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CB746F7">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2131EABA">
            <w:pPr>
              <w:pStyle w:val="17"/>
              <w:topLinePunct/>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不允许</w:t>
            </w:r>
          </w:p>
        </w:tc>
      </w:tr>
      <w:tr w14:paraId="37632CE3">
        <w:tblPrEx>
          <w:tblCellMar>
            <w:top w:w="0" w:type="dxa"/>
            <w:left w:w="108" w:type="dxa"/>
            <w:bottom w:w="0" w:type="dxa"/>
            <w:right w:w="108" w:type="dxa"/>
          </w:tblCellMar>
        </w:tblPrEx>
        <w:trPr>
          <w:trHeight w:val="1023"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0BDE06E7">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18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5E72EFA">
            <w:pPr>
              <w:spacing w:line="440" w:lineRule="exact"/>
              <w:rPr>
                <w:rFonts w:hint="eastAsia" w:ascii="宋体" w:hAnsi="宋体" w:eastAsia="宋体" w:cs="宋体"/>
                <w:color w:val="auto"/>
                <w:highlight w:val="none"/>
              </w:rPr>
            </w:pPr>
            <w:r>
              <w:rPr>
                <w:rFonts w:hint="eastAsia" w:ascii="宋体" w:hAnsi="宋体" w:eastAsia="宋体" w:cs="宋体"/>
                <w:color w:val="auto"/>
                <w:highlight w:val="none"/>
              </w:rPr>
              <w:t>最高投标限价</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A2694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hAnsi="宋体" w:cs="宋体"/>
                <w:b/>
                <w:bCs/>
                <w:color w:val="auto"/>
                <w:szCs w:val="21"/>
                <w:highlight w:val="none"/>
              </w:rPr>
              <w:t>投标</w:t>
            </w:r>
            <w:r>
              <w:rPr>
                <w:rFonts w:hint="eastAsia" w:hAnsi="宋体" w:cs="宋体"/>
                <w:b/>
                <w:bCs/>
                <w:color w:val="auto"/>
                <w:szCs w:val="21"/>
                <w:highlight w:val="none"/>
                <w:lang w:val="en-US" w:eastAsia="zh-CN"/>
              </w:rPr>
              <w:t>总</w:t>
            </w:r>
            <w:r>
              <w:rPr>
                <w:rFonts w:hint="eastAsia" w:hAnsi="宋体" w:cs="宋体"/>
                <w:b/>
                <w:bCs/>
                <w:color w:val="auto"/>
                <w:szCs w:val="21"/>
                <w:highlight w:val="none"/>
              </w:rPr>
              <w:t>报价最高限价</w:t>
            </w:r>
            <w:r>
              <w:rPr>
                <w:rFonts w:hint="eastAsia" w:hAnsi="宋体" w:cs="宋体"/>
                <w:b/>
                <w:bCs/>
                <w:color w:val="auto"/>
                <w:szCs w:val="21"/>
                <w:highlight w:val="none"/>
                <w:lang w:val="en-US" w:eastAsia="zh-CN"/>
              </w:rPr>
              <w:t>3.8万元</w:t>
            </w:r>
            <w:r>
              <w:rPr>
                <w:rFonts w:hint="eastAsia" w:ascii="Times New Roman" w:hAnsi="宋体" w:eastAsia="宋体" w:cs="宋体"/>
                <w:b/>
                <w:bCs/>
                <w:color w:val="auto"/>
                <w:szCs w:val="21"/>
                <w:highlight w:val="none"/>
              </w:rPr>
              <w:t>人民币</w:t>
            </w:r>
            <w:r>
              <w:rPr>
                <w:rFonts w:hint="eastAsia" w:hAnsi="宋体" w:cs="宋体"/>
                <w:b/>
                <w:bCs/>
                <w:color w:val="auto"/>
                <w:szCs w:val="21"/>
                <w:highlight w:val="none"/>
              </w:rPr>
              <w:t>，</w:t>
            </w:r>
            <w:r>
              <w:rPr>
                <w:rFonts w:hint="eastAsia" w:ascii="宋体" w:hAnsi="宋体" w:eastAsia="宋体" w:cs="宋体"/>
                <w:b/>
                <w:bCs/>
                <w:color w:val="auto"/>
                <w:kern w:val="2"/>
                <w:sz w:val="21"/>
                <w:szCs w:val="21"/>
                <w:highlight w:val="none"/>
                <w:u w:val="none" w:color="auto"/>
                <w:lang w:val="en-US" w:eastAsia="zh-CN" w:bidi="ar-SA"/>
              </w:rPr>
              <w:t>投标人的投标总价不得高于本次招标最高限价，否则，其投标文件按无效标处理。</w:t>
            </w:r>
          </w:p>
        </w:tc>
      </w:tr>
      <w:tr w14:paraId="0D06609C">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49529E6">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19</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483B846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C951847">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投标有效期为</w:t>
            </w:r>
            <w:r>
              <w:rPr>
                <w:rFonts w:hint="eastAsia" w:ascii="宋体" w:hAnsi="宋体" w:eastAsia="宋体" w:cs="宋体"/>
                <w:color w:val="auto"/>
                <w:szCs w:val="21"/>
                <w:highlight w:val="none"/>
                <w:u w:val="single"/>
                <w:lang w:val="en-US" w:eastAsia="zh-CN"/>
              </w:rPr>
              <w:t>9</w:t>
            </w:r>
            <w:r>
              <w:rPr>
                <w:rFonts w:hint="eastAsia" w:ascii="宋体" w:hAnsi="宋体" w:eastAsia="宋体" w:cs="宋体"/>
                <w:color w:val="auto"/>
                <w:szCs w:val="21"/>
                <w:highlight w:val="none"/>
                <w:u w:val="single"/>
              </w:rPr>
              <w:t>0</w:t>
            </w:r>
            <w:r>
              <w:rPr>
                <w:rFonts w:hint="eastAsia" w:ascii="宋体" w:hAnsi="宋体" w:eastAsia="宋体" w:cs="宋体"/>
                <w:color w:val="auto"/>
                <w:szCs w:val="21"/>
                <w:highlight w:val="none"/>
              </w:rPr>
              <w:t>日历天（从投标截止之日算起）。在此期限内，凡符合本</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要求的投标文件均保持有效。</w:t>
            </w:r>
          </w:p>
        </w:tc>
      </w:tr>
      <w:tr w14:paraId="2D5FBF04">
        <w:tblPrEx>
          <w:tblCellMar>
            <w:top w:w="0" w:type="dxa"/>
            <w:left w:w="108" w:type="dxa"/>
            <w:bottom w:w="0" w:type="dxa"/>
            <w:right w:w="108" w:type="dxa"/>
          </w:tblCellMar>
        </w:tblPrEx>
        <w:trPr>
          <w:trHeight w:val="90"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72830909">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B6409E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C024070">
            <w:pPr>
              <w:pStyle w:val="45"/>
              <w:snapToGrid w:val="0"/>
              <w:spacing w:line="440" w:lineRule="exact"/>
              <w:jc w:val="both"/>
              <w:rPr>
                <w:rFonts w:hint="default" w:ascii="宋体" w:hAnsi="宋体" w:eastAsia="宋体" w:cs="宋体"/>
                <w:color w:val="auto"/>
                <w:highlight w:val="none"/>
                <w:lang w:val="en-US" w:eastAsia="zh-CN"/>
              </w:rPr>
            </w:pPr>
            <w:r>
              <w:rPr>
                <w:rFonts w:hint="eastAsia" w:eastAsia="宋体" w:cs="宋体"/>
                <w:color w:val="auto"/>
                <w:sz w:val="21"/>
                <w:szCs w:val="21"/>
                <w:highlight w:val="none"/>
                <w:lang w:val="en-US" w:eastAsia="zh-CN"/>
              </w:rPr>
              <w:t>本项目不需要缴纳投标保证金。</w:t>
            </w:r>
          </w:p>
        </w:tc>
      </w:tr>
      <w:tr w14:paraId="5953D394">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3630527A">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AA2A5B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签字或盖章要求</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768409C4">
            <w:pPr>
              <w:spacing w:line="440" w:lineRule="exac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投标文件须按格式文件要求签字或盖章</w:t>
            </w:r>
            <w:r>
              <w:rPr>
                <w:rFonts w:hint="eastAsia" w:ascii="宋体" w:hAnsi="宋体" w:eastAsia="宋体" w:cs="宋体"/>
                <w:color w:val="auto"/>
                <w:szCs w:val="21"/>
                <w:highlight w:val="none"/>
                <w:lang w:eastAsia="zh-CN"/>
              </w:rPr>
              <w:t>。</w:t>
            </w:r>
          </w:p>
        </w:tc>
      </w:tr>
      <w:tr w14:paraId="78AAF10C">
        <w:tblPrEx>
          <w:tblCellMar>
            <w:top w:w="0" w:type="dxa"/>
            <w:left w:w="108" w:type="dxa"/>
            <w:bottom w:w="0" w:type="dxa"/>
            <w:right w:w="108" w:type="dxa"/>
          </w:tblCellMar>
        </w:tblPrEx>
        <w:trPr>
          <w:trHeight w:val="572"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238AAA7B">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078E6B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投标文件份数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56B410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正本一份，副本</w:t>
            </w:r>
            <w:r>
              <w:rPr>
                <w:rFonts w:hint="eastAsia" w:ascii="宋体" w:hAnsi="宋体" w:cs="宋体"/>
                <w:color w:val="auto"/>
                <w:szCs w:val="21"/>
                <w:highlight w:val="none"/>
                <w:lang w:val="en-US" w:eastAsia="zh-CN"/>
              </w:rPr>
              <w:t>一</w:t>
            </w:r>
            <w:r>
              <w:rPr>
                <w:rFonts w:hint="eastAsia" w:ascii="宋体" w:hAnsi="宋体" w:eastAsia="宋体" w:cs="宋体"/>
                <w:color w:val="auto"/>
                <w:szCs w:val="21"/>
                <w:highlight w:val="none"/>
              </w:rPr>
              <w:t>份。密封后递交。</w:t>
            </w:r>
          </w:p>
        </w:tc>
      </w:tr>
      <w:tr w14:paraId="7F2D3CD8">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0BE51106">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9FA815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装订要求</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B502DF4">
            <w:pPr>
              <w:spacing w:line="440" w:lineRule="exact"/>
              <w:rPr>
                <w:rFonts w:hint="eastAsia" w:ascii="宋体" w:hAnsi="宋体" w:eastAsia="宋体" w:cs="宋体"/>
                <w:color w:val="auto"/>
                <w:szCs w:val="21"/>
                <w:highlight w:val="none"/>
              </w:rPr>
            </w:pPr>
            <w:r>
              <w:rPr>
                <w:rFonts w:hint="eastAsia"/>
                <w:color w:val="auto"/>
                <w:szCs w:val="21"/>
                <w:highlight w:val="none"/>
              </w:rPr>
              <w:t>资信证明文件</w:t>
            </w:r>
            <w:r>
              <w:rPr>
                <w:rFonts w:hint="eastAsia"/>
                <w:color w:val="auto"/>
                <w:szCs w:val="21"/>
                <w:highlight w:val="none"/>
                <w:lang w:eastAsia="zh-CN"/>
              </w:rPr>
              <w:t>、</w:t>
            </w:r>
            <w:r>
              <w:rPr>
                <w:rFonts w:hint="eastAsia"/>
                <w:color w:val="auto"/>
                <w:szCs w:val="21"/>
                <w:highlight w:val="none"/>
              </w:rPr>
              <w:t>商务标文件装入密封袋中。</w:t>
            </w:r>
          </w:p>
        </w:tc>
      </w:tr>
      <w:tr w14:paraId="10726B1D">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7EE6819E">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862755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投标文件封套上应载明的信息</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16E64E5">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208854E2">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7900EC80">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4D4458C5">
            <w:pPr>
              <w:spacing w:line="440" w:lineRule="exact"/>
              <w:rPr>
                <w:rFonts w:hint="eastAsia" w:ascii="宋体" w:hAnsi="宋体" w:eastAsia="宋体" w:cs="宋体"/>
                <w:color w:val="auto"/>
                <w:szCs w:val="21"/>
                <w:highlight w:val="none"/>
              </w:rPr>
            </w:pP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4月25日10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654191C5">
        <w:tblPrEx>
          <w:tblCellMar>
            <w:top w:w="0" w:type="dxa"/>
            <w:left w:w="108" w:type="dxa"/>
            <w:bottom w:w="0" w:type="dxa"/>
            <w:right w:w="108" w:type="dxa"/>
          </w:tblCellMar>
        </w:tblPrEx>
        <w:trPr>
          <w:trHeight w:val="569" w:hRule="atLeast"/>
        </w:trPr>
        <w:tc>
          <w:tcPr>
            <w:tcW w:w="925" w:type="dxa"/>
            <w:vMerge w:val="restart"/>
            <w:tcBorders>
              <w:left w:val="single" w:color="auto" w:sz="4" w:space="0"/>
              <w:right w:val="single" w:color="auto" w:sz="4" w:space="0"/>
            </w:tcBorders>
            <w:noWrap w:val="0"/>
            <w:vAlign w:val="center"/>
          </w:tcPr>
          <w:p w14:paraId="580C88A3">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EBD7A9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投标截止时间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DE02AB6">
            <w:pPr>
              <w:spacing w:line="440" w:lineRule="exact"/>
              <w:ind w:firstLine="19" w:firstLineChars="9"/>
              <w:rPr>
                <w:rFonts w:hint="eastAsia" w:ascii="宋体" w:hAnsi="宋体" w:eastAsia="宋体" w:cs="宋体"/>
                <w:color w:val="auto"/>
                <w:szCs w:val="21"/>
                <w:highlight w:val="none"/>
              </w:rPr>
            </w:pP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4月25日10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b w:val="0"/>
                <w:bCs/>
                <w:color w:val="auto"/>
                <w:spacing w:val="-4"/>
                <w:kern w:val="0"/>
                <w:szCs w:val="21"/>
                <w:highlight w:val="none"/>
              </w:rPr>
              <w:t>（北京时间）</w:t>
            </w:r>
          </w:p>
        </w:tc>
      </w:tr>
      <w:tr w14:paraId="5254ABC5">
        <w:tblPrEx>
          <w:tblCellMar>
            <w:top w:w="0" w:type="dxa"/>
            <w:left w:w="108" w:type="dxa"/>
            <w:bottom w:w="0" w:type="dxa"/>
            <w:right w:w="108" w:type="dxa"/>
          </w:tblCellMar>
        </w:tblPrEx>
        <w:trPr>
          <w:trHeight w:val="930" w:hRule="atLeast"/>
        </w:trPr>
        <w:tc>
          <w:tcPr>
            <w:tcW w:w="925" w:type="dxa"/>
            <w:vMerge w:val="continue"/>
            <w:tcBorders>
              <w:left w:val="single" w:color="auto" w:sz="4" w:space="0"/>
              <w:right w:val="single" w:color="auto" w:sz="4" w:space="0"/>
            </w:tcBorders>
            <w:noWrap w:val="0"/>
            <w:vAlign w:val="center"/>
          </w:tcPr>
          <w:p w14:paraId="007DECF6">
            <w:pPr>
              <w:spacing w:line="440" w:lineRule="exact"/>
              <w:jc w:val="center"/>
              <w:rPr>
                <w:rFonts w:hint="eastAsia" w:ascii="宋体" w:hAnsi="宋体" w:eastAsia="宋体" w:cs="宋体"/>
                <w:color w:val="auto"/>
                <w:szCs w:val="21"/>
                <w:highlight w:val="none"/>
              </w:rPr>
            </w:pP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6C42FC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递交投标文件地点</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4D97E67F">
            <w:pPr>
              <w:spacing w:line="440" w:lineRule="exact"/>
              <w:rPr>
                <w:rFonts w:hint="eastAsia" w:ascii="宋体" w:hAnsi="宋体" w:eastAsia="宋体" w:cs="宋体"/>
                <w:color w:val="auto"/>
                <w:sz w:val="24"/>
                <w:highlight w:val="none"/>
                <w:lang w:eastAsia="zh-CN"/>
              </w:rPr>
            </w:pPr>
            <w:r>
              <w:rPr>
                <w:rFonts w:hint="eastAsia" w:ascii="宋体" w:hAnsi="宋体" w:eastAsia="宋体" w:cs="宋体"/>
                <w:color w:val="auto"/>
                <w:szCs w:val="21"/>
                <w:highlight w:val="none"/>
              </w:rPr>
              <w:t>收件人：滁州工投新能源开发有限公司</w:t>
            </w:r>
          </w:p>
          <w:p w14:paraId="5D1872ED">
            <w:pPr>
              <w:spacing w:line="440" w:lineRule="exact"/>
              <w:rPr>
                <w:rFonts w:hint="eastAsia" w:ascii="宋体" w:hAnsi="宋体" w:eastAsia="宋体" w:cs="宋体"/>
                <w:b/>
                <w:bCs/>
                <w:color w:val="auto"/>
                <w:szCs w:val="21"/>
                <w:highlight w:val="none"/>
                <w:u w:val="single"/>
                <w:lang w:val="en-US" w:eastAsia="zh-CN"/>
              </w:rPr>
            </w:pPr>
            <w:r>
              <w:rPr>
                <w:rFonts w:hint="eastAsia" w:ascii="宋体" w:hAnsi="宋体" w:eastAsia="宋体" w:cs="宋体"/>
                <w:color w:val="auto"/>
                <w:szCs w:val="21"/>
                <w:highlight w:val="none"/>
              </w:rPr>
              <w:t>时 间：</w:t>
            </w: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4月25日10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cs="宋体"/>
                <w:b/>
                <w:bCs/>
                <w:color w:val="auto"/>
                <w:sz w:val="21"/>
                <w:szCs w:val="21"/>
                <w:highlight w:val="none"/>
                <w:lang w:val="en-US" w:eastAsia="zh-CN"/>
              </w:rPr>
              <w:t>前</w:t>
            </w:r>
          </w:p>
          <w:p w14:paraId="463C486A">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 点：</w:t>
            </w:r>
            <w:r>
              <w:rPr>
                <w:rFonts w:hint="eastAsia" w:ascii="宋体" w:hAnsi="宋体" w:cs="宋体"/>
                <w:color w:val="auto"/>
                <w:szCs w:val="21"/>
                <w:highlight w:val="none"/>
              </w:rPr>
              <w:t>滁州市</w:t>
            </w:r>
            <w:r>
              <w:rPr>
                <w:rFonts w:hint="eastAsia" w:ascii="宋体" w:hAnsi="宋体" w:cs="宋体"/>
                <w:color w:val="auto"/>
                <w:szCs w:val="21"/>
                <w:highlight w:val="none"/>
                <w:lang w:val="en-US" w:eastAsia="zh-CN"/>
              </w:rPr>
              <w:t>中都大道与醉翁西路交口城投大厦1310</w:t>
            </w:r>
            <w:r>
              <w:rPr>
                <w:rFonts w:hint="eastAsia" w:ascii="宋体" w:hAnsi="宋体" w:eastAsia="宋体" w:cs="宋体"/>
                <w:b/>
                <w:bCs/>
                <w:color w:val="auto"/>
                <w:szCs w:val="21"/>
                <w:highlight w:val="none"/>
                <w:u w:val="single"/>
                <w:lang w:eastAsia="zh-CN"/>
              </w:rPr>
              <w:t xml:space="preserve"> </w:t>
            </w:r>
          </w:p>
        </w:tc>
      </w:tr>
      <w:tr w14:paraId="5A52B1C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B803C45">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B700E4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是否退还投标文件</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47147A13">
            <w:pPr>
              <w:pStyle w:val="17"/>
              <w:topLinePunct/>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eq \o\ac(□,√)</w:instrTex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highlight w:val="none"/>
              </w:rPr>
              <w:t>否；</w:t>
            </w:r>
            <w:r>
              <w:rPr>
                <w:rFonts w:hint="eastAsia" w:ascii="宋体" w:hAnsi="宋体" w:eastAsia="宋体" w:cs="宋体"/>
                <w:color w:val="auto"/>
                <w:szCs w:val="32"/>
                <w:highlight w:val="none"/>
              </w:rPr>
              <w:t>□</w:t>
            </w:r>
            <w:r>
              <w:rPr>
                <w:rFonts w:hint="eastAsia" w:ascii="宋体" w:hAnsi="宋体" w:eastAsia="宋体" w:cs="宋体"/>
                <w:color w:val="auto"/>
                <w:highlight w:val="none"/>
              </w:rPr>
              <w:t>是</w:t>
            </w:r>
          </w:p>
        </w:tc>
      </w:tr>
      <w:tr w14:paraId="601BF89D">
        <w:tblPrEx>
          <w:tblCellMar>
            <w:top w:w="0" w:type="dxa"/>
            <w:left w:w="108" w:type="dxa"/>
            <w:bottom w:w="0" w:type="dxa"/>
            <w:right w:w="108" w:type="dxa"/>
          </w:tblCellMar>
        </w:tblPrEx>
        <w:trPr>
          <w:trHeight w:val="488"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755BDB8A">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27</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7708CE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评标委员会的组建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252A60D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w:t>
            </w:r>
            <w:r>
              <w:rPr>
                <w:rFonts w:hint="eastAsia" w:ascii="Times New Roman" w:hAnsi="Times New Roman" w:eastAsia="宋体" w:cs="Times New Roman"/>
                <w:color w:val="auto"/>
                <w:kern w:val="2"/>
                <w:sz w:val="21"/>
                <w:szCs w:val="21"/>
                <w:highlight w:val="none"/>
                <w:u w:val="none"/>
                <w:lang w:val="en-US" w:eastAsia="zh-CN" w:bidi="ar-SA"/>
              </w:rPr>
              <w:t>由招标人依法组建。</w:t>
            </w:r>
          </w:p>
        </w:tc>
      </w:tr>
      <w:tr w14:paraId="55486D9D">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886D1CD">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8DF7EA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是否授权评标委员会推荐中标候选人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717481FC">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是，推荐的中标候选人数2名，并标明排序。</w:t>
            </w:r>
          </w:p>
        </w:tc>
      </w:tr>
      <w:tr w14:paraId="5F08302B">
        <w:tblPrEx>
          <w:tblCellMar>
            <w:top w:w="0" w:type="dxa"/>
            <w:left w:w="108" w:type="dxa"/>
            <w:bottom w:w="0" w:type="dxa"/>
            <w:right w:w="108" w:type="dxa"/>
          </w:tblCellMar>
        </w:tblPrEx>
        <w:trPr>
          <w:trHeight w:val="449" w:hRule="atLeast"/>
        </w:trPr>
        <w:tc>
          <w:tcPr>
            <w:tcW w:w="925" w:type="dxa"/>
            <w:tcBorders>
              <w:top w:val="single" w:color="auto" w:sz="4" w:space="0"/>
              <w:left w:val="single" w:color="auto" w:sz="4" w:space="0"/>
              <w:right w:val="single" w:color="auto" w:sz="4" w:space="0"/>
            </w:tcBorders>
            <w:noWrap w:val="0"/>
            <w:vAlign w:val="center"/>
          </w:tcPr>
          <w:p w14:paraId="0DD71B2C">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29</w:t>
            </w:r>
          </w:p>
        </w:tc>
        <w:tc>
          <w:tcPr>
            <w:tcW w:w="2217" w:type="dxa"/>
            <w:gridSpan w:val="2"/>
            <w:tcBorders>
              <w:top w:val="single" w:color="auto" w:sz="4" w:space="0"/>
              <w:left w:val="single" w:color="auto" w:sz="4" w:space="0"/>
              <w:right w:val="single" w:color="auto" w:sz="4" w:space="0"/>
            </w:tcBorders>
            <w:noWrap w:val="0"/>
            <w:vAlign w:val="center"/>
          </w:tcPr>
          <w:p w14:paraId="67FE2AE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中标候选人公示媒介</w:t>
            </w:r>
          </w:p>
        </w:tc>
        <w:tc>
          <w:tcPr>
            <w:tcW w:w="6147" w:type="dxa"/>
            <w:tcBorders>
              <w:top w:val="single" w:color="auto" w:sz="4" w:space="0"/>
              <w:left w:val="single" w:color="auto" w:sz="4" w:space="0"/>
              <w:right w:val="single" w:color="auto" w:sz="4" w:space="0"/>
            </w:tcBorders>
            <w:noWrap w:val="0"/>
            <w:vAlign w:val="center"/>
          </w:tcPr>
          <w:p w14:paraId="42E1E39B">
            <w:pPr>
              <w:spacing w:line="440" w:lineRule="exact"/>
              <w:rPr>
                <w:rFonts w:hint="eastAsia" w:ascii="宋体" w:hAnsi="宋体" w:eastAsia="宋体" w:cs="宋体"/>
                <w:color w:val="auto"/>
                <w:sz w:val="32"/>
                <w:szCs w:val="32"/>
                <w:highlight w:val="none"/>
              </w:rPr>
            </w:pPr>
            <w:r>
              <w:rPr>
                <w:rFonts w:hint="eastAsia" w:ascii="宋体" w:hAnsi="宋体" w:eastAsia="宋体" w:cs="宋体"/>
                <w:color w:val="auto"/>
                <w:szCs w:val="21"/>
                <w:highlight w:val="none"/>
              </w:rPr>
              <w:t>在</w:t>
            </w:r>
            <w:r>
              <w:rPr>
                <w:rFonts w:hint="eastAsia" w:ascii="宋体" w:hAnsi="宋体" w:eastAsia="宋体" w:cs="宋体"/>
                <w:color w:val="auto"/>
                <w:szCs w:val="21"/>
                <w:highlight w:val="none"/>
                <w:lang w:eastAsia="zh-CN"/>
              </w:rPr>
              <w:t>滁州市扬子工业投资集团有限公司（https://czyzgtjt.com/</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公告</w:t>
            </w:r>
          </w:p>
        </w:tc>
      </w:tr>
      <w:tr w14:paraId="4CB145B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4F4D1E4">
            <w:pPr>
              <w:spacing w:line="440" w:lineRule="exact"/>
              <w:jc w:val="center"/>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szCs w:val="21"/>
                <w:highlight w:val="none"/>
                <w:lang w:val="en-US" w:eastAsia="zh-CN"/>
              </w:rPr>
              <w:t>30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8BE9A2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2312C89">
            <w:pPr>
              <w:spacing w:line="312" w:lineRule="auto"/>
              <w:rPr>
                <w:rFonts w:hint="default" w:eastAsia="宋体"/>
                <w:color w:val="auto"/>
                <w:highlight w:val="none"/>
                <w:lang w:val="en-US" w:eastAsia="zh-CN"/>
              </w:rPr>
            </w:pPr>
            <w:r>
              <w:rPr>
                <w:rFonts w:hint="eastAsia" w:ascii="宋体" w:hAnsi="Times New Roman" w:eastAsia="宋体" w:cs="Times New Roman"/>
                <w:color w:val="auto"/>
                <w:szCs w:val="21"/>
                <w:highlight w:val="none"/>
              </w:rPr>
              <w:t>是否收取履约担保：</w:t>
            </w:r>
            <w:r>
              <w:rPr>
                <w:rFonts w:hint="eastAsia" w:ascii="宋体" w:cs="Times New Roman"/>
                <w:color w:val="auto"/>
                <w:szCs w:val="21"/>
                <w:highlight w:val="none"/>
                <w:lang w:eastAsia="zh-CN"/>
              </w:rPr>
              <w:t>□</w:t>
            </w:r>
            <w:r>
              <w:rPr>
                <w:rFonts w:hint="eastAsia" w:ascii="宋体" w:hAnsi="Times New Roman" w:eastAsia="宋体" w:cs="Times New Roman"/>
                <w:color w:val="auto"/>
                <w:szCs w:val="21"/>
                <w:highlight w:val="none"/>
              </w:rPr>
              <w:t>收取，</w:t>
            </w:r>
            <w:r>
              <w:rPr>
                <w:rFonts w:hint="eastAsia" w:ascii="宋体" w:cs="Times New Roman"/>
                <w:color w:val="auto"/>
                <w:szCs w:val="21"/>
                <w:highlight w:val="none"/>
                <w:lang w:eastAsia="zh-CN"/>
              </w:rPr>
              <w:t>☑</w:t>
            </w:r>
            <w:r>
              <w:rPr>
                <w:rFonts w:hint="eastAsia" w:ascii="宋体" w:hAnsi="Times New Roman" w:eastAsia="宋体" w:cs="Times New Roman"/>
                <w:color w:val="auto"/>
                <w:szCs w:val="21"/>
                <w:highlight w:val="none"/>
              </w:rPr>
              <w:t>不收取</w:t>
            </w:r>
          </w:p>
        </w:tc>
      </w:tr>
      <w:tr w14:paraId="11E3A203">
        <w:tblPrEx>
          <w:tblCellMar>
            <w:top w:w="0" w:type="dxa"/>
            <w:left w:w="108" w:type="dxa"/>
            <w:bottom w:w="0" w:type="dxa"/>
            <w:right w:w="108" w:type="dxa"/>
          </w:tblCellMar>
        </w:tblPrEx>
        <w:trPr>
          <w:trHeight w:val="472" w:hRule="atLeast"/>
        </w:trPr>
        <w:tc>
          <w:tcPr>
            <w:tcW w:w="9289" w:type="dxa"/>
            <w:gridSpan w:val="4"/>
            <w:tcBorders>
              <w:top w:val="single" w:color="auto" w:sz="4" w:space="0"/>
              <w:left w:val="single" w:color="auto" w:sz="4" w:space="0"/>
              <w:bottom w:val="single" w:color="auto" w:sz="4" w:space="0"/>
              <w:right w:val="single" w:color="auto" w:sz="4" w:space="0"/>
            </w:tcBorders>
            <w:noWrap w:val="0"/>
            <w:vAlign w:val="center"/>
          </w:tcPr>
          <w:p w14:paraId="062AEDA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需要补充的其他内容</w:t>
            </w:r>
          </w:p>
        </w:tc>
      </w:tr>
      <w:tr w14:paraId="0CE2AFA4">
        <w:tblPrEx>
          <w:tblCellMar>
            <w:top w:w="0" w:type="dxa"/>
            <w:left w:w="108" w:type="dxa"/>
            <w:bottom w:w="0" w:type="dxa"/>
            <w:right w:w="108" w:type="dxa"/>
          </w:tblCellMar>
        </w:tblPrEx>
        <w:trPr>
          <w:trHeight w:val="397"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6DC61D1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电子招标投标</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6E5FD8D3">
            <w:pPr>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eq \o\ac(□,√)</w:instrTex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t>否； □是，具体要求：按</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规定。</w:t>
            </w:r>
          </w:p>
        </w:tc>
      </w:tr>
      <w:tr w14:paraId="60D2613E">
        <w:tblPrEx>
          <w:tblCellMar>
            <w:top w:w="0" w:type="dxa"/>
            <w:left w:w="108" w:type="dxa"/>
            <w:bottom w:w="0" w:type="dxa"/>
            <w:right w:w="108" w:type="dxa"/>
          </w:tblCellMar>
        </w:tblPrEx>
        <w:trPr>
          <w:trHeight w:val="806"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71BB34C9">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招标代理服务费</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5792B991">
            <w:pPr>
              <w:spacing w:line="4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4A7DF63A">
        <w:tblPrEx>
          <w:tblCellMar>
            <w:top w:w="0" w:type="dxa"/>
            <w:left w:w="108" w:type="dxa"/>
            <w:bottom w:w="0" w:type="dxa"/>
            <w:right w:w="108" w:type="dxa"/>
          </w:tblCellMar>
        </w:tblPrEx>
        <w:trPr>
          <w:trHeight w:val="813"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E96C41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付款方式</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78110E6B">
            <w:pPr>
              <w:pStyle w:val="16"/>
              <w:rPr>
                <w:rFonts w:hint="eastAsia"/>
                <w:color w:val="auto"/>
                <w:highlight w:val="none"/>
              </w:rPr>
            </w:pPr>
            <w:r>
              <w:rPr>
                <w:rFonts w:hint="eastAsia"/>
                <w:highlight w:val="none"/>
              </w:rPr>
              <w:t>整体迁移调试安装完成且经招标人验收</w:t>
            </w:r>
            <w:r>
              <w:rPr>
                <w:rFonts w:hint="eastAsia"/>
                <w:highlight w:val="none"/>
                <w:lang w:val="en-US" w:eastAsia="zh-CN"/>
              </w:rPr>
              <w:t>计量</w:t>
            </w:r>
            <w:r>
              <w:rPr>
                <w:rFonts w:hint="eastAsia"/>
                <w:highlight w:val="none"/>
              </w:rPr>
              <w:t>后，中标人向招标人开具</w:t>
            </w:r>
            <w:r>
              <w:rPr>
                <w:rFonts w:hint="eastAsia"/>
                <w:highlight w:val="none"/>
                <w:lang w:val="en-US" w:eastAsia="zh-CN"/>
              </w:rPr>
              <w:t>项目实际结算金额（投标单价*实际工程量）的100%</w:t>
            </w:r>
            <w:r>
              <w:rPr>
                <w:rFonts w:hint="eastAsia"/>
                <w:highlight w:val="none"/>
              </w:rPr>
              <w:t>增值税发票</w:t>
            </w:r>
            <w:r>
              <w:rPr>
                <w:rFonts w:hint="eastAsia"/>
                <w:highlight w:val="none"/>
                <w:lang w:eastAsia="zh-CN"/>
              </w:rPr>
              <w:t>，</w:t>
            </w:r>
            <w:r>
              <w:rPr>
                <w:rFonts w:hint="eastAsia"/>
                <w:highlight w:val="none"/>
              </w:rPr>
              <w:t>招标人付至合同价款的9</w:t>
            </w:r>
            <w:r>
              <w:rPr>
                <w:rFonts w:hint="eastAsia"/>
                <w:highlight w:val="none"/>
                <w:lang w:val="en-US" w:eastAsia="zh-CN"/>
              </w:rPr>
              <w:t>8</w:t>
            </w:r>
            <w:r>
              <w:rPr>
                <w:rFonts w:hint="eastAsia"/>
                <w:highlight w:val="none"/>
              </w:rPr>
              <w:t>%，剩余</w:t>
            </w:r>
            <w:r>
              <w:rPr>
                <w:rFonts w:hint="eastAsia"/>
                <w:highlight w:val="none"/>
                <w:lang w:val="en-US" w:eastAsia="zh-CN"/>
              </w:rPr>
              <w:t>2</w:t>
            </w:r>
            <w:r>
              <w:rPr>
                <w:rFonts w:hint="eastAsia"/>
                <w:highlight w:val="none"/>
              </w:rPr>
              <w:t>%作为质保金，质保期满</w:t>
            </w:r>
            <w:r>
              <w:rPr>
                <w:rFonts w:hint="eastAsia"/>
                <w:highlight w:val="none"/>
                <w:lang w:val="en-US" w:eastAsia="zh-CN"/>
              </w:rPr>
              <w:t>两</w:t>
            </w:r>
            <w:r>
              <w:rPr>
                <w:rFonts w:hint="eastAsia"/>
                <w:highlight w:val="none"/>
              </w:rPr>
              <w:t>年后付至合同价款的100%。</w:t>
            </w:r>
          </w:p>
        </w:tc>
      </w:tr>
      <w:tr w14:paraId="3F8FD062">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540E807">
            <w:pPr>
              <w:adjustRightInd w:val="0"/>
              <w:snapToGrid w:val="0"/>
              <w:spacing w:line="40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rPr>
              <w:t>解释权</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088BB551">
            <w:pPr>
              <w:pStyle w:val="221"/>
              <w:adjustRightInd w:val="0"/>
              <w:snapToGrid w:val="0"/>
              <w:spacing w:line="400" w:lineRule="exact"/>
              <w:rPr>
                <w:color w:val="auto"/>
                <w:spacing w:val="-3"/>
                <w:szCs w:val="21"/>
                <w:highlight w:val="none"/>
              </w:rPr>
            </w:pPr>
            <w:r>
              <w:rPr>
                <w:color w:val="auto"/>
                <w:spacing w:val="-3"/>
                <w:szCs w:val="21"/>
                <w:highlight w:val="none"/>
              </w:rPr>
              <w:t>1</w:t>
            </w:r>
            <w:r>
              <w:rPr>
                <w:rFonts w:hint="eastAsia"/>
                <w:color w:val="auto"/>
                <w:spacing w:val="-3"/>
                <w:szCs w:val="21"/>
                <w:highlight w:val="none"/>
              </w:rPr>
              <w:t>、构成本招标文件的各个组成文件应互为解释，互为说明；</w:t>
            </w:r>
          </w:p>
          <w:p w14:paraId="4761D68C">
            <w:pPr>
              <w:pStyle w:val="221"/>
              <w:adjustRightInd w:val="0"/>
              <w:snapToGrid w:val="0"/>
              <w:spacing w:line="400" w:lineRule="exact"/>
              <w:rPr>
                <w:color w:val="auto"/>
                <w:szCs w:val="21"/>
                <w:highlight w:val="none"/>
              </w:rPr>
            </w:pPr>
            <w:r>
              <w:rPr>
                <w:color w:val="auto"/>
                <w:spacing w:val="-3"/>
                <w:szCs w:val="21"/>
                <w:highlight w:val="none"/>
              </w:rPr>
              <w:t>2</w:t>
            </w:r>
            <w:r>
              <w:rPr>
                <w:rFonts w:hint="eastAsia"/>
                <w:color w:val="auto"/>
                <w:spacing w:val="-3"/>
                <w:szCs w:val="21"/>
                <w:highlight w:val="none"/>
              </w:rPr>
              <w:t>、</w:t>
            </w:r>
            <w:r>
              <w:rPr>
                <w:rFonts w:hint="eastAsia"/>
                <w:color w:val="auto"/>
                <w:spacing w:val="-7"/>
                <w:szCs w:val="21"/>
                <w:highlight w:val="none"/>
              </w:rPr>
              <w:t>同一组成文件中就同一事项的规定或约定不一致的，以编排</w:t>
            </w:r>
            <w:r>
              <w:rPr>
                <w:rFonts w:hint="eastAsia"/>
                <w:color w:val="auto"/>
                <w:spacing w:val="-5"/>
                <w:szCs w:val="21"/>
                <w:highlight w:val="none"/>
              </w:rPr>
              <w:t>顺序在后者为准；</w:t>
            </w:r>
          </w:p>
          <w:p w14:paraId="179BD2DA">
            <w:pPr>
              <w:pStyle w:val="221"/>
              <w:tabs>
                <w:tab w:val="left" w:pos="351"/>
              </w:tabs>
              <w:adjustRightInd w:val="0"/>
              <w:snapToGrid w:val="0"/>
              <w:spacing w:line="400" w:lineRule="exact"/>
              <w:rPr>
                <w:color w:val="auto"/>
                <w:szCs w:val="21"/>
                <w:highlight w:val="none"/>
              </w:rPr>
            </w:pPr>
            <w:r>
              <w:rPr>
                <w:color w:val="auto"/>
                <w:spacing w:val="-10"/>
                <w:szCs w:val="21"/>
                <w:highlight w:val="none"/>
              </w:rPr>
              <w:t>3</w:t>
            </w:r>
            <w:r>
              <w:rPr>
                <w:rFonts w:hint="eastAsia"/>
                <w:color w:val="auto"/>
                <w:spacing w:val="-10"/>
                <w:szCs w:val="21"/>
                <w:highlight w:val="none"/>
              </w:rPr>
              <w:t>、如有不明确或不一致，构成合同文件组成内容的，以合同文件约定内容为准，且以专用合同条款约定的合同文件优先顺序解释；</w:t>
            </w:r>
          </w:p>
          <w:p w14:paraId="2334A165">
            <w:pPr>
              <w:pStyle w:val="221"/>
              <w:tabs>
                <w:tab w:val="left" w:pos="636"/>
              </w:tabs>
              <w:adjustRightInd w:val="0"/>
              <w:snapToGrid w:val="0"/>
              <w:spacing w:line="400" w:lineRule="exact"/>
              <w:jc w:val="left"/>
              <w:rPr>
                <w:rFonts w:hint="eastAsia" w:ascii="宋体" w:hAnsi="宋体" w:eastAsia="宋体" w:cs="宋体"/>
                <w:color w:val="auto"/>
                <w:szCs w:val="21"/>
                <w:highlight w:val="none"/>
              </w:rPr>
            </w:pPr>
            <w:r>
              <w:rPr>
                <w:color w:val="auto"/>
                <w:spacing w:val="-2"/>
                <w:szCs w:val="21"/>
                <w:highlight w:val="none"/>
              </w:rPr>
              <w:t>4</w:t>
            </w:r>
            <w:r>
              <w:rPr>
                <w:rFonts w:hint="eastAsia"/>
                <w:color w:val="auto"/>
                <w:spacing w:val="-2"/>
                <w:szCs w:val="21"/>
                <w:highlight w:val="none"/>
              </w:rPr>
              <w:t>、</w:t>
            </w:r>
            <w:r>
              <w:rPr>
                <w:rFonts w:hint="eastAsia"/>
                <w:color w:val="auto"/>
                <w:spacing w:val="-3"/>
                <w:szCs w:val="21"/>
                <w:highlight w:val="none"/>
              </w:rPr>
              <w:t>按本款前述规定仍不能形成结论的，由招标人负责解释。</w:t>
            </w:r>
          </w:p>
        </w:tc>
      </w:tr>
      <w:bookmarkEnd w:id="8"/>
      <w:bookmarkEnd w:id="9"/>
      <w:bookmarkEnd w:id="10"/>
      <w:bookmarkEnd w:id="11"/>
    </w:tbl>
    <w:p w14:paraId="5637BA42">
      <w:pPr>
        <w:pStyle w:val="5"/>
        <w:bidi w:val="0"/>
        <w:rPr>
          <w:rFonts w:hint="eastAsia"/>
          <w:color w:val="auto"/>
          <w:highlight w:val="none"/>
        </w:rPr>
      </w:pPr>
      <w:bookmarkStart w:id="57" w:name="_Toc15058846"/>
      <w:bookmarkStart w:id="58" w:name="_Toc35424887"/>
      <w:bookmarkStart w:id="59" w:name="_Toc8739"/>
      <w:bookmarkStart w:id="60" w:name="_Toc35947170"/>
      <w:bookmarkStart w:id="61" w:name="_Toc13234"/>
      <w:bookmarkStart w:id="62" w:name="_Toc35425053"/>
      <w:bookmarkStart w:id="63" w:name="_Toc531771949"/>
      <w:bookmarkStart w:id="64" w:name="_Toc8218_WPSOffice_Level1"/>
      <w:r>
        <w:rPr>
          <w:rFonts w:hint="eastAsia"/>
          <w:color w:val="auto"/>
          <w:highlight w:val="none"/>
        </w:rPr>
        <w:t>1. 总则</w:t>
      </w:r>
      <w:bookmarkEnd w:id="57"/>
      <w:bookmarkEnd w:id="58"/>
      <w:bookmarkEnd w:id="59"/>
      <w:bookmarkEnd w:id="60"/>
      <w:bookmarkEnd w:id="61"/>
      <w:bookmarkEnd w:id="62"/>
    </w:p>
    <w:p w14:paraId="52BAEDB0">
      <w:pPr>
        <w:spacing w:line="440" w:lineRule="atLeast"/>
        <w:ind w:firstLine="422" w:firstLineChars="200"/>
        <w:outlineLvl w:val="2"/>
        <w:rPr>
          <w:rFonts w:hint="eastAsia" w:ascii="宋体" w:hAnsi="宋体" w:cs="宋体"/>
          <w:b/>
          <w:bCs/>
          <w:color w:val="auto"/>
          <w:szCs w:val="21"/>
          <w:highlight w:val="none"/>
        </w:rPr>
      </w:pPr>
      <w:bookmarkStart w:id="65" w:name="_Toc15058847"/>
      <w:bookmarkStart w:id="66" w:name="_Toc22151"/>
      <w:bookmarkStart w:id="67" w:name="_Toc179632547"/>
      <w:bookmarkStart w:id="68" w:name="_Toc144974498"/>
      <w:bookmarkStart w:id="69" w:name="_Toc296602421"/>
      <w:bookmarkStart w:id="70" w:name="_Toc246996919"/>
      <w:bookmarkStart w:id="71" w:name="_Toc246996176"/>
      <w:bookmarkStart w:id="72" w:name="_Toc35424888"/>
      <w:bookmarkStart w:id="73" w:name="_Toc506107270"/>
      <w:bookmarkStart w:id="74" w:name="_Toc152045530"/>
      <w:bookmarkStart w:id="75" w:name="_Toc152042306"/>
      <w:bookmarkStart w:id="76" w:name="_Toc35425054"/>
      <w:bookmarkStart w:id="77" w:name="_Toc324404816"/>
      <w:bookmarkStart w:id="78" w:name="_Toc247085690"/>
      <w:bookmarkStart w:id="79" w:name="_Toc35947171"/>
      <w:r>
        <w:rPr>
          <w:rFonts w:hint="eastAsia" w:ascii="宋体" w:hAnsi="宋体" w:cs="宋体"/>
          <w:b/>
          <w:bCs/>
          <w:color w:val="auto"/>
          <w:szCs w:val="21"/>
          <w:highlight w:val="none"/>
        </w:rPr>
        <w:t>1.1 项目概况</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5C78769A">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1.1</w:t>
      </w:r>
      <w:r>
        <w:rPr>
          <w:rFonts w:hint="eastAsia" w:ascii="宋体"/>
          <w:color w:val="auto"/>
          <w:szCs w:val="21"/>
          <w:highlight w:val="none"/>
          <w:lang w:val="en-US" w:eastAsia="zh-CN"/>
        </w:rPr>
        <w:t>.1</w:t>
      </w:r>
      <w:r>
        <w:rPr>
          <w:rFonts w:hint="eastAsia" w:ascii="宋体"/>
          <w:color w:val="auto"/>
          <w:szCs w:val="21"/>
          <w:highlight w:val="none"/>
        </w:rPr>
        <w:t>本次招标采购项目名称：见投标人须知前附表。</w:t>
      </w:r>
    </w:p>
    <w:p w14:paraId="0FFEDD12">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w:t>
      </w:r>
      <w:r>
        <w:rPr>
          <w:rFonts w:hint="eastAsia" w:ascii="宋体"/>
          <w:color w:val="auto"/>
          <w:szCs w:val="21"/>
          <w:highlight w:val="none"/>
          <w:lang w:val="en-US" w:eastAsia="zh-CN"/>
        </w:rPr>
        <w:t xml:space="preserve">    采购人</w:t>
      </w:r>
      <w:r>
        <w:rPr>
          <w:rFonts w:hint="eastAsia" w:ascii="宋体"/>
          <w:color w:val="auto"/>
          <w:szCs w:val="21"/>
          <w:highlight w:val="none"/>
        </w:rPr>
        <w:t>：见投标人须知前附表。</w:t>
      </w:r>
    </w:p>
    <w:p w14:paraId="27E7AA94">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w:t>
      </w:r>
      <w:r>
        <w:rPr>
          <w:rFonts w:hint="eastAsia" w:ascii="宋体"/>
          <w:color w:val="auto"/>
          <w:szCs w:val="21"/>
          <w:highlight w:val="none"/>
          <w:lang w:val="en-US" w:eastAsia="zh-CN"/>
        </w:rPr>
        <w:t>合同履行期</w:t>
      </w:r>
      <w:r>
        <w:rPr>
          <w:rFonts w:hint="eastAsia" w:ascii="宋体"/>
          <w:color w:val="auto"/>
          <w:szCs w:val="21"/>
          <w:highlight w:val="none"/>
        </w:rPr>
        <w:t>：见投标人须知前附表。</w:t>
      </w:r>
    </w:p>
    <w:p w14:paraId="1282D1B9">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供货地点：见投标人须知前附表。</w:t>
      </w:r>
    </w:p>
    <w:p w14:paraId="3BD4A5CA">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2</w:t>
      </w:r>
      <w:r>
        <w:rPr>
          <w:rFonts w:hint="eastAsia" w:ascii="宋体"/>
          <w:color w:val="auto"/>
          <w:szCs w:val="21"/>
          <w:highlight w:val="none"/>
          <w:lang w:val="en-US" w:eastAsia="zh-CN"/>
        </w:rPr>
        <w:t>招标</w:t>
      </w:r>
      <w:r>
        <w:rPr>
          <w:rFonts w:hint="eastAsia" w:ascii="宋体"/>
          <w:color w:val="auto"/>
          <w:szCs w:val="21"/>
          <w:highlight w:val="none"/>
          <w:lang w:eastAsia="zh-CN"/>
        </w:rPr>
        <w:t>人</w:t>
      </w:r>
      <w:r>
        <w:rPr>
          <w:rFonts w:hint="eastAsia" w:ascii="宋体"/>
          <w:color w:val="auto"/>
          <w:szCs w:val="21"/>
          <w:highlight w:val="none"/>
        </w:rPr>
        <w:t>及联系人</w:t>
      </w:r>
      <w:r>
        <w:rPr>
          <w:rFonts w:hint="eastAsia" w:ascii="宋体"/>
          <w:color w:val="auto"/>
          <w:szCs w:val="21"/>
          <w:highlight w:val="none"/>
          <w:lang w:eastAsia="zh-CN"/>
        </w:rPr>
        <w:t>：</w:t>
      </w:r>
      <w:r>
        <w:rPr>
          <w:rFonts w:hint="eastAsia" w:ascii="宋体"/>
          <w:color w:val="auto"/>
          <w:szCs w:val="21"/>
          <w:highlight w:val="none"/>
        </w:rPr>
        <w:t xml:space="preserve"> 见投标人须知前附表。</w:t>
      </w:r>
    </w:p>
    <w:p w14:paraId="1628147C">
      <w:pPr>
        <w:pageBreakBefore w:val="0"/>
        <w:widowControl w:val="0"/>
        <w:kinsoku/>
        <w:overflowPunct/>
        <w:topLinePunct w:val="0"/>
        <w:bidi w:val="0"/>
        <w:snapToGrid w:val="0"/>
        <w:spacing w:line="400" w:lineRule="exact"/>
        <w:ind w:firstLine="735" w:firstLineChars="350"/>
        <w:rPr>
          <w:rFonts w:hint="eastAsia" w:ascii="宋体"/>
          <w:color w:val="auto"/>
          <w:szCs w:val="21"/>
          <w:highlight w:val="none"/>
          <w:u w:val="single"/>
        </w:rPr>
      </w:pPr>
      <w:r>
        <w:rPr>
          <w:rFonts w:hint="eastAsia" w:ascii="宋体"/>
          <w:color w:val="auto"/>
          <w:szCs w:val="21"/>
          <w:highlight w:val="none"/>
        </w:rPr>
        <w:t xml:space="preserve"> 代理机构及联系人</w:t>
      </w:r>
      <w:r>
        <w:rPr>
          <w:rFonts w:hint="eastAsia" w:ascii="宋体"/>
          <w:color w:val="auto"/>
          <w:szCs w:val="21"/>
          <w:highlight w:val="none"/>
          <w:lang w:eastAsia="zh-CN"/>
        </w:rPr>
        <w:t>：</w:t>
      </w:r>
      <w:r>
        <w:rPr>
          <w:rFonts w:hint="eastAsia" w:ascii="宋体"/>
          <w:color w:val="auto"/>
          <w:szCs w:val="21"/>
          <w:highlight w:val="none"/>
        </w:rPr>
        <w:t xml:space="preserve"> 见投标人须知前附表。</w:t>
      </w:r>
    </w:p>
    <w:p w14:paraId="11843876">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3资金来源：见投标人须知前附表。</w:t>
      </w:r>
    </w:p>
    <w:p w14:paraId="388E764B">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4本项目预算：见投标人须知前附表。</w:t>
      </w:r>
    </w:p>
    <w:p w14:paraId="52CAA699">
      <w:pPr>
        <w:pageBreakBefore w:val="0"/>
        <w:widowControl w:val="0"/>
        <w:kinsoku/>
        <w:overflowPunct/>
        <w:topLinePunct w:val="0"/>
        <w:bidi w:val="0"/>
        <w:snapToGrid w:val="0"/>
        <w:spacing w:line="400" w:lineRule="exact"/>
        <w:ind w:firstLine="420" w:firstLineChars="200"/>
        <w:rPr>
          <w:rFonts w:hint="eastAsia" w:ascii="宋体" w:hAnsi="宋体" w:cs="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5本项目最高限价：见投标人须知前附表。</w:t>
      </w:r>
    </w:p>
    <w:p w14:paraId="7C7E4E7A">
      <w:pPr>
        <w:spacing w:line="440" w:lineRule="atLeast"/>
        <w:ind w:firstLine="422" w:firstLineChars="200"/>
        <w:outlineLvl w:val="2"/>
        <w:rPr>
          <w:rFonts w:hint="eastAsia" w:ascii="宋体" w:hAnsi="宋体" w:cs="宋体"/>
          <w:b/>
          <w:bCs/>
          <w:color w:val="auto"/>
          <w:szCs w:val="21"/>
          <w:highlight w:val="none"/>
        </w:rPr>
      </w:pPr>
      <w:bookmarkStart w:id="80" w:name="_Toc179632548"/>
      <w:bookmarkStart w:id="81" w:name="_Toc246996177"/>
      <w:bookmarkStart w:id="82" w:name="_Toc247085691"/>
      <w:bookmarkStart w:id="83" w:name="_Toc35425055"/>
      <w:bookmarkStart w:id="84" w:name="_Toc15058848"/>
      <w:bookmarkStart w:id="85" w:name="_Toc246996920"/>
      <w:bookmarkStart w:id="86" w:name="_Toc152042307"/>
      <w:bookmarkStart w:id="87" w:name="_Toc35947172"/>
      <w:bookmarkStart w:id="88" w:name="_Toc13913"/>
      <w:bookmarkStart w:id="89" w:name="_Toc296602422"/>
      <w:bookmarkStart w:id="90" w:name="_Toc152045531"/>
      <w:bookmarkStart w:id="91" w:name="_Toc506107271"/>
      <w:bookmarkStart w:id="92" w:name="_Toc324404817"/>
      <w:bookmarkStart w:id="93" w:name="_Toc144974499"/>
      <w:bookmarkStart w:id="94" w:name="_Toc35424889"/>
      <w:r>
        <w:rPr>
          <w:rFonts w:hint="eastAsia" w:ascii="宋体" w:hAnsi="宋体" w:cs="宋体"/>
          <w:b/>
          <w:bCs/>
          <w:color w:val="auto"/>
          <w:szCs w:val="21"/>
          <w:highlight w:val="none"/>
        </w:rPr>
        <w:t>1.2 资金来源和落实情况</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p>
    <w:p w14:paraId="3DA68B6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1.2.1 本招标项目的资金来源及出资比例：见投标人须知前附表。</w:t>
      </w:r>
    </w:p>
    <w:p w14:paraId="0AB001E6">
      <w:pPr>
        <w:spacing w:line="440" w:lineRule="atLeast"/>
        <w:ind w:firstLine="422" w:firstLineChars="200"/>
        <w:outlineLvl w:val="2"/>
        <w:rPr>
          <w:rFonts w:hint="eastAsia" w:ascii="宋体" w:hAnsi="宋体" w:cs="宋体"/>
          <w:b/>
          <w:bCs/>
          <w:color w:val="auto"/>
          <w:szCs w:val="21"/>
          <w:highlight w:val="none"/>
        </w:rPr>
      </w:pPr>
      <w:bookmarkStart w:id="95" w:name="_Toc144974500"/>
      <w:bookmarkStart w:id="96" w:name="_Toc152042308"/>
      <w:bookmarkStart w:id="97" w:name="_Toc26911"/>
      <w:bookmarkStart w:id="98" w:name="_Toc15058849"/>
      <w:bookmarkStart w:id="99" w:name="_Toc35424890"/>
      <w:bookmarkStart w:id="100" w:name="_Toc506107272"/>
      <w:bookmarkStart w:id="101" w:name="_Toc296602423"/>
      <w:bookmarkStart w:id="102" w:name="_Toc246996178"/>
      <w:bookmarkStart w:id="103" w:name="_Toc35425056"/>
      <w:bookmarkStart w:id="104" w:name="_Toc247085692"/>
      <w:bookmarkStart w:id="105" w:name="_Toc246996921"/>
      <w:bookmarkStart w:id="106" w:name="_Toc324404818"/>
      <w:bookmarkStart w:id="107" w:name="_Toc179632549"/>
      <w:bookmarkStart w:id="108" w:name="_Toc35947173"/>
      <w:bookmarkStart w:id="109" w:name="_Toc152045532"/>
      <w:r>
        <w:rPr>
          <w:rFonts w:hint="eastAsia" w:ascii="宋体" w:hAnsi="宋体" w:cs="宋体"/>
          <w:b/>
          <w:bCs/>
          <w:color w:val="auto"/>
          <w:szCs w:val="21"/>
          <w:highlight w:val="none"/>
        </w:rPr>
        <w:t>1.3 招标范围、质量要求</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299B714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 本次招标范围：见投标人须知前附表。</w:t>
      </w:r>
    </w:p>
    <w:p w14:paraId="3E255A5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 本招标项目的质量要求：见投标人须知前附表。</w:t>
      </w:r>
    </w:p>
    <w:p w14:paraId="619A52E1">
      <w:pPr>
        <w:spacing w:line="440" w:lineRule="atLeast"/>
        <w:ind w:firstLine="422" w:firstLineChars="200"/>
        <w:outlineLvl w:val="2"/>
        <w:rPr>
          <w:rFonts w:hint="eastAsia" w:ascii="宋体" w:hAnsi="宋体" w:cs="宋体"/>
          <w:b/>
          <w:bCs/>
          <w:color w:val="auto"/>
          <w:szCs w:val="21"/>
          <w:highlight w:val="none"/>
        </w:rPr>
      </w:pPr>
      <w:bookmarkStart w:id="110" w:name="_Toc179632551"/>
      <w:bookmarkStart w:id="111" w:name="_Toc246996179"/>
      <w:bookmarkStart w:id="112" w:name="_Toc296602424"/>
      <w:bookmarkStart w:id="113" w:name="_Toc324404819"/>
      <w:bookmarkStart w:id="114" w:name="_Toc506107273"/>
      <w:bookmarkStart w:id="115" w:name="_Toc152042310"/>
      <w:bookmarkStart w:id="116" w:name="_Toc247085693"/>
      <w:bookmarkStart w:id="117" w:name="_Toc6279"/>
      <w:bookmarkStart w:id="118" w:name="_Toc144974502"/>
      <w:bookmarkStart w:id="119" w:name="_Toc35424891"/>
      <w:bookmarkStart w:id="120" w:name="_Toc15058850"/>
      <w:bookmarkStart w:id="121" w:name="_Toc152045534"/>
      <w:bookmarkStart w:id="122" w:name="_Toc35947174"/>
      <w:bookmarkStart w:id="123" w:name="_Toc35425057"/>
      <w:bookmarkStart w:id="124" w:name="_Toc246996922"/>
      <w:r>
        <w:rPr>
          <w:rFonts w:hint="eastAsia" w:ascii="宋体" w:hAnsi="宋体" w:cs="宋体"/>
          <w:b/>
          <w:bCs/>
          <w:color w:val="auto"/>
          <w:szCs w:val="21"/>
          <w:highlight w:val="none"/>
        </w:rPr>
        <w:t>1.4 投标人资格要求</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4577AFF7">
      <w:pPr>
        <w:spacing w:line="440" w:lineRule="atLeast"/>
        <w:ind w:firstLine="420" w:firstLineChars="200"/>
        <w:outlineLvl w:val="2"/>
        <w:rPr>
          <w:rFonts w:hint="eastAsia" w:ascii="宋体" w:hAnsi="宋体" w:cs="宋体"/>
          <w:color w:val="auto"/>
          <w:szCs w:val="21"/>
          <w:highlight w:val="none"/>
        </w:rPr>
      </w:pPr>
      <w:r>
        <w:rPr>
          <w:rFonts w:hint="eastAsia" w:ascii="宋体" w:hAnsi="宋体" w:cs="宋体"/>
          <w:color w:val="auto"/>
          <w:szCs w:val="21"/>
          <w:highlight w:val="none"/>
        </w:rPr>
        <w:t xml:space="preserve">1.4.1 </w:t>
      </w:r>
      <w:r>
        <w:rPr>
          <w:rFonts w:hint="eastAsia" w:ascii="宋体" w:hAnsi="宋体" w:cs="宋体"/>
          <w:b/>
          <w:bCs/>
          <w:color w:val="auto"/>
          <w:szCs w:val="21"/>
          <w:highlight w:val="none"/>
        </w:rPr>
        <w:t>投标人资格要求</w:t>
      </w:r>
      <w:r>
        <w:rPr>
          <w:rFonts w:hint="eastAsia" w:ascii="宋体" w:hAnsi="宋体" w:cs="宋体"/>
          <w:b/>
          <w:bCs/>
          <w:color w:val="auto"/>
          <w:szCs w:val="21"/>
          <w:highlight w:val="none"/>
          <w:lang w:eastAsia="zh-CN"/>
        </w:rPr>
        <w:t>：</w:t>
      </w:r>
      <w:r>
        <w:rPr>
          <w:rFonts w:hint="eastAsia" w:ascii="宋体" w:hAnsi="宋体" w:cs="宋体"/>
          <w:color w:val="auto"/>
          <w:szCs w:val="21"/>
          <w:highlight w:val="none"/>
        </w:rPr>
        <w:t>见投标人须知前附表。</w:t>
      </w:r>
    </w:p>
    <w:p w14:paraId="006436F5">
      <w:pPr>
        <w:spacing w:line="440" w:lineRule="atLeast"/>
        <w:ind w:firstLine="422" w:firstLineChars="200"/>
        <w:outlineLvl w:val="2"/>
        <w:rPr>
          <w:rFonts w:hint="eastAsia" w:ascii="宋体" w:hAnsi="宋体" w:cs="宋体"/>
          <w:b/>
          <w:bCs/>
          <w:color w:val="auto"/>
          <w:szCs w:val="21"/>
          <w:highlight w:val="none"/>
        </w:rPr>
      </w:pPr>
      <w:bookmarkStart w:id="125" w:name="_Toc246996923"/>
      <w:bookmarkStart w:id="126" w:name="_Toc15058851"/>
      <w:bookmarkStart w:id="127" w:name="_Toc14292"/>
      <w:bookmarkStart w:id="128" w:name="_Toc35424892"/>
      <w:bookmarkStart w:id="129" w:name="_Toc152042311"/>
      <w:bookmarkStart w:id="130" w:name="_Toc35425058"/>
      <w:bookmarkStart w:id="131" w:name="_Toc179632552"/>
      <w:bookmarkStart w:id="132" w:name="_Toc247085694"/>
      <w:bookmarkStart w:id="133" w:name="_Toc144974503"/>
      <w:bookmarkStart w:id="134" w:name="_Toc35947175"/>
      <w:bookmarkStart w:id="135" w:name="_Toc296602425"/>
      <w:bookmarkStart w:id="136" w:name="_Toc324404820"/>
      <w:bookmarkStart w:id="137" w:name="_Toc506107274"/>
      <w:bookmarkStart w:id="138" w:name="_Toc152045535"/>
      <w:bookmarkStart w:id="139" w:name="_Toc246996180"/>
      <w:r>
        <w:rPr>
          <w:rFonts w:hint="eastAsia" w:ascii="宋体" w:hAnsi="宋体" w:cs="宋体"/>
          <w:b/>
          <w:bCs/>
          <w:color w:val="auto"/>
          <w:szCs w:val="21"/>
          <w:highlight w:val="none"/>
        </w:rPr>
        <w:t>1.5 费用承担</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747554B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投标人准备和参加投标活动发生的费用自理。</w:t>
      </w:r>
    </w:p>
    <w:p w14:paraId="08C5B0BA">
      <w:pPr>
        <w:spacing w:line="440" w:lineRule="atLeast"/>
        <w:ind w:firstLine="422" w:firstLineChars="200"/>
        <w:outlineLvl w:val="2"/>
        <w:rPr>
          <w:rFonts w:hint="eastAsia" w:ascii="宋体" w:hAnsi="宋体" w:cs="宋体"/>
          <w:b/>
          <w:bCs/>
          <w:color w:val="auto"/>
          <w:szCs w:val="21"/>
          <w:highlight w:val="none"/>
        </w:rPr>
      </w:pPr>
      <w:bookmarkStart w:id="140" w:name="_Toc506107275"/>
      <w:bookmarkStart w:id="141" w:name="_Toc15058852"/>
      <w:bookmarkStart w:id="142" w:name="_Toc35424893"/>
      <w:bookmarkStart w:id="143" w:name="_Toc152042312"/>
      <w:bookmarkStart w:id="144" w:name="_Toc324404821"/>
      <w:bookmarkStart w:id="145" w:name="_Toc179632553"/>
      <w:bookmarkStart w:id="146" w:name="_Toc851"/>
      <w:bookmarkStart w:id="147" w:name="_Toc152045536"/>
      <w:bookmarkStart w:id="148" w:name="_Toc246996181"/>
      <w:bookmarkStart w:id="149" w:name="_Toc144974504"/>
      <w:bookmarkStart w:id="150" w:name="_Toc35947176"/>
      <w:bookmarkStart w:id="151" w:name="_Toc246996924"/>
      <w:bookmarkStart w:id="152" w:name="_Toc296602426"/>
      <w:bookmarkStart w:id="153" w:name="_Toc35425059"/>
      <w:bookmarkStart w:id="154" w:name="_Toc247085695"/>
      <w:r>
        <w:rPr>
          <w:rFonts w:hint="eastAsia" w:ascii="宋体" w:hAnsi="宋体" w:cs="宋体"/>
          <w:b/>
          <w:bCs/>
          <w:color w:val="auto"/>
          <w:szCs w:val="21"/>
          <w:highlight w:val="none"/>
        </w:rPr>
        <w:t>1.6 保密</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14:paraId="317C88C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参与招标投标活动的各方应对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 xml:space="preserve">和投标文件中的商业和技术等秘密保密，违者应对由此造成的后果承担法律责任。 </w:t>
      </w:r>
    </w:p>
    <w:p w14:paraId="50B97AF6">
      <w:pPr>
        <w:spacing w:line="440" w:lineRule="atLeast"/>
        <w:ind w:firstLine="422" w:firstLineChars="200"/>
        <w:outlineLvl w:val="2"/>
        <w:rPr>
          <w:rFonts w:hint="eastAsia" w:ascii="宋体" w:hAnsi="宋体" w:cs="宋体"/>
          <w:b/>
          <w:bCs/>
          <w:color w:val="auto"/>
          <w:szCs w:val="21"/>
          <w:highlight w:val="none"/>
        </w:rPr>
      </w:pPr>
      <w:bookmarkStart w:id="155" w:name="_Toc144974505"/>
      <w:bookmarkStart w:id="156" w:name="_Toc246996925"/>
      <w:bookmarkStart w:id="157" w:name="_Toc247085696"/>
      <w:bookmarkStart w:id="158" w:name="_Toc296602427"/>
      <w:bookmarkStart w:id="159" w:name="_Toc506107276"/>
      <w:bookmarkStart w:id="160" w:name="_Toc35947177"/>
      <w:bookmarkStart w:id="161" w:name="_Toc15058853"/>
      <w:bookmarkStart w:id="162" w:name="_Toc20183"/>
      <w:bookmarkStart w:id="163" w:name="_Toc35425060"/>
      <w:bookmarkStart w:id="164" w:name="_Toc179632554"/>
      <w:bookmarkStart w:id="165" w:name="_Toc152045537"/>
      <w:bookmarkStart w:id="166" w:name="_Toc246996182"/>
      <w:bookmarkStart w:id="167" w:name="_Toc324404822"/>
      <w:bookmarkStart w:id="168" w:name="_Toc35424894"/>
      <w:bookmarkStart w:id="169" w:name="_Toc152042313"/>
      <w:r>
        <w:rPr>
          <w:rFonts w:hint="eastAsia" w:ascii="宋体" w:hAnsi="宋体" w:cs="宋体"/>
          <w:b/>
          <w:bCs/>
          <w:color w:val="auto"/>
          <w:szCs w:val="21"/>
          <w:highlight w:val="none"/>
        </w:rPr>
        <w:t>1.7 语言</w:t>
      </w:r>
      <w:bookmarkEnd w:id="155"/>
      <w:r>
        <w:rPr>
          <w:rFonts w:hint="eastAsia" w:ascii="宋体" w:hAnsi="宋体" w:cs="宋体"/>
          <w:b/>
          <w:bCs/>
          <w:color w:val="auto"/>
          <w:szCs w:val="21"/>
          <w:highlight w:val="none"/>
        </w:rPr>
        <w:t>文字</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14:paraId="08007030">
      <w:pPr>
        <w:spacing w:line="440" w:lineRule="atLeast"/>
        <w:ind w:firstLine="420" w:firstLineChars="200"/>
        <w:rPr>
          <w:rFonts w:hint="eastAsia" w:ascii="宋体" w:hAnsi="宋体" w:cs="宋体"/>
          <w:color w:val="auto"/>
          <w:szCs w:val="21"/>
          <w:highlight w:val="none"/>
        </w:rPr>
      </w:pPr>
      <w:bookmarkStart w:id="170" w:name="_Toc246996926"/>
      <w:bookmarkStart w:id="171" w:name="_Toc247085697"/>
      <w:bookmarkStart w:id="172" w:name="_Toc144974506"/>
      <w:bookmarkStart w:id="173" w:name="_Toc152045538"/>
      <w:bookmarkStart w:id="174" w:name="_Toc152042314"/>
      <w:bookmarkStart w:id="175" w:name="_Toc246996183"/>
      <w:bookmarkStart w:id="176" w:name="_Toc179632555"/>
      <w:r>
        <w:rPr>
          <w:rFonts w:hint="eastAsia" w:ascii="宋体" w:hAnsi="宋体" w:cs="宋体"/>
          <w:color w:val="auto"/>
          <w:szCs w:val="21"/>
          <w:highlight w:val="none"/>
        </w:rPr>
        <w:t>招标投标文件使用的语言文字为中文。专用术语使用外文的，应附有中文注释。</w:t>
      </w:r>
    </w:p>
    <w:p w14:paraId="0299F9B3">
      <w:pPr>
        <w:spacing w:line="440" w:lineRule="atLeast"/>
        <w:ind w:firstLine="422" w:firstLineChars="200"/>
        <w:outlineLvl w:val="2"/>
        <w:rPr>
          <w:rFonts w:hint="eastAsia" w:ascii="宋体" w:hAnsi="宋体" w:cs="宋体"/>
          <w:b/>
          <w:bCs/>
          <w:color w:val="auto"/>
          <w:szCs w:val="21"/>
          <w:highlight w:val="none"/>
        </w:rPr>
      </w:pPr>
      <w:bookmarkStart w:id="177" w:name="_Toc9140"/>
      <w:bookmarkStart w:id="178" w:name="_Toc296602428"/>
      <w:bookmarkStart w:id="179" w:name="_Toc35424895"/>
      <w:bookmarkStart w:id="180" w:name="_Toc15058854"/>
      <w:bookmarkStart w:id="181" w:name="_Toc324404823"/>
      <w:bookmarkStart w:id="182" w:name="_Toc35425061"/>
      <w:bookmarkStart w:id="183" w:name="_Toc35947178"/>
      <w:bookmarkStart w:id="184" w:name="_Toc506107277"/>
      <w:r>
        <w:rPr>
          <w:rFonts w:hint="eastAsia" w:ascii="宋体" w:hAnsi="宋体" w:cs="宋体"/>
          <w:b/>
          <w:bCs/>
          <w:color w:val="auto"/>
          <w:szCs w:val="21"/>
          <w:highlight w:val="none"/>
        </w:rPr>
        <w:t>1.8 计量单位</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6CE90AB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所有计量均采用中华人民共和国法定计量单位。</w:t>
      </w:r>
    </w:p>
    <w:p w14:paraId="2787E2A0">
      <w:pPr>
        <w:spacing w:line="440" w:lineRule="atLeast"/>
        <w:ind w:firstLine="422" w:firstLineChars="200"/>
        <w:outlineLvl w:val="2"/>
        <w:rPr>
          <w:rFonts w:hint="eastAsia" w:ascii="宋体" w:hAnsi="宋体" w:cs="宋体"/>
          <w:b/>
          <w:bCs/>
          <w:color w:val="auto"/>
          <w:szCs w:val="21"/>
          <w:highlight w:val="none"/>
        </w:rPr>
      </w:pPr>
      <w:bookmarkStart w:id="185" w:name="_Toc31371"/>
      <w:bookmarkStart w:id="186" w:name="_Toc324404824"/>
      <w:bookmarkStart w:id="187" w:name="_Toc152042315"/>
      <w:bookmarkStart w:id="188" w:name="_Toc152045539"/>
      <w:bookmarkStart w:id="189" w:name="_Toc144974507"/>
      <w:bookmarkStart w:id="190" w:name="_Toc35425062"/>
      <w:bookmarkStart w:id="191" w:name="_Toc247592876"/>
      <w:bookmarkStart w:id="192" w:name="_Toc35947179"/>
      <w:bookmarkStart w:id="193" w:name="_Toc506107278"/>
      <w:bookmarkStart w:id="194" w:name="_Toc296602429"/>
      <w:bookmarkStart w:id="195" w:name="_Toc247513962"/>
      <w:bookmarkStart w:id="196" w:name="_Toc15058855"/>
      <w:bookmarkStart w:id="197" w:name="_Toc35424896"/>
      <w:bookmarkStart w:id="198" w:name="_Toc247527563"/>
      <w:r>
        <w:rPr>
          <w:rFonts w:hint="eastAsia" w:ascii="宋体" w:hAnsi="宋体" w:cs="宋体"/>
          <w:b/>
          <w:bCs/>
          <w:color w:val="auto"/>
          <w:szCs w:val="21"/>
          <w:highlight w:val="none"/>
        </w:rPr>
        <w:t>1.9 踏勘现场</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14:paraId="174273A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1.9.1 投标人须知前附表规定组织踏勘现场的，招标人按投标人须知前附表规定的时间、地点组织投标人踏勘项目现场。 </w:t>
      </w:r>
    </w:p>
    <w:p w14:paraId="02D5821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1.9.2 投标人踏勘现场发生的费用自理。</w:t>
      </w:r>
    </w:p>
    <w:p w14:paraId="3FE3948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1.9.3 除招标人的原因外，投标人自行负责在踏勘现场中所发生的人员伤亡和财产损失。</w:t>
      </w:r>
    </w:p>
    <w:p w14:paraId="0807EAA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1.9.4 招标人在踏勘现场中介绍的工程场地和相关的周边环境情况，供投标人在编制投标文件时参考，招标人不对投标人据此作出的判断和决策负责。</w:t>
      </w:r>
    </w:p>
    <w:p w14:paraId="2EB10BBD">
      <w:pPr>
        <w:pStyle w:val="5"/>
        <w:bidi w:val="0"/>
        <w:rPr>
          <w:rFonts w:hint="eastAsia"/>
          <w:color w:val="auto"/>
          <w:highlight w:val="none"/>
        </w:rPr>
      </w:pPr>
      <w:bookmarkStart w:id="199" w:name="_Toc152042318"/>
      <w:bookmarkStart w:id="200" w:name="_Toc246996187"/>
      <w:bookmarkStart w:id="201" w:name="_Toc15058858"/>
      <w:bookmarkStart w:id="202" w:name="_Toc35424899"/>
      <w:bookmarkStart w:id="203" w:name="_Toc26510"/>
      <w:bookmarkStart w:id="204" w:name="_Toc506107281"/>
      <w:bookmarkStart w:id="205" w:name="_Toc246996930"/>
      <w:bookmarkStart w:id="206" w:name="_Toc179632560"/>
      <w:bookmarkStart w:id="207" w:name="_Toc35947182"/>
      <w:bookmarkStart w:id="208" w:name="_Toc35425065"/>
      <w:bookmarkStart w:id="209" w:name="_Toc152045542"/>
      <w:bookmarkStart w:id="210" w:name="_Toc144974510"/>
      <w:bookmarkStart w:id="211" w:name="_Toc247085701"/>
      <w:bookmarkStart w:id="212" w:name="_Toc324404827"/>
      <w:bookmarkStart w:id="213" w:name="_Toc5229"/>
      <w:r>
        <w:rPr>
          <w:rFonts w:hint="eastAsia"/>
          <w:color w:val="auto"/>
          <w:highlight w:val="none"/>
        </w:rPr>
        <w:t xml:space="preserve">2. </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hint="eastAsia"/>
          <w:color w:val="auto"/>
          <w:highlight w:val="none"/>
          <w:lang w:val="en-US" w:eastAsia="zh-CN"/>
        </w:rPr>
        <w:t>招标文件</w:t>
      </w:r>
      <w:bookmarkEnd w:id="213"/>
    </w:p>
    <w:p w14:paraId="78599063">
      <w:pPr>
        <w:spacing w:line="440" w:lineRule="atLeast"/>
        <w:ind w:firstLine="422" w:firstLineChars="200"/>
        <w:outlineLvl w:val="2"/>
        <w:rPr>
          <w:rFonts w:hint="eastAsia" w:ascii="宋体" w:hAnsi="宋体" w:cs="宋体"/>
          <w:b/>
          <w:bCs/>
          <w:color w:val="auto"/>
          <w:szCs w:val="21"/>
          <w:highlight w:val="none"/>
        </w:rPr>
      </w:pPr>
      <w:bookmarkStart w:id="214" w:name="_Toc35424900"/>
      <w:bookmarkStart w:id="215" w:name="_Toc246996931"/>
      <w:bookmarkStart w:id="216" w:name="_Toc296602433"/>
      <w:bookmarkStart w:id="217" w:name="_Toc247085702"/>
      <w:bookmarkStart w:id="218" w:name="_Toc35947183"/>
      <w:bookmarkStart w:id="219" w:name="_Toc324404828"/>
      <w:bookmarkStart w:id="220" w:name="_Toc35425066"/>
      <w:bookmarkStart w:id="221" w:name="_Toc246996188"/>
      <w:bookmarkStart w:id="222" w:name="_Toc152045543"/>
      <w:bookmarkStart w:id="223" w:name="_Toc506107282"/>
      <w:bookmarkStart w:id="224" w:name="_Toc152042319"/>
      <w:bookmarkStart w:id="225" w:name="_Toc144974511"/>
      <w:bookmarkStart w:id="226" w:name="_Toc23619"/>
      <w:bookmarkStart w:id="227" w:name="_Toc15058859"/>
      <w:bookmarkStart w:id="228" w:name="_Toc179632561"/>
      <w:r>
        <w:rPr>
          <w:rFonts w:hint="eastAsia" w:ascii="宋体" w:hAnsi="宋体" w:cs="宋体"/>
          <w:b/>
          <w:bCs/>
          <w:color w:val="auto"/>
          <w:szCs w:val="21"/>
          <w:highlight w:val="none"/>
        </w:rPr>
        <w:t xml:space="preserve">2.1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的组成</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183EC25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2.1.1 本</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包括：</w:t>
      </w:r>
    </w:p>
    <w:p w14:paraId="09DC3CC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（1）投标人须知；</w:t>
      </w:r>
    </w:p>
    <w:p w14:paraId="5F26E53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（2）评标办法</w:t>
      </w:r>
    </w:p>
    <w:p w14:paraId="70D4468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服务内容及要求</w:t>
      </w:r>
      <w:r>
        <w:rPr>
          <w:rFonts w:hint="eastAsia" w:ascii="宋体" w:hAnsi="宋体" w:cs="宋体"/>
          <w:color w:val="auto"/>
          <w:szCs w:val="21"/>
          <w:highlight w:val="none"/>
        </w:rPr>
        <w:t>；</w:t>
      </w:r>
    </w:p>
    <w:p w14:paraId="1F7F5B7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（4）合同条款及格式；</w:t>
      </w:r>
    </w:p>
    <w:p w14:paraId="648FB1C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（5）投标文件格式；</w:t>
      </w:r>
    </w:p>
    <w:p w14:paraId="6331B2B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（6）投标人须知前附表规定的其他材料。</w:t>
      </w:r>
    </w:p>
    <w:p w14:paraId="2B29B0B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2.1.2 根据本章第1.10款、第2.2款和第2.3款对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所</w:t>
      </w:r>
      <w:r>
        <w:rPr>
          <w:rFonts w:hint="eastAsia" w:ascii="宋体" w:hAnsi="宋体" w:cs="宋体"/>
          <w:color w:val="auto"/>
          <w:szCs w:val="21"/>
          <w:highlight w:val="none"/>
          <w:lang w:eastAsia="zh-CN"/>
        </w:rPr>
        <w:t>做</w:t>
      </w:r>
      <w:r>
        <w:rPr>
          <w:rFonts w:hint="eastAsia" w:ascii="宋体" w:hAnsi="宋体" w:cs="宋体"/>
          <w:color w:val="auto"/>
          <w:szCs w:val="21"/>
          <w:highlight w:val="none"/>
        </w:rPr>
        <w:t>的澄清、修改，构成</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的组成部分。</w:t>
      </w:r>
    </w:p>
    <w:p w14:paraId="574F164C">
      <w:pPr>
        <w:spacing w:line="440" w:lineRule="atLeast"/>
        <w:ind w:firstLine="422" w:firstLineChars="200"/>
        <w:outlineLvl w:val="2"/>
        <w:rPr>
          <w:rFonts w:hint="eastAsia" w:ascii="宋体" w:hAnsi="宋体" w:cs="宋体"/>
          <w:b/>
          <w:bCs/>
          <w:color w:val="auto"/>
          <w:szCs w:val="21"/>
          <w:highlight w:val="none"/>
        </w:rPr>
      </w:pPr>
      <w:bookmarkStart w:id="229" w:name="_Toc296602434"/>
      <w:bookmarkStart w:id="230" w:name="_Toc15058860"/>
      <w:bookmarkStart w:id="231" w:name="_Toc7670"/>
      <w:bookmarkStart w:id="232" w:name="_Toc152042320"/>
      <w:bookmarkStart w:id="233" w:name="_Toc246996932"/>
      <w:bookmarkStart w:id="234" w:name="_Toc35947184"/>
      <w:bookmarkStart w:id="235" w:name="_Toc506107283"/>
      <w:bookmarkStart w:id="236" w:name="_Toc324404829"/>
      <w:bookmarkStart w:id="237" w:name="_Toc246996189"/>
      <w:bookmarkStart w:id="238" w:name="_Toc35424901"/>
      <w:bookmarkStart w:id="239" w:name="_Toc144974512"/>
      <w:bookmarkStart w:id="240" w:name="_Toc179632562"/>
      <w:bookmarkStart w:id="241" w:name="_Toc152045544"/>
      <w:bookmarkStart w:id="242" w:name="_Toc247085703"/>
      <w:bookmarkStart w:id="243" w:name="_Toc35425067"/>
      <w:r>
        <w:rPr>
          <w:rFonts w:hint="eastAsia" w:ascii="宋体" w:hAnsi="宋体" w:cs="宋体"/>
          <w:b/>
          <w:bCs/>
          <w:color w:val="auto"/>
          <w:szCs w:val="21"/>
          <w:highlight w:val="none"/>
        </w:rPr>
        <w:t xml:space="preserve">2.2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的澄清</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r>
        <w:rPr>
          <w:rFonts w:hint="eastAsia" w:ascii="宋体" w:hAnsi="宋体" w:cs="宋体"/>
          <w:b/>
          <w:bCs/>
          <w:color w:val="auto"/>
          <w:szCs w:val="21"/>
          <w:highlight w:val="none"/>
        </w:rPr>
        <w:t xml:space="preserve"> </w:t>
      </w:r>
    </w:p>
    <w:p w14:paraId="5FB384D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投标人应仔细阅读和检查</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的全部内容。如有疑问，应在投标人须知前附表规定的时间前以网上邮件或书面形式（包括信函、电报、传真等可以有形地表现所载内容的形式，下同），要求招标人对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予以澄清。</w:t>
      </w:r>
    </w:p>
    <w:p w14:paraId="5DD560C4">
      <w:pPr>
        <w:spacing w:line="440" w:lineRule="atLeas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2.2.2 </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的澄清将在</w:t>
      </w:r>
      <w:r>
        <w:rPr>
          <w:rFonts w:hint="eastAsia" w:ascii="宋体" w:hAnsi="宋体" w:eastAsia="宋体" w:cs="宋体"/>
          <w:color w:val="auto"/>
          <w:szCs w:val="21"/>
          <w:highlight w:val="none"/>
          <w:lang w:eastAsia="zh-CN"/>
        </w:rPr>
        <w:t>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cs="宋体"/>
          <w:color w:val="auto"/>
          <w:szCs w:val="21"/>
          <w:highlight w:val="none"/>
        </w:rPr>
        <w:t>发布，但不指明澄清问题的来源。</w:t>
      </w:r>
    </w:p>
    <w:p w14:paraId="7F5716AA">
      <w:pPr>
        <w:spacing w:line="440" w:lineRule="atLeast"/>
        <w:ind w:firstLine="422" w:firstLineChars="200"/>
        <w:outlineLvl w:val="2"/>
        <w:rPr>
          <w:rFonts w:hint="eastAsia" w:ascii="宋体" w:hAnsi="宋体" w:cs="宋体"/>
          <w:b/>
          <w:bCs/>
          <w:color w:val="auto"/>
          <w:szCs w:val="21"/>
          <w:highlight w:val="none"/>
        </w:rPr>
      </w:pPr>
      <w:bookmarkStart w:id="244" w:name="_Toc324404830"/>
      <w:bookmarkStart w:id="245" w:name="_Toc246996190"/>
      <w:bookmarkStart w:id="246" w:name="_Toc246996933"/>
      <w:bookmarkStart w:id="247" w:name="_Toc152045545"/>
      <w:bookmarkStart w:id="248" w:name="_Toc35424902"/>
      <w:bookmarkStart w:id="249" w:name="_Toc179632563"/>
      <w:bookmarkStart w:id="250" w:name="_Toc247085704"/>
      <w:bookmarkStart w:id="251" w:name="_Toc15058861"/>
      <w:bookmarkStart w:id="252" w:name="_Toc35425068"/>
      <w:bookmarkStart w:id="253" w:name="_Toc152042321"/>
      <w:bookmarkStart w:id="254" w:name="_Toc296602435"/>
      <w:bookmarkStart w:id="255" w:name="_Toc12699"/>
      <w:bookmarkStart w:id="256" w:name="_Toc35947185"/>
      <w:bookmarkStart w:id="257" w:name="_Toc144974513"/>
      <w:bookmarkStart w:id="258" w:name="_Toc506107284"/>
      <w:r>
        <w:rPr>
          <w:rFonts w:hint="eastAsia" w:ascii="宋体" w:hAnsi="宋体" w:cs="宋体"/>
          <w:b/>
          <w:bCs/>
          <w:color w:val="auto"/>
          <w:szCs w:val="21"/>
          <w:highlight w:val="none"/>
        </w:rPr>
        <w:t xml:space="preserve">2.3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的修改</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511D566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招标人可以修改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，并以澄清的方式在</w:t>
      </w:r>
      <w:r>
        <w:rPr>
          <w:rFonts w:hint="eastAsia" w:ascii="宋体" w:hAnsi="宋体" w:eastAsia="宋体" w:cs="宋体"/>
          <w:color w:val="auto"/>
          <w:szCs w:val="21"/>
          <w:highlight w:val="none"/>
          <w:lang w:eastAsia="zh-CN"/>
        </w:rPr>
        <w:t>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cs="宋体"/>
          <w:color w:val="auto"/>
          <w:szCs w:val="21"/>
          <w:highlight w:val="none"/>
        </w:rPr>
        <w:t>发布。</w:t>
      </w:r>
    </w:p>
    <w:p w14:paraId="154AF482">
      <w:pPr>
        <w:spacing w:line="440" w:lineRule="atLeast"/>
        <w:ind w:firstLine="422" w:firstLineChars="200"/>
        <w:outlineLvl w:val="2"/>
        <w:rPr>
          <w:rFonts w:hint="eastAsia" w:ascii="宋体" w:hAnsi="宋体" w:cs="宋体"/>
          <w:b/>
          <w:bCs/>
          <w:color w:val="auto"/>
          <w:szCs w:val="21"/>
          <w:highlight w:val="none"/>
        </w:rPr>
      </w:pPr>
      <w:bookmarkStart w:id="259" w:name="_Toc324404831"/>
      <w:bookmarkStart w:id="260" w:name="_Toc15058862"/>
      <w:bookmarkStart w:id="261" w:name="_Toc992"/>
      <w:bookmarkStart w:id="262" w:name="_Toc35424903"/>
      <w:bookmarkStart w:id="263" w:name="_Toc35425069"/>
      <w:bookmarkStart w:id="264" w:name="_Toc35947186"/>
      <w:r>
        <w:rPr>
          <w:rFonts w:hint="eastAsia" w:ascii="宋体" w:hAnsi="宋体" w:cs="宋体"/>
          <w:b/>
          <w:bCs/>
          <w:color w:val="auto"/>
          <w:szCs w:val="21"/>
          <w:highlight w:val="none"/>
        </w:rPr>
        <w:t>2.4</w:t>
      </w:r>
      <w:bookmarkEnd w:id="259"/>
      <w:r>
        <w:rPr>
          <w:rFonts w:hint="eastAsia" w:ascii="宋体" w:hAnsi="宋体" w:cs="宋体"/>
          <w:b/>
          <w:bCs/>
          <w:color w:val="auto"/>
          <w:szCs w:val="21"/>
          <w:highlight w:val="none"/>
        </w:rPr>
        <w:t>最高投标限价</w:t>
      </w:r>
      <w:bookmarkEnd w:id="260"/>
      <w:bookmarkEnd w:id="261"/>
      <w:bookmarkEnd w:id="262"/>
      <w:bookmarkEnd w:id="263"/>
      <w:bookmarkEnd w:id="264"/>
    </w:p>
    <w:p w14:paraId="1B0DE36A">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2.4.1最高投标限价的作用和说明</w:t>
      </w:r>
    </w:p>
    <w:p w14:paraId="49081B87">
      <w:pPr>
        <w:spacing w:line="440" w:lineRule="exact"/>
        <w:ind w:firstLine="420" w:firstLineChars="200"/>
        <w:rPr>
          <w:rFonts w:hint="eastAsia"/>
          <w:color w:val="auto"/>
          <w:highlight w:val="none"/>
        </w:rPr>
      </w:pPr>
      <w:r>
        <w:rPr>
          <w:rFonts w:hint="eastAsia" w:ascii="宋体" w:hAnsi="宋体"/>
          <w:color w:val="auto"/>
          <w:szCs w:val="21"/>
          <w:highlight w:val="none"/>
        </w:rPr>
        <w:t>（1）</w:t>
      </w:r>
      <w:r>
        <w:rPr>
          <w:rFonts w:hint="eastAsia"/>
          <w:color w:val="auto"/>
          <w:highlight w:val="none"/>
        </w:rPr>
        <w:t>投标人的投标报价不得超过最高投标限价，最高投标限价的发布时间及方式在投标人须知前附表中载明。</w:t>
      </w:r>
    </w:p>
    <w:p w14:paraId="36A43825">
      <w:pPr>
        <w:spacing w:line="440" w:lineRule="exact"/>
        <w:ind w:firstLine="420" w:firstLineChars="200"/>
        <w:rPr>
          <w:rFonts w:hint="eastAsia" w:ascii="宋体" w:hAnsi="宋体" w:cs="宋体"/>
          <w:color w:val="auto"/>
          <w:szCs w:val="21"/>
          <w:highlight w:val="none"/>
        </w:rPr>
      </w:pPr>
      <w:r>
        <w:rPr>
          <w:rFonts w:hint="eastAsia" w:ascii="宋体" w:hAnsi="宋体"/>
          <w:color w:val="auto"/>
          <w:szCs w:val="21"/>
          <w:highlight w:val="none"/>
        </w:rPr>
        <w:t>（2）投标人对最高投标限价有异议的，可在</w:t>
      </w:r>
      <w:r>
        <w:rPr>
          <w:rFonts w:hint="eastAsia"/>
          <w:color w:val="auto"/>
          <w:highlight w:val="none"/>
        </w:rPr>
        <w:t>投标人须知前附表规定的时间内向招标人提出异议，</w:t>
      </w:r>
      <w:r>
        <w:rPr>
          <w:rFonts w:hint="eastAsia" w:ascii="宋体" w:hAnsi="宋体"/>
          <w:color w:val="auto"/>
          <w:szCs w:val="21"/>
          <w:highlight w:val="none"/>
        </w:rPr>
        <w:t>未在规定时间内提出异议的或投标人提出异议经招标人复核后的最高投标限价，视为合理有效。</w:t>
      </w:r>
    </w:p>
    <w:p w14:paraId="6BCB83A7">
      <w:pPr>
        <w:pStyle w:val="5"/>
        <w:bidi w:val="0"/>
        <w:spacing w:line="240" w:lineRule="auto"/>
        <w:rPr>
          <w:rFonts w:hint="eastAsia"/>
          <w:color w:val="auto"/>
          <w:highlight w:val="none"/>
        </w:rPr>
      </w:pPr>
      <w:bookmarkStart w:id="265" w:name="_Toc35425070"/>
      <w:bookmarkStart w:id="266" w:name="_Toc19969"/>
      <w:bookmarkStart w:id="267" w:name="_Toc24360"/>
      <w:bookmarkStart w:id="268" w:name="_Toc35424904"/>
      <w:bookmarkStart w:id="269" w:name="_Toc35947187"/>
      <w:bookmarkStart w:id="270" w:name="_Toc506107285"/>
      <w:bookmarkStart w:id="271" w:name="_Toc15058863"/>
      <w:r>
        <w:rPr>
          <w:rFonts w:hint="eastAsia"/>
          <w:color w:val="auto"/>
          <w:highlight w:val="none"/>
        </w:rPr>
        <w:t>3. 投标文件</w:t>
      </w:r>
      <w:bookmarkEnd w:id="265"/>
      <w:bookmarkEnd w:id="266"/>
      <w:bookmarkEnd w:id="267"/>
      <w:bookmarkEnd w:id="268"/>
      <w:bookmarkEnd w:id="269"/>
      <w:bookmarkEnd w:id="270"/>
      <w:bookmarkEnd w:id="271"/>
    </w:p>
    <w:p w14:paraId="466BDB59">
      <w:pPr>
        <w:spacing w:line="440" w:lineRule="atLeast"/>
        <w:ind w:firstLine="422" w:firstLineChars="200"/>
        <w:outlineLvl w:val="2"/>
        <w:rPr>
          <w:rFonts w:hint="eastAsia" w:ascii="宋体" w:hAnsi="宋体" w:cs="宋体"/>
          <w:b/>
          <w:bCs/>
          <w:color w:val="auto"/>
          <w:szCs w:val="21"/>
          <w:highlight w:val="none"/>
        </w:rPr>
      </w:pPr>
      <w:bookmarkStart w:id="272" w:name="_Toc10744"/>
      <w:bookmarkStart w:id="273" w:name="_Toc506107286"/>
      <w:bookmarkStart w:id="274" w:name="_Toc15058864"/>
      <w:bookmarkStart w:id="275" w:name="_Toc35947188"/>
      <w:bookmarkStart w:id="276" w:name="_Toc35425071"/>
      <w:bookmarkStart w:id="277" w:name="_Toc35424905"/>
      <w:r>
        <w:rPr>
          <w:rFonts w:hint="eastAsia" w:ascii="宋体" w:hAnsi="宋体" w:cs="宋体"/>
          <w:b/>
          <w:bCs/>
          <w:color w:val="auto"/>
          <w:szCs w:val="21"/>
          <w:highlight w:val="none"/>
        </w:rPr>
        <w:t>3.1 投标文件的组成</w:t>
      </w:r>
      <w:bookmarkEnd w:id="272"/>
      <w:bookmarkEnd w:id="273"/>
      <w:bookmarkEnd w:id="274"/>
      <w:bookmarkEnd w:id="275"/>
      <w:bookmarkEnd w:id="276"/>
      <w:bookmarkEnd w:id="277"/>
    </w:p>
    <w:p w14:paraId="7C79F6C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投标文件由资信证明文件</w:t>
      </w:r>
      <w:r>
        <w:rPr>
          <w:rFonts w:hint="eastAsia" w:ascii="宋体" w:hAnsi="宋体" w:cs="宋体"/>
          <w:color w:val="auto"/>
          <w:szCs w:val="21"/>
          <w:highlight w:val="none"/>
          <w:lang w:eastAsia="zh-CN"/>
        </w:rPr>
        <w:t>、</w:t>
      </w:r>
      <w:r>
        <w:rPr>
          <w:rFonts w:hint="eastAsia" w:ascii="宋体" w:hAnsi="宋体" w:cs="宋体"/>
          <w:color w:val="auto"/>
          <w:szCs w:val="21"/>
          <w:highlight w:val="none"/>
        </w:rPr>
        <w:t>商务标</w:t>
      </w:r>
      <w:r>
        <w:rPr>
          <w:rFonts w:hint="eastAsia" w:ascii="宋体" w:hAnsi="宋体" w:cs="宋体"/>
          <w:color w:val="auto"/>
          <w:szCs w:val="21"/>
          <w:highlight w:val="none"/>
          <w:lang w:val="en-US" w:eastAsia="zh-CN"/>
        </w:rPr>
        <w:t>两</w:t>
      </w:r>
      <w:r>
        <w:rPr>
          <w:rFonts w:hint="eastAsia" w:ascii="宋体" w:hAnsi="宋体" w:cs="宋体"/>
          <w:color w:val="auto"/>
          <w:szCs w:val="21"/>
          <w:highlight w:val="none"/>
        </w:rPr>
        <w:t>部分组成</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具体见第五章投标文件格式。</w:t>
      </w:r>
    </w:p>
    <w:p w14:paraId="7F0F5C2C">
      <w:pPr>
        <w:spacing w:line="440" w:lineRule="atLeast"/>
        <w:ind w:firstLine="422" w:firstLineChars="200"/>
        <w:outlineLvl w:val="2"/>
        <w:rPr>
          <w:rFonts w:hint="eastAsia" w:ascii="宋体" w:hAnsi="宋体" w:cs="宋体"/>
          <w:b/>
          <w:bCs/>
          <w:color w:val="auto"/>
          <w:szCs w:val="21"/>
          <w:highlight w:val="none"/>
        </w:rPr>
      </w:pPr>
      <w:bookmarkStart w:id="278" w:name="_Toc31424"/>
      <w:bookmarkStart w:id="279" w:name="_Toc35947189"/>
      <w:bookmarkStart w:id="280" w:name="_Toc324404834"/>
      <w:bookmarkStart w:id="281" w:name="_Toc15058865"/>
      <w:bookmarkStart w:id="282" w:name="_Toc246996193"/>
      <w:bookmarkStart w:id="283" w:name="_Toc246996936"/>
      <w:bookmarkStart w:id="284" w:name="_Toc506107287"/>
      <w:bookmarkStart w:id="285" w:name="_Toc152042324"/>
      <w:bookmarkStart w:id="286" w:name="_Toc152045548"/>
      <w:bookmarkStart w:id="287" w:name="_Toc35424906"/>
      <w:bookmarkStart w:id="288" w:name="_Toc296602438"/>
      <w:bookmarkStart w:id="289" w:name="_Toc144974516"/>
      <w:bookmarkStart w:id="290" w:name="_Toc247085707"/>
      <w:bookmarkStart w:id="291" w:name="_Toc35425072"/>
      <w:bookmarkStart w:id="292" w:name="_Toc179632566"/>
      <w:r>
        <w:rPr>
          <w:rFonts w:hint="eastAsia" w:ascii="宋体" w:hAnsi="宋体" w:cs="宋体"/>
          <w:b/>
          <w:bCs/>
          <w:color w:val="auto"/>
          <w:szCs w:val="21"/>
          <w:highlight w:val="none"/>
        </w:rPr>
        <w:t>3.2 投标报价</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69859299">
      <w:pPr>
        <w:spacing w:line="440" w:lineRule="exact"/>
        <w:ind w:firstLine="420" w:firstLineChars="200"/>
        <w:rPr>
          <w:rFonts w:hint="eastAsia" w:ascii="宋体" w:hAnsi="宋体"/>
          <w:color w:val="auto"/>
          <w:highlight w:val="none"/>
        </w:rPr>
      </w:pPr>
      <w:bookmarkStart w:id="293" w:name="_Toc324404835"/>
      <w:bookmarkStart w:id="294" w:name="_Toc246996937"/>
      <w:bookmarkStart w:id="295" w:name="_Toc247085708"/>
      <w:bookmarkStart w:id="296" w:name="_Toc152042325"/>
      <w:bookmarkStart w:id="297" w:name="_Toc144974517"/>
      <w:bookmarkStart w:id="298" w:name="_Toc152045549"/>
      <w:bookmarkStart w:id="299" w:name="_Toc296602439"/>
      <w:bookmarkStart w:id="300" w:name="_Toc246996194"/>
      <w:bookmarkStart w:id="301" w:name="_Toc179632567"/>
      <w:r>
        <w:rPr>
          <w:rFonts w:hint="eastAsia" w:ascii="宋体" w:hAnsi="宋体"/>
          <w:color w:val="auto"/>
          <w:highlight w:val="none"/>
        </w:rPr>
        <w:t>3.2.1 投标人的投标报价不得超过最高投标限价，最高投标限价的发布时间及方式在投标人须知前附表中载明。</w:t>
      </w:r>
    </w:p>
    <w:p w14:paraId="1D6F0FEB">
      <w:pPr>
        <w:spacing w:line="440" w:lineRule="exact"/>
        <w:ind w:firstLine="420" w:firstLineChars="200"/>
        <w:rPr>
          <w:rFonts w:hint="eastAsia" w:ascii="宋体" w:hAnsi="宋体"/>
          <w:color w:val="auto"/>
          <w:highlight w:val="none"/>
        </w:rPr>
      </w:pPr>
      <w:r>
        <w:rPr>
          <w:rFonts w:hint="eastAsia" w:ascii="宋体" w:hAnsi="宋体"/>
          <w:color w:val="auto"/>
          <w:highlight w:val="none"/>
        </w:rPr>
        <w:t>3.2.2投标报价应由法定代表人或被授权人签署。</w:t>
      </w:r>
    </w:p>
    <w:p w14:paraId="60A9E9FE">
      <w:pPr>
        <w:spacing w:line="440" w:lineRule="exact"/>
        <w:ind w:left="15" w:leftChars="7" w:firstLine="420" w:firstLineChars="200"/>
        <w:rPr>
          <w:rFonts w:hint="eastAsia" w:ascii="宋体" w:hAnsi="宋体"/>
          <w:color w:val="auto"/>
          <w:highlight w:val="none"/>
        </w:rPr>
      </w:pPr>
      <w:r>
        <w:rPr>
          <w:rFonts w:hint="eastAsia" w:ascii="宋体" w:hAnsi="宋体"/>
          <w:color w:val="auto"/>
          <w:highlight w:val="none"/>
        </w:rPr>
        <w:t>3.2.3投标人的投标报价应为项目招标范围内所提供的全部服务工作内容所需的全部费用，包含所有成本、利润和税金等全部费用。</w:t>
      </w:r>
    </w:p>
    <w:p w14:paraId="2EE032B3">
      <w:pPr>
        <w:spacing w:line="440" w:lineRule="atLeast"/>
        <w:ind w:firstLine="422" w:firstLineChars="200"/>
        <w:outlineLvl w:val="2"/>
        <w:rPr>
          <w:rFonts w:hint="eastAsia" w:ascii="宋体" w:hAnsi="宋体" w:cs="宋体"/>
          <w:b/>
          <w:bCs/>
          <w:color w:val="auto"/>
          <w:szCs w:val="21"/>
          <w:highlight w:val="none"/>
        </w:rPr>
      </w:pPr>
      <w:bookmarkStart w:id="302" w:name="_Toc35424907"/>
      <w:bookmarkStart w:id="303" w:name="_Toc506107288"/>
      <w:bookmarkStart w:id="304" w:name="_Toc24368"/>
      <w:bookmarkStart w:id="305" w:name="_Toc35425073"/>
      <w:bookmarkStart w:id="306" w:name="_Toc15058866"/>
      <w:bookmarkStart w:id="307" w:name="_Toc35947190"/>
      <w:r>
        <w:rPr>
          <w:rFonts w:hint="eastAsia" w:ascii="宋体" w:hAnsi="宋体" w:cs="宋体"/>
          <w:b/>
          <w:bCs/>
          <w:color w:val="auto"/>
          <w:szCs w:val="21"/>
          <w:highlight w:val="none"/>
        </w:rPr>
        <w:t>3.3 投标有效期</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4BB2ADD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3.3.1 除投标人须知前附表另有规定外，投标有效期为</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0天。</w:t>
      </w:r>
    </w:p>
    <w:p w14:paraId="147AB2B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3.3.2在投标有效期内，投标人撤销或修改其投标文件的，应承担</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和法律规定的责任。</w:t>
      </w:r>
    </w:p>
    <w:p w14:paraId="008EDB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3FDD14D9">
      <w:pPr>
        <w:spacing w:line="440" w:lineRule="atLeast"/>
        <w:ind w:firstLine="422" w:firstLineChars="200"/>
        <w:outlineLvl w:val="2"/>
        <w:rPr>
          <w:rFonts w:hint="eastAsia" w:ascii="宋体" w:hAnsi="宋体" w:cs="宋体"/>
          <w:b/>
          <w:bCs/>
          <w:color w:val="auto"/>
          <w:szCs w:val="21"/>
          <w:highlight w:val="none"/>
        </w:rPr>
      </w:pPr>
      <w:bookmarkStart w:id="308" w:name="_Toc2570"/>
      <w:bookmarkStart w:id="309" w:name="_Toc35425075"/>
      <w:bookmarkStart w:id="310" w:name="_Toc15058868"/>
      <w:bookmarkStart w:id="311" w:name="_Toc296602442"/>
      <w:bookmarkStart w:id="312" w:name="_Toc35424909"/>
      <w:bookmarkStart w:id="313" w:name="_Toc506107290"/>
      <w:bookmarkStart w:id="314" w:name="_Toc35947192"/>
      <w:bookmarkStart w:id="315" w:name="_Toc324404837"/>
      <w:bookmarkStart w:id="316" w:name="_Toc247085711"/>
      <w:bookmarkStart w:id="317" w:name="_Toc246996940"/>
      <w:bookmarkStart w:id="318" w:name="_Toc144974521"/>
      <w:bookmarkStart w:id="319" w:name="_Toc246996197"/>
      <w:bookmarkStart w:id="320" w:name="_Toc152042329"/>
      <w:bookmarkStart w:id="321" w:name="_Toc179632571"/>
      <w:bookmarkStart w:id="322" w:name="_Toc152045553"/>
      <w:r>
        <w:rPr>
          <w:rFonts w:hint="eastAsia" w:ascii="宋体" w:hAnsi="宋体" w:cs="宋体"/>
          <w:b/>
          <w:bCs/>
          <w:color w:val="auto"/>
          <w:szCs w:val="21"/>
          <w:highlight w:val="none"/>
        </w:rPr>
        <w:t>3.</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投标文件的编制</w:t>
      </w:r>
      <w:bookmarkEnd w:id="308"/>
      <w:bookmarkEnd w:id="309"/>
      <w:bookmarkEnd w:id="310"/>
      <w:bookmarkEnd w:id="311"/>
      <w:bookmarkEnd w:id="312"/>
      <w:bookmarkEnd w:id="313"/>
      <w:bookmarkEnd w:id="314"/>
      <w:bookmarkEnd w:id="315"/>
    </w:p>
    <w:bookmarkEnd w:id="316"/>
    <w:bookmarkEnd w:id="317"/>
    <w:bookmarkEnd w:id="318"/>
    <w:bookmarkEnd w:id="319"/>
    <w:bookmarkEnd w:id="320"/>
    <w:bookmarkEnd w:id="321"/>
    <w:bookmarkEnd w:id="322"/>
    <w:p w14:paraId="63C6D79F">
      <w:pPr>
        <w:spacing w:line="440" w:lineRule="atLeast"/>
        <w:ind w:firstLine="420" w:firstLineChars="200"/>
        <w:rPr>
          <w:rFonts w:hint="eastAsia" w:ascii="宋体" w:hAnsi="宋体" w:cs="宋体"/>
          <w:color w:val="auto"/>
          <w:szCs w:val="21"/>
          <w:highlight w:val="none"/>
        </w:rPr>
      </w:pPr>
      <w:bookmarkStart w:id="323" w:name="_Toc144974523"/>
      <w:bookmarkStart w:id="324" w:name="_Toc247085713"/>
      <w:bookmarkStart w:id="325" w:name="_Toc246996199"/>
      <w:bookmarkStart w:id="326" w:name="_Toc179632573"/>
      <w:bookmarkStart w:id="327" w:name="_Toc246996942"/>
      <w:bookmarkStart w:id="328" w:name="_Toc152045555"/>
      <w:bookmarkStart w:id="329" w:name="_Toc152042331"/>
      <w:bookmarkStart w:id="330" w:name="_Toc324404838"/>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.1投标文件应按第五章“投标文件格式”进行编写，如有必要，可以增加附页，作为投标文件的组成部分。</w:t>
      </w:r>
    </w:p>
    <w:p w14:paraId="3C0966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 投标文件应当对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有关工期、投标有效期、质量要求、技术标准和要求、招标范围等实质性内容作出响应。</w:t>
      </w:r>
    </w:p>
    <w:p w14:paraId="6C842D6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14:paraId="4AE8D36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.4 投标文件正本、 副本份数见投标人须知前附表。正本和副本的封面上应清楚地标记“正本”或“副本”的字样。当副本和正本不一致时，以正本为准。</w:t>
      </w:r>
    </w:p>
    <w:p w14:paraId="484A221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.5 投标文件的正本与副本应分别装订成册，具体装订要求见投标人须知前附表规定。</w:t>
      </w:r>
    </w:p>
    <w:p w14:paraId="3AC4293A">
      <w:pPr>
        <w:pStyle w:val="5"/>
        <w:bidi w:val="0"/>
        <w:rPr>
          <w:rFonts w:hint="eastAsia"/>
          <w:color w:val="auto"/>
          <w:highlight w:val="none"/>
        </w:rPr>
      </w:pPr>
      <w:bookmarkStart w:id="331" w:name="_Toc35424910"/>
      <w:bookmarkStart w:id="332" w:name="_Toc15058869"/>
      <w:bookmarkStart w:id="333" w:name="_Toc35425076"/>
      <w:bookmarkStart w:id="334" w:name="_Toc506107291"/>
      <w:bookmarkStart w:id="335" w:name="_Toc8706"/>
      <w:bookmarkStart w:id="336" w:name="_Toc35947193"/>
      <w:bookmarkStart w:id="337" w:name="_Toc26392"/>
      <w:r>
        <w:rPr>
          <w:rFonts w:hint="eastAsia"/>
          <w:color w:val="auto"/>
          <w:highlight w:val="none"/>
        </w:rPr>
        <w:t>4.投标</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p w14:paraId="6C30424F">
      <w:pPr>
        <w:spacing w:line="440" w:lineRule="atLeast"/>
        <w:ind w:firstLine="420" w:firstLineChars="200"/>
        <w:outlineLvl w:val="2"/>
        <w:rPr>
          <w:rFonts w:hint="eastAsia" w:ascii="宋体" w:hAnsi="宋体" w:cs="宋体"/>
          <w:color w:val="auto"/>
          <w:szCs w:val="21"/>
          <w:highlight w:val="none"/>
        </w:rPr>
      </w:pPr>
      <w:bookmarkStart w:id="338" w:name="_Toc152042332"/>
      <w:bookmarkStart w:id="339" w:name="_Toc296602444"/>
      <w:bookmarkStart w:id="340" w:name="_Toc247085714"/>
      <w:bookmarkStart w:id="341" w:name="_Toc144974524"/>
      <w:bookmarkStart w:id="342" w:name="_Toc1347"/>
      <w:bookmarkStart w:id="343" w:name="_Toc179632574"/>
      <w:bookmarkStart w:id="344" w:name="_Toc152045556"/>
      <w:bookmarkStart w:id="345" w:name="_Toc246996200"/>
      <w:bookmarkStart w:id="346" w:name="_Toc324404839"/>
      <w:bookmarkStart w:id="347" w:name="_Toc246996943"/>
      <w:bookmarkStart w:id="348" w:name="_Toc246996203"/>
      <w:bookmarkStart w:id="349" w:name="_Toc152045559"/>
      <w:bookmarkStart w:id="350" w:name="_Toc152042335"/>
      <w:bookmarkStart w:id="351" w:name="_Toc324404842"/>
      <w:bookmarkStart w:id="352" w:name="_Toc506107295"/>
      <w:bookmarkStart w:id="353" w:name="_Toc144974527"/>
      <w:bookmarkStart w:id="354" w:name="_Toc247085717"/>
      <w:bookmarkStart w:id="355" w:name="_Toc179632577"/>
      <w:bookmarkStart w:id="356" w:name="_Toc21611136"/>
      <w:bookmarkStart w:id="357" w:name="_Toc246996946"/>
      <w:bookmarkStart w:id="358" w:name="_Toc324404846"/>
      <w:bookmarkStart w:id="359" w:name="_Toc15058884"/>
      <w:bookmarkStart w:id="360" w:name="_Toc179632580"/>
      <w:bookmarkStart w:id="361" w:name="_Toc35947202"/>
      <w:bookmarkStart w:id="362" w:name="_Toc246996206"/>
      <w:bookmarkStart w:id="363" w:name="_Toc35424919"/>
      <w:bookmarkStart w:id="364" w:name="_Toc247085720"/>
      <w:bookmarkStart w:id="365" w:name="_Toc246996949"/>
      <w:bookmarkStart w:id="366" w:name="_Toc506107299"/>
      <w:bookmarkStart w:id="367" w:name="_Toc35425085"/>
      <w:bookmarkStart w:id="368" w:name="_Toc152045562"/>
      <w:bookmarkStart w:id="369" w:name="_Toc152042338"/>
      <w:bookmarkStart w:id="370" w:name="_Toc144974530"/>
      <w:r>
        <w:rPr>
          <w:rFonts w:hint="eastAsia" w:ascii="宋体" w:hAnsi="宋体" w:cs="宋体"/>
          <w:color w:val="auto"/>
          <w:szCs w:val="21"/>
          <w:highlight w:val="none"/>
        </w:rPr>
        <w:t>4.1 投标文件的密封和标记</w:t>
      </w:r>
      <w:bookmarkEnd w:id="338"/>
      <w:bookmarkEnd w:id="339"/>
      <w:bookmarkEnd w:id="340"/>
      <w:bookmarkEnd w:id="341"/>
      <w:bookmarkEnd w:id="342"/>
      <w:bookmarkEnd w:id="343"/>
      <w:bookmarkEnd w:id="344"/>
      <w:bookmarkEnd w:id="345"/>
      <w:bookmarkEnd w:id="346"/>
      <w:bookmarkEnd w:id="347"/>
    </w:p>
    <w:p w14:paraId="05B13157">
      <w:pPr>
        <w:spacing w:line="440" w:lineRule="atLeast"/>
        <w:ind w:firstLine="420" w:firstLineChars="200"/>
        <w:rPr>
          <w:rFonts w:hint="eastAsia" w:ascii="宋体" w:hAnsi="宋体" w:cs="宋体"/>
          <w:color w:val="auto"/>
          <w:szCs w:val="21"/>
          <w:highlight w:val="none"/>
        </w:rPr>
      </w:pPr>
      <w:bookmarkStart w:id="371" w:name="_Toc144974525"/>
      <w:bookmarkStart w:id="372" w:name="_Toc152045557"/>
      <w:bookmarkStart w:id="373" w:name="_Toc246996201"/>
      <w:bookmarkStart w:id="374" w:name="_Toc247085715"/>
      <w:bookmarkStart w:id="375" w:name="_Toc179632575"/>
      <w:bookmarkStart w:id="376" w:name="_Toc152042333"/>
      <w:bookmarkStart w:id="377" w:name="_Toc246996944"/>
      <w:r>
        <w:rPr>
          <w:rFonts w:hint="eastAsia" w:ascii="宋体" w:hAnsi="宋体" w:cs="宋体"/>
          <w:color w:val="auto"/>
          <w:szCs w:val="21"/>
          <w:highlight w:val="none"/>
        </w:rPr>
        <w:t>4.1.1 投标文件应进行</w:t>
      </w:r>
      <w:r>
        <w:rPr>
          <w:rFonts w:hint="eastAsia" w:ascii="宋体" w:hAnsi="宋体" w:cs="宋体"/>
          <w:color w:val="auto"/>
          <w:szCs w:val="21"/>
          <w:highlight w:val="none"/>
          <w:lang w:val="en-US" w:eastAsia="zh-CN"/>
        </w:rPr>
        <w:t>密封</w:t>
      </w:r>
      <w:r>
        <w:rPr>
          <w:rFonts w:hint="eastAsia" w:ascii="宋体" w:hAnsi="宋体" w:cs="宋体"/>
          <w:color w:val="auto"/>
          <w:szCs w:val="21"/>
          <w:highlight w:val="none"/>
        </w:rPr>
        <w:t>包装，并在封套</w:t>
      </w:r>
      <w:r>
        <w:rPr>
          <w:rFonts w:hint="eastAsia" w:ascii="宋体" w:hAnsi="宋体" w:cs="宋体"/>
          <w:color w:val="auto"/>
          <w:szCs w:val="21"/>
          <w:highlight w:val="none"/>
          <w:lang w:val="en-US" w:eastAsia="zh-CN"/>
        </w:rPr>
        <w:t>上</w:t>
      </w:r>
      <w:r>
        <w:rPr>
          <w:rFonts w:hint="eastAsia" w:ascii="宋体" w:hAnsi="宋体" w:cs="宋体"/>
          <w:color w:val="auto"/>
          <w:szCs w:val="21"/>
          <w:highlight w:val="none"/>
        </w:rPr>
        <w:t>加盖投标人单位章。</w:t>
      </w:r>
    </w:p>
    <w:p w14:paraId="433719C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4.1.2 投标文件封套上应写明的内容及具体密封要求见投标人须知前附表。</w:t>
      </w:r>
    </w:p>
    <w:p w14:paraId="25B79E7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4.1.3 未按本章第4.1.1项或第4.1.2项要求密封和加写标记的投标文件，招标人应予拒收。</w:t>
      </w:r>
    </w:p>
    <w:p w14:paraId="60BCF5B7">
      <w:pPr>
        <w:spacing w:line="440" w:lineRule="atLeast"/>
        <w:ind w:firstLine="422" w:firstLineChars="200"/>
        <w:outlineLvl w:val="2"/>
        <w:rPr>
          <w:rFonts w:hint="eastAsia" w:ascii="宋体" w:hAnsi="宋体" w:cs="宋体"/>
          <w:b/>
          <w:bCs/>
          <w:color w:val="auto"/>
          <w:szCs w:val="21"/>
          <w:highlight w:val="none"/>
        </w:rPr>
      </w:pPr>
      <w:bookmarkStart w:id="378" w:name="_Toc324404840"/>
      <w:bookmarkStart w:id="379" w:name="_Toc296602445"/>
      <w:bookmarkStart w:id="380" w:name="_Toc4531"/>
      <w:r>
        <w:rPr>
          <w:rFonts w:hint="eastAsia" w:ascii="宋体" w:hAnsi="宋体" w:cs="宋体"/>
          <w:b/>
          <w:bCs/>
          <w:color w:val="auto"/>
          <w:szCs w:val="21"/>
          <w:highlight w:val="none"/>
        </w:rPr>
        <w:t>4.2 投标文件的递交</w:t>
      </w:r>
      <w:bookmarkEnd w:id="371"/>
      <w:bookmarkEnd w:id="372"/>
      <w:bookmarkEnd w:id="373"/>
      <w:bookmarkEnd w:id="374"/>
      <w:bookmarkEnd w:id="375"/>
      <w:bookmarkEnd w:id="376"/>
      <w:bookmarkEnd w:id="377"/>
      <w:bookmarkEnd w:id="378"/>
      <w:bookmarkEnd w:id="379"/>
      <w:bookmarkEnd w:id="380"/>
    </w:p>
    <w:p w14:paraId="3D6A062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4.2.1投标人应在投标人须知前附表规定的投标截止时间前递交投标文件。</w:t>
      </w:r>
    </w:p>
    <w:p w14:paraId="6566C55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4.2.2 投标人递交投标文件的地点：见投标人须知前附表。</w:t>
      </w:r>
    </w:p>
    <w:p w14:paraId="34BEF50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4.2.3 除投标人须知前附表另有规定外，投标人所递交的投标文件不予退还。</w:t>
      </w:r>
    </w:p>
    <w:p w14:paraId="5AAC3EF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4.2.4 招标人收到投标文件后，各投标人须在相关表格上签到。</w:t>
      </w:r>
    </w:p>
    <w:p w14:paraId="19BA5B0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4.2.5 逾期送达的或者未送达指定地点的投标文件，招标人不予受理。</w:t>
      </w:r>
    </w:p>
    <w:p w14:paraId="4CBC6393">
      <w:pPr>
        <w:spacing w:line="440" w:lineRule="atLeast"/>
        <w:ind w:firstLine="422" w:firstLineChars="200"/>
        <w:outlineLvl w:val="2"/>
        <w:rPr>
          <w:rFonts w:hint="eastAsia" w:ascii="宋体" w:hAnsi="宋体" w:cs="宋体"/>
          <w:b/>
          <w:bCs/>
          <w:color w:val="auto"/>
          <w:szCs w:val="21"/>
          <w:highlight w:val="none"/>
        </w:rPr>
      </w:pPr>
      <w:bookmarkStart w:id="381" w:name="_Toc246996945"/>
      <w:bookmarkStart w:id="382" w:name="_Toc324404841"/>
      <w:bookmarkStart w:id="383" w:name="_Toc152042334"/>
      <w:bookmarkStart w:id="384" w:name="_Toc144974526"/>
      <w:bookmarkStart w:id="385" w:name="_Toc25278"/>
      <w:bookmarkStart w:id="386" w:name="_Toc296602446"/>
      <w:bookmarkStart w:id="387" w:name="_Toc179632576"/>
      <w:bookmarkStart w:id="388" w:name="_Toc246996202"/>
      <w:bookmarkStart w:id="389" w:name="_Toc247085716"/>
      <w:bookmarkStart w:id="390" w:name="_Toc152045558"/>
      <w:r>
        <w:rPr>
          <w:rFonts w:hint="eastAsia" w:ascii="宋体" w:hAnsi="宋体" w:cs="宋体"/>
          <w:b/>
          <w:bCs/>
          <w:color w:val="auto"/>
          <w:szCs w:val="21"/>
          <w:highlight w:val="none"/>
        </w:rPr>
        <w:t>4.3 投标文件的修改与撤回</w:t>
      </w:r>
      <w:bookmarkEnd w:id="381"/>
      <w:bookmarkEnd w:id="382"/>
      <w:bookmarkEnd w:id="383"/>
      <w:bookmarkEnd w:id="384"/>
      <w:bookmarkEnd w:id="385"/>
      <w:bookmarkEnd w:id="386"/>
      <w:bookmarkEnd w:id="387"/>
      <w:bookmarkEnd w:id="388"/>
      <w:bookmarkEnd w:id="389"/>
      <w:bookmarkEnd w:id="390"/>
    </w:p>
    <w:p w14:paraId="54247CD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4.3.1在投标人须知前附表规定的投标截止时间前，投标人可以修改或撤回已递交的投标文件，但应以书面形式通知招标人。</w:t>
      </w:r>
    </w:p>
    <w:p w14:paraId="603CD1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4.3.2 投标人修改或撤回已递交投标文件的书面通知应按照本章第3.5.3项的要求签字或盖章。招标人收到书面通知后，投标人签到登记。</w:t>
      </w:r>
    </w:p>
    <w:p w14:paraId="294950BB">
      <w:pPr>
        <w:spacing w:line="440" w:lineRule="atLeast"/>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4.3.3 投标人撤回投标文件的，招标人自收到投标人书面撤回通知之日起5日内退还已收取的投标保证金。</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本条不采用</w:t>
      </w:r>
      <w:r>
        <w:rPr>
          <w:rFonts w:hint="eastAsia" w:ascii="宋体" w:hAnsi="宋体" w:cs="宋体"/>
          <w:color w:val="auto"/>
          <w:szCs w:val="21"/>
          <w:highlight w:val="none"/>
          <w:lang w:eastAsia="zh-CN"/>
        </w:rPr>
        <w:t>）</w:t>
      </w:r>
    </w:p>
    <w:p w14:paraId="139D03E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4.3.4 修改的内容为投标文件的组成部分。修改的投标文件应按照本章第3条、第4条规定进行编制、密封、标记和递交，并标明“修改”字样。</w:t>
      </w:r>
    </w:p>
    <w:p w14:paraId="6BE5514A">
      <w:pPr>
        <w:pStyle w:val="5"/>
        <w:bidi w:val="0"/>
        <w:rPr>
          <w:rFonts w:hint="eastAsia"/>
          <w:color w:val="auto"/>
          <w:highlight w:val="none"/>
        </w:rPr>
      </w:pPr>
      <w:bookmarkStart w:id="391" w:name="_Toc440"/>
      <w:bookmarkStart w:id="392" w:name="_Toc9416"/>
      <w:r>
        <w:rPr>
          <w:rFonts w:hint="eastAsia"/>
          <w:color w:val="auto"/>
          <w:highlight w:val="none"/>
        </w:rPr>
        <w:t>5. 开标</w:t>
      </w:r>
      <w:bookmarkEnd w:id="348"/>
      <w:bookmarkEnd w:id="349"/>
      <w:bookmarkEnd w:id="350"/>
      <w:bookmarkEnd w:id="351"/>
      <w:bookmarkEnd w:id="352"/>
      <w:bookmarkEnd w:id="353"/>
      <w:bookmarkEnd w:id="354"/>
      <w:bookmarkEnd w:id="355"/>
      <w:bookmarkEnd w:id="356"/>
      <w:bookmarkEnd w:id="357"/>
      <w:bookmarkEnd w:id="391"/>
      <w:bookmarkEnd w:id="392"/>
    </w:p>
    <w:p w14:paraId="051CFF9E">
      <w:pPr>
        <w:spacing w:line="440" w:lineRule="atLeast"/>
        <w:ind w:firstLine="422" w:firstLineChars="200"/>
        <w:outlineLvl w:val="2"/>
        <w:rPr>
          <w:rFonts w:hint="eastAsia" w:ascii="宋体" w:hAnsi="宋体" w:cs="宋体"/>
          <w:b/>
          <w:bCs/>
          <w:color w:val="auto"/>
          <w:szCs w:val="21"/>
          <w:highlight w:val="none"/>
        </w:rPr>
      </w:pPr>
      <w:bookmarkStart w:id="393" w:name="_Toc21611137"/>
      <w:bookmarkStart w:id="394" w:name="_Toc246996947"/>
      <w:bookmarkStart w:id="395" w:name="_Toc296602448"/>
      <w:bookmarkStart w:id="396" w:name="_Toc20195"/>
      <w:bookmarkStart w:id="397" w:name="_Toc324404843"/>
      <w:bookmarkStart w:id="398" w:name="_Toc152042336"/>
      <w:bookmarkStart w:id="399" w:name="_Toc152045560"/>
      <w:bookmarkStart w:id="400" w:name="_Toc247085718"/>
      <w:bookmarkStart w:id="401" w:name="_Toc506107296"/>
      <w:bookmarkStart w:id="402" w:name="_Toc179632578"/>
      <w:bookmarkStart w:id="403" w:name="_Toc144974528"/>
      <w:bookmarkStart w:id="404" w:name="_Toc246996204"/>
      <w:r>
        <w:rPr>
          <w:rFonts w:hint="eastAsia" w:ascii="宋体" w:hAnsi="宋体" w:cs="宋体"/>
          <w:b/>
          <w:bCs/>
          <w:color w:val="auto"/>
          <w:szCs w:val="21"/>
          <w:highlight w:val="none"/>
        </w:rPr>
        <w:t>5.1 开标时间和地点</w:t>
      </w:r>
      <w:bookmarkEnd w:id="393"/>
      <w:bookmarkEnd w:id="394"/>
      <w:bookmarkEnd w:id="395"/>
      <w:bookmarkEnd w:id="396"/>
      <w:bookmarkEnd w:id="397"/>
      <w:bookmarkEnd w:id="398"/>
      <w:bookmarkEnd w:id="399"/>
      <w:bookmarkEnd w:id="400"/>
      <w:bookmarkEnd w:id="401"/>
      <w:bookmarkEnd w:id="402"/>
      <w:bookmarkEnd w:id="403"/>
      <w:bookmarkEnd w:id="404"/>
    </w:p>
    <w:p w14:paraId="60917D1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招标人在投标人须知前附表规定的投标截止时间（开标时间）和地点公开开标。</w:t>
      </w:r>
    </w:p>
    <w:p w14:paraId="5B08BB94">
      <w:pPr>
        <w:spacing w:line="440" w:lineRule="atLeast"/>
        <w:ind w:firstLine="422" w:firstLineChars="200"/>
        <w:outlineLvl w:val="2"/>
        <w:rPr>
          <w:rFonts w:hint="eastAsia" w:ascii="宋体" w:hAnsi="宋体" w:cs="宋体"/>
          <w:b/>
          <w:bCs/>
          <w:color w:val="auto"/>
          <w:szCs w:val="21"/>
          <w:highlight w:val="none"/>
        </w:rPr>
      </w:pPr>
      <w:bookmarkStart w:id="405" w:name="_Toc152042337"/>
      <w:bookmarkStart w:id="406" w:name="_Toc506107297"/>
      <w:bookmarkStart w:id="407" w:name="_Toc144974529"/>
      <w:bookmarkStart w:id="408" w:name="_Toc247085719"/>
      <w:bookmarkStart w:id="409" w:name="_Toc324404844"/>
      <w:bookmarkStart w:id="410" w:name="_Toc246996205"/>
      <w:bookmarkStart w:id="411" w:name="_Toc246996948"/>
      <w:bookmarkStart w:id="412" w:name="_Toc296602449"/>
      <w:bookmarkStart w:id="413" w:name="_Toc1996"/>
      <w:bookmarkStart w:id="414" w:name="_Toc21611138"/>
      <w:bookmarkStart w:id="415" w:name="_Toc152045561"/>
      <w:bookmarkStart w:id="416" w:name="_Toc179632579"/>
      <w:r>
        <w:rPr>
          <w:rFonts w:hint="eastAsia" w:ascii="宋体" w:hAnsi="宋体" w:cs="宋体"/>
          <w:b/>
          <w:bCs/>
          <w:color w:val="auto"/>
          <w:szCs w:val="21"/>
          <w:highlight w:val="none"/>
        </w:rPr>
        <w:t>5.2 开标程序</w:t>
      </w:r>
      <w:bookmarkEnd w:id="405"/>
      <w:bookmarkEnd w:id="406"/>
      <w:bookmarkEnd w:id="407"/>
      <w:bookmarkEnd w:id="408"/>
      <w:bookmarkEnd w:id="409"/>
      <w:bookmarkEnd w:id="410"/>
      <w:bookmarkEnd w:id="411"/>
      <w:bookmarkEnd w:id="412"/>
      <w:bookmarkEnd w:id="413"/>
      <w:bookmarkEnd w:id="414"/>
      <w:bookmarkEnd w:id="415"/>
      <w:bookmarkEnd w:id="416"/>
    </w:p>
    <w:p w14:paraId="5EFA78E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主持人按下列程序进行开标：</w:t>
      </w:r>
      <w:bookmarkStart w:id="417" w:name="_Toc324404845"/>
      <w:bookmarkStart w:id="418" w:name="_Toc296602450"/>
    </w:p>
    <w:p w14:paraId="55EF4041">
      <w:pPr>
        <w:spacing w:line="440" w:lineRule="atLeast"/>
        <w:ind w:firstLine="420" w:firstLineChars="200"/>
        <w:rPr>
          <w:rFonts w:hint="eastAsia" w:ascii="宋体" w:hAnsi="宋体" w:cs="宋体"/>
          <w:color w:val="auto"/>
          <w:szCs w:val="21"/>
          <w:highlight w:val="none"/>
        </w:rPr>
      </w:pPr>
      <w:bookmarkStart w:id="419" w:name="_Toc15058881"/>
      <w:bookmarkStart w:id="420" w:name="_Toc21611143"/>
      <w:bookmarkStart w:id="421" w:name="_Toc506107298"/>
      <w:r>
        <w:rPr>
          <w:rFonts w:hint="eastAsia" w:ascii="宋体" w:hAnsi="宋体" w:cs="宋体"/>
          <w:color w:val="auto"/>
          <w:szCs w:val="21"/>
          <w:highlight w:val="none"/>
        </w:rPr>
        <w:t>（1）宣布开标纪律；</w:t>
      </w:r>
    </w:p>
    <w:p w14:paraId="1863223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（2）公布在投标截止时间前递交投标文件的投标人名称，并确认投标单位相关人员是否到场；</w:t>
      </w:r>
    </w:p>
    <w:p w14:paraId="1B9D638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（3）宣布开标人、唱标人、记录人、监标人等有关人员姓名；</w:t>
      </w:r>
    </w:p>
    <w:p w14:paraId="106F34E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（4）按照投标人须知前附表规定检查投标文件的密封情况；</w:t>
      </w:r>
    </w:p>
    <w:p w14:paraId="537BF93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（5）按照投标人须知前附表的规定确定并宣布投标文件开标顺序；</w:t>
      </w:r>
    </w:p>
    <w:p w14:paraId="08B8F41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（6）按照宣布的开标顺序当众开标，公布投标人名称；</w:t>
      </w:r>
    </w:p>
    <w:p w14:paraId="6F139DD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（7）进行资格审查； </w:t>
      </w:r>
    </w:p>
    <w:p w14:paraId="525BC17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（8）对投标人进行商务标评审；</w:t>
      </w:r>
    </w:p>
    <w:p w14:paraId="7A0B65B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（9）有关人员在开标记录上签字确认；</w:t>
      </w:r>
    </w:p>
    <w:p w14:paraId="38D8CF6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（10）开标结束。</w:t>
      </w:r>
    </w:p>
    <w:bookmarkEnd w:id="419"/>
    <w:bookmarkEnd w:id="420"/>
    <w:p w14:paraId="1DA18855">
      <w:pPr>
        <w:spacing w:line="440" w:lineRule="atLeast"/>
        <w:ind w:firstLine="422" w:firstLineChars="200"/>
        <w:outlineLvl w:val="2"/>
        <w:rPr>
          <w:rFonts w:hint="eastAsia" w:ascii="宋体" w:hAnsi="宋体" w:cs="宋体"/>
          <w:b/>
          <w:bCs/>
          <w:color w:val="auto"/>
          <w:szCs w:val="21"/>
          <w:highlight w:val="none"/>
        </w:rPr>
      </w:pPr>
      <w:bookmarkStart w:id="422" w:name="_Toc24518"/>
      <w:bookmarkStart w:id="423" w:name="_Toc21611145"/>
      <w:r>
        <w:rPr>
          <w:rFonts w:hint="eastAsia" w:ascii="宋体" w:hAnsi="宋体" w:cs="宋体"/>
          <w:b/>
          <w:bCs/>
          <w:color w:val="auto"/>
          <w:szCs w:val="21"/>
          <w:highlight w:val="none"/>
        </w:rPr>
        <w:t>5.3 开标异议</w:t>
      </w:r>
      <w:bookmarkEnd w:id="417"/>
      <w:bookmarkEnd w:id="418"/>
      <w:bookmarkEnd w:id="421"/>
      <w:bookmarkEnd w:id="422"/>
      <w:bookmarkEnd w:id="423"/>
    </w:p>
    <w:p w14:paraId="130DCF2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投标人对开标有异议的，应当在开标现场提出，招标人当场作出答复，并制作记录。</w:t>
      </w:r>
    </w:p>
    <w:p w14:paraId="23EC791B">
      <w:pPr>
        <w:pStyle w:val="5"/>
        <w:bidi w:val="0"/>
        <w:rPr>
          <w:rFonts w:hint="eastAsia"/>
          <w:color w:val="auto"/>
          <w:highlight w:val="none"/>
        </w:rPr>
      </w:pPr>
      <w:bookmarkStart w:id="424" w:name="_Toc396"/>
      <w:bookmarkStart w:id="425" w:name="_Toc25571"/>
      <w:r>
        <w:rPr>
          <w:rFonts w:hint="eastAsia"/>
          <w:color w:val="auto"/>
          <w:highlight w:val="none"/>
        </w:rPr>
        <w:t>6. 评标</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424"/>
      <w:bookmarkEnd w:id="425"/>
    </w:p>
    <w:p w14:paraId="4576B063">
      <w:pPr>
        <w:spacing w:line="440" w:lineRule="atLeast"/>
        <w:ind w:firstLine="422" w:firstLineChars="200"/>
        <w:outlineLvl w:val="2"/>
        <w:rPr>
          <w:rFonts w:hint="eastAsia" w:ascii="宋体" w:hAnsi="宋体" w:cs="宋体"/>
          <w:b/>
          <w:bCs/>
          <w:color w:val="auto"/>
          <w:szCs w:val="21"/>
          <w:highlight w:val="none"/>
        </w:rPr>
      </w:pPr>
      <w:bookmarkStart w:id="426" w:name="_Toc247085721"/>
      <w:bookmarkStart w:id="427" w:name="_Toc506107300"/>
      <w:bookmarkStart w:id="428" w:name="_Toc35947203"/>
      <w:bookmarkStart w:id="429" w:name="_Toc35425086"/>
      <w:bookmarkStart w:id="430" w:name="_Toc152042339"/>
      <w:bookmarkStart w:id="431" w:name="_Toc246996950"/>
      <w:bookmarkStart w:id="432" w:name="_Toc324404847"/>
      <w:bookmarkStart w:id="433" w:name="_Toc296602452"/>
      <w:bookmarkStart w:id="434" w:name="_Toc35424920"/>
      <w:bookmarkStart w:id="435" w:name="_Toc14047"/>
      <w:bookmarkStart w:id="436" w:name="_Toc144974531"/>
      <w:bookmarkStart w:id="437" w:name="_Toc15058885"/>
      <w:bookmarkStart w:id="438" w:name="_Toc246996207"/>
      <w:bookmarkStart w:id="439" w:name="_Toc179632581"/>
      <w:bookmarkStart w:id="440" w:name="_Toc152045563"/>
      <w:r>
        <w:rPr>
          <w:rFonts w:hint="eastAsia" w:ascii="宋体" w:hAnsi="宋体" w:cs="宋体"/>
          <w:b/>
          <w:bCs/>
          <w:color w:val="auto"/>
          <w:szCs w:val="21"/>
          <w:highlight w:val="none"/>
        </w:rPr>
        <w:t>6.1</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Start w:id="441" w:name="_Toc35425088"/>
      <w:bookmarkStart w:id="442" w:name="_Toc296602454"/>
      <w:bookmarkStart w:id="443" w:name="_Toc15058887"/>
      <w:bookmarkStart w:id="444" w:name="_Toc35424922"/>
      <w:bookmarkStart w:id="445" w:name="_Toc144974533"/>
      <w:bookmarkStart w:id="446" w:name="_Toc152042341"/>
      <w:bookmarkStart w:id="447" w:name="_Toc506107302"/>
      <w:bookmarkStart w:id="448" w:name="_Toc35947205"/>
      <w:bookmarkStart w:id="449" w:name="_Toc20754"/>
      <w:bookmarkStart w:id="450" w:name="_Toc247085723"/>
      <w:bookmarkStart w:id="451" w:name="_Toc179632583"/>
      <w:bookmarkStart w:id="452" w:name="_Toc152045565"/>
      <w:bookmarkStart w:id="453" w:name="_Toc246996952"/>
      <w:bookmarkStart w:id="454" w:name="_Toc246996209"/>
      <w:bookmarkStart w:id="455" w:name="_Toc324404849"/>
      <w:r>
        <w:rPr>
          <w:rFonts w:hint="eastAsia" w:ascii="宋体" w:hAnsi="宋体" w:cs="宋体"/>
          <w:b/>
          <w:bCs/>
          <w:color w:val="auto"/>
          <w:szCs w:val="21"/>
          <w:highlight w:val="none"/>
        </w:rPr>
        <w:t xml:space="preserve"> 评标</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028EDAB9">
      <w:pPr>
        <w:spacing w:line="440" w:lineRule="atLeast"/>
        <w:ind w:firstLine="420" w:firstLineChars="200"/>
        <w:rPr>
          <w:rFonts w:hint="eastAsia" w:ascii="宋体" w:hAnsi="宋体" w:cs="宋体"/>
          <w:color w:val="auto"/>
          <w:szCs w:val="21"/>
          <w:highlight w:val="none"/>
        </w:rPr>
      </w:pPr>
      <w:bookmarkStart w:id="456" w:name="_Toc246996210"/>
      <w:bookmarkStart w:id="457" w:name="_Toc324404850"/>
      <w:bookmarkStart w:id="458" w:name="_Toc152042342"/>
      <w:bookmarkStart w:id="459" w:name="_Toc152045566"/>
      <w:bookmarkStart w:id="460" w:name="_Toc246996953"/>
      <w:bookmarkStart w:id="461" w:name="_Toc144974534"/>
      <w:bookmarkStart w:id="462" w:name="_Toc247085724"/>
      <w:bookmarkStart w:id="463" w:name="_Toc179632584"/>
      <w:r>
        <w:rPr>
          <w:rFonts w:hint="eastAsia" w:ascii="宋体" w:hAnsi="宋体" w:cs="宋体"/>
          <w:color w:val="auto"/>
          <w:szCs w:val="21"/>
          <w:highlight w:val="none"/>
        </w:rPr>
        <w:t>评标委员会按照第三章“评标办法”规定的方法、评审因素、标准和程序对投标文件进行评审。第三章“评标办法”没有规定的方法、评审因素和标准，不作为评标依据。</w:t>
      </w:r>
    </w:p>
    <w:p w14:paraId="68F32D2D">
      <w:pPr>
        <w:pStyle w:val="5"/>
        <w:bidi w:val="0"/>
        <w:rPr>
          <w:rFonts w:hint="eastAsia"/>
          <w:color w:val="auto"/>
          <w:highlight w:val="none"/>
        </w:rPr>
      </w:pPr>
      <w:bookmarkStart w:id="464" w:name="_Toc35425089"/>
      <w:bookmarkStart w:id="465" w:name="_Toc15058888"/>
      <w:bookmarkStart w:id="466" w:name="_Toc15037"/>
      <w:bookmarkStart w:id="467" w:name="_Toc506107303"/>
      <w:bookmarkStart w:id="468" w:name="_Toc35424923"/>
      <w:bookmarkStart w:id="469" w:name="_Toc35947206"/>
      <w:bookmarkStart w:id="470" w:name="_Toc22455"/>
      <w:r>
        <w:rPr>
          <w:rFonts w:hint="eastAsia"/>
          <w:color w:val="auto"/>
          <w:highlight w:val="none"/>
        </w:rPr>
        <w:t>7. 合同授予</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14:paraId="751E48C2">
      <w:pPr>
        <w:spacing w:line="440" w:lineRule="atLeast"/>
        <w:ind w:firstLine="422" w:firstLineChars="200"/>
        <w:outlineLvl w:val="2"/>
        <w:rPr>
          <w:rFonts w:hint="eastAsia" w:ascii="宋体" w:hAnsi="宋体" w:cs="宋体"/>
          <w:b/>
          <w:bCs/>
          <w:color w:val="auto"/>
          <w:szCs w:val="21"/>
          <w:highlight w:val="none"/>
        </w:rPr>
      </w:pPr>
      <w:bookmarkStart w:id="471" w:name="_Toc246996211"/>
      <w:bookmarkStart w:id="472" w:name="_Toc506107304"/>
      <w:bookmarkStart w:id="473" w:name="_Toc247085725"/>
      <w:bookmarkStart w:id="474" w:name="_Toc84"/>
      <w:bookmarkStart w:id="475" w:name="_Toc246996954"/>
      <w:bookmarkStart w:id="476" w:name="_Toc296602456"/>
      <w:bookmarkStart w:id="477" w:name="_Toc179632585"/>
      <w:bookmarkStart w:id="478" w:name="_Toc324404851"/>
      <w:bookmarkStart w:id="479" w:name="_Toc152045567"/>
      <w:bookmarkStart w:id="480" w:name="_Toc144974535"/>
      <w:bookmarkStart w:id="481" w:name="_Toc15058889"/>
      <w:bookmarkStart w:id="482" w:name="_Toc35425090"/>
      <w:bookmarkStart w:id="483" w:name="_Toc35424924"/>
      <w:bookmarkStart w:id="484" w:name="_Toc35947207"/>
      <w:bookmarkStart w:id="485" w:name="_Toc152042343"/>
      <w:r>
        <w:rPr>
          <w:rFonts w:hint="eastAsia" w:ascii="宋体" w:hAnsi="宋体" w:cs="宋体"/>
          <w:b/>
          <w:bCs/>
          <w:color w:val="auto"/>
          <w:szCs w:val="21"/>
          <w:highlight w:val="none"/>
        </w:rPr>
        <w:t>7.1 定标方式</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14:paraId="6E20C303">
      <w:pPr>
        <w:spacing w:line="440" w:lineRule="atLeast"/>
        <w:ind w:firstLine="420" w:firstLineChars="200"/>
        <w:rPr>
          <w:rFonts w:hint="eastAsia" w:ascii="宋体" w:hAnsi="宋体" w:cs="宋体"/>
          <w:color w:val="auto"/>
          <w:szCs w:val="21"/>
          <w:highlight w:val="none"/>
        </w:rPr>
      </w:pPr>
      <w:bookmarkStart w:id="486" w:name="_Toc296602457"/>
      <w:bookmarkStart w:id="487" w:name="_Toc324404852"/>
      <w:r>
        <w:rPr>
          <w:rFonts w:hint="eastAsia" w:ascii="宋体" w:hAnsi="宋体" w:cs="宋体"/>
          <w:color w:val="auto"/>
          <w:szCs w:val="21"/>
          <w:highlight w:val="none"/>
        </w:rPr>
        <w:t>除投标人须知前附表规定评标委员会直接确定中标人外，招标人依据评标委员会推荐的中标候选人确定中标人，评标委员会推荐中标候选人的人数见投标人须知前附表。</w:t>
      </w:r>
    </w:p>
    <w:p w14:paraId="76C1DBEF">
      <w:pPr>
        <w:spacing w:line="440" w:lineRule="atLeast"/>
        <w:ind w:firstLine="422" w:firstLineChars="200"/>
        <w:outlineLvl w:val="2"/>
        <w:rPr>
          <w:rFonts w:hint="eastAsia" w:ascii="宋体" w:hAnsi="宋体" w:cs="宋体"/>
          <w:b/>
          <w:bCs/>
          <w:color w:val="auto"/>
          <w:szCs w:val="21"/>
          <w:highlight w:val="none"/>
        </w:rPr>
      </w:pPr>
      <w:bookmarkStart w:id="488" w:name="_Toc15058890"/>
      <w:bookmarkStart w:id="489" w:name="_Toc35947208"/>
      <w:bookmarkStart w:id="490" w:name="_Toc9338"/>
      <w:bookmarkStart w:id="491" w:name="_Toc35424925"/>
      <w:bookmarkStart w:id="492" w:name="_Toc35425091"/>
      <w:bookmarkStart w:id="493" w:name="_Toc506107305"/>
      <w:r>
        <w:rPr>
          <w:rFonts w:hint="eastAsia" w:ascii="宋体" w:hAnsi="宋体" w:cs="宋体"/>
          <w:b/>
          <w:bCs/>
          <w:color w:val="auto"/>
          <w:szCs w:val="21"/>
          <w:highlight w:val="none"/>
        </w:rPr>
        <w:t>7.2 中标候选人公示</w:t>
      </w:r>
      <w:bookmarkEnd w:id="486"/>
      <w:bookmarkEnd w:id="487"/>
      <w:bookmarkEnd w:id="488"/>
      <w:bookmarkEnd w:id="489"/>
      <w:bookmarkEnd w:id="490"/>
      <w:bookmarkEnd w:id="491"/>
      <w:bookmarkEnd w:id="492"/>
      <w:bookmarkEnd w:id="493"/>
    </w:p>
    <w:p w14:paraId="247545B7">
      <w:pPr>
        <w:spacing w:line="440" w:lineRule="atLeast"/>
        <w:ind w:firstLine="420" w:firstLineChars="200"/>
        <w:rPr>
          <w:rFonts w:hint="eastAsia" w:ascii="宋体" w:hAnsi="宋体" w:cs="宋体"/>
          <w:color w:val="auto"/>
          <w:szCs w:val="21"/>
          <w:highlight w:val="none"/>
        </w:rPr>
      </w:pPr>
      <w:bookmarkStart w:id="494" w:name="_Toc152045568"/>
      <w:bookmarkStart w:id="495" w:name="_Toc247085726"/>
      <w:bookmarkStart w:id="496" w:name="_Toc144974536"/>
      <w:bookmarkStart w:id="497" w:name="_Toc296602458"/>
      <w:bookmarkStart w:id="498" w:name="_Toc246996212"/>
      <w:bookmarkStart w:id="499" w:name="_Toc152042344"/>
      <w:bookmarkStart w:id="500" w:name="_Toc324404853"/>
      <w:bookmarkStart w:id="501" w:name="_Toc179632586"/>
      <w:bookmarkStart w:id="502" w:name="_Toc246996955"/>
      <w:r>
        <w:rPr>
          <w:rFonts w:hint="eastAsia" w:ascii="宋体" w:hAnsi="宋体" w:cs="宋体"/>
          <w:color w:val="auto"/>
          <w:szCs w:val="21"/>
          <w:highlight w:val="none"/>
        </w:rPr>
        <w:t>招标人在投标人须知前附表规定的媒介公示中标候选人。</w:t>
      </w:r>
    </w:p>
    <w:p w14:paraId="0BEA851E">
      <w:pPr>
        <w:spacing w:line="440" w:lineRule="atLeast"/>
        <w:ind w:firstLine="422" w:firstLineChars="200"/>
        <w:outlineLvl w:val="2"/>
        <w:rPr>
          <w:rFonts w:hint="eastAsia" w:ascii="宋体" w:hAnsi="宋体" w:cs="宋体"/>
          <w:b/>
          <w:bCs/>
          <w:color w:val="auto"/>
          <w:szCs w:val="21"/>
          <w:highlight w:val="none"/>
        </w:rPr>
      </w:pPr>
      <w:bookmarkStart w:id="503" w:name="_Toc35424927"/>
      <w:bookmarkStart w:id="504" w:name="_Toc35425093"/>
      <w:bookmarkStart w:id="505" w:name="_Toc15058891"/>
      <w:bookmarkStart w:id="506" w:name="_Toc35947210"/>
      <w:bookmarkStart w:id="507" w:name="_Toc506107306"/>
      <w:bookmarkStart w:id="508" w:name="_Toc18325"/>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 xml:space="preserve"> 中标通知</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14:paraId="005E990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在本章第3.3款规定的投标有效期内，招标人以书面形式向中标人发出中标通知书，同时将中标结果通知未中标的投标人。</w:t>
      </w:r>
    </w:p>
    <w:p w14:paraId="56312022">
      <w:pPr>
        <w:spacing w:line="440" w:lineRule="atLeast"/>
        <w:ind w:firstLine="422" w:firstLineChars="200"/>
        <w:outlineLvl w:val="2"/>
        <w:rPr>
          <w:rFonts w:hint="eastAsia" w:ascii="宋体" w:hAnsi="宋体" w:eastAsia="宋体" w:cs="宋体"/>
          <w:b/>
          <w:bCs/>
          <w:color w:val="auto"/>
          <w:szCs w:val="21"/>
          <w:highlight w:val="none"/>
          <w:lang w:eastAsia="zh-CN"/>
        </w:rPr>
      </w:pPr>
      <w:bookmarkStart w:id="509" w:name="_Toc152045569"/>
      <w:bookmarkStart w:id="510" w:name="_Toc246996213"/>
      <w:bookmarkStart w:id="511" w:name="_Toc15058892"/>
      <w:bookmarkStart w:id="512" w:name="_Toc506107307"/>
      <w:bookmarkStart w:id="513" w:name="_Toc179632587"/>
      <w:bookmarkStart w:id="514" w:name="_Toc324404854"/>
      <w:bookmarkStart w:id="515" w:name="_Toc152042345"/>
      <w:bookmarkStart w:id="516" w:name="_Toc246996956"/>
      <w:bookmarkStart w:id="517" w:name="_Toc35947212"/>
      <w:bookmarkStart w:id="518" w:name="_Toc35425095"/>
      <w:bookmarkStart w:id="519" w:name="_Toc296602459"/>
      <w:bookmarkStart w:id="520" w:name="_Toc35424929"/>
      <w:bookmarkStart w:id="521" w:name="_Toc247085727"/>
      <w:bookmarkStart w:id="522" w:name="_Toc32541"/>
      <w:bookmarkStart w:id="523" w:name="_Toc144974537"/>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履约担保</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174CEC45">
      <w:pPr>
        <w:spacing w:line="440" w:lineRule="atLeast"/>
        <w:ind w:firstLine="420" w:firstLineChars="200"/>
        <w:rPr>
          <w:rFonts w:hint="eastAsia" w:ascii="宋体" w:hAnsi="宋体" w:cs="宋体"/>
          <w:b/>
          <w:color w:val="auto"/>
          <w:szCs w:val="21"/>
          <w:highlight w:val="none"/>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.1在签订合同前，中标人应按投标人须知前附表规定的担保形式或者事先经过招标人书面认可的履约担保格式向招标人提交履约担保。履约担保金额的相关要求见投标人须知前附表。</w:t>
      </w:r>
    </w:p>
    <w:p w14:paraId="0B940CF0">
      <w:pPr>
        <w:spacing w:line="440" w:lineRule="atLeast"/>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 中标人不能按本章第7.6.1项要求提交履约担保的，视为放弃中标，其投标保证金不予退还，给招标人造成的损失超过投标保证金数额的，中标人还应当对超过部分予以赔偿。</w:t>
      </w:r>
    </w:p>
    <w:p w14:paraId="737933B1">
      <w:pPr>
        <w:spacing w:line="440" w:lineRule="atLeast"/>
        <w:ind w:firstLine="422" w:firstLineChars="200"/>
        <w:outlineLvl w:val="2"/>
        <w:rPr>
          <w:rFonts w:hint="eastAsia" w:ascii="宋体" w:hAnsi="宋体" w:cs="宋体"/>
          <w:b/>
          <w:bCs/>
          <w:color w:val="auto"/>
          <w:szCs w:val="21"/>
          <w:highlight w:val="none"/>
        </w:rPr>
      </w:pPr>
      <w:bookmarkStart w:id="524" w:name="_Toc144974538"/>
      <w:bookmarkStart w:id="525" w:name="_Toc246996957"/>
      <w:bookmarkStart w:id="526" w:name="_Toc506107308"/>
      <w:bookmarkStart w:id="527" w:name="_Toc35425096"/>
      <w:bookmarkStart w:id="528" w:name="_Toc152042346"/>
      <w:bookmarkStart w:id="529" w:name="_Toc35947213"/>
      <w:bookmarkStart w:id="530" w:name="_Toc35424930"/>
      <w:bookmarkStart w:id="531" w:name="_Toc296602460"/>
      <w:bookmarkStart w:id="532" w:name="_Toc152045570"/>
      <w:bookmarkStart w:id="533" w:name="_Toc246996214"/>
      <w:bookmarkStart w:id="534" w:name="_Toc14106"/>
      <w:bookmarkStart w:id="535" w:name="_Toc179632588"/>
      <w:bookmarkStart w:id="536" w:name="_Toc15058893"/>
      <w:bookmarkStart w:id="537" w:name="_Toc247085728"/>
      <w:bookmarkStart w:id="538" w:name="_Toc324404855"/>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xml:space="preserve"> 签订合同</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p>
    <w:p w14:paraId="7C8858B8">
      <w:pPr>
        <w:wordWrap w:val="0"/>
        <w:spacing w:line="440" w:lineRule="atLeast"/>
        <w:ind w:firstLine="420" w:firstLineChars="200"/>
        <w:rPr>
          <w:rFonts w:hint="eastAsia" w:ascii="宋体" w:hAnsi="宋体" w:cs="宋体"/>
          <w:bCs/>
          <w:color w:val="auto"/>
          <w:szCs w:val="21"/>
          <w:highlight w:val="none"/>
        </w:rPr>
      </w:pPr>
      <w:bookmarkStart w:id="539" w:name="_Toc15058894"/>
      <w:bookmarkStart w:id="540" w:name="_Toc324404856"/>
      <w:bookmarkStart w:id="541" w:name="_Toc506107309"/>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 xml:space="preserve">.1本招标工程的施工合同将授予按本须知第7.1条规定所确定的中标人。 </w:t>
      </w:r>
    </w:p>
    <w:p w14:paraId="3AE50375">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.2</w:t>
      </w:r>
      <w:r>
        <w:rPr>
          <w:rFonts w:hint="eastAsia"/>
          <w:color w:val="auto"/>
          <w:highlight w:val="none"/>
        </w:rPr>
        <w:t>中标人</w:t>
      </w:r>
      <w:r>
        <w:rPr>
          <w:rFonts w:hint="eastAsia"/>
          <w:color w:val="auto"/>
          <w:highlight w:val="none"/>
          <w:lang w:val="en-US" w:eastAsia="zh-CN"/>
        </w:rPr>
        <w:t>应在</w:t>
      </w:r>
      <w:r>
        <w:rPr>
          <w:rFonts w:hint="eastAsia"/>
          <w:color w:val="auto"/>
          <w:highlight w:val="none"/>
        </w:rPr>
        <w:t>中标通知书发出之日起</w:t>
      </w:r>
      <w:r>
        <w:rPr>
          <w:rFonts w:hint="eastAsia"/>
          <w:color w:val="auto"/>
          <w:highlight w:val="none"/>
          <w:lang w:val="en-US" w:eastAsia="zh-CN"/>
        </w:rPr>
        <w:t>3</w:t>
      </w:r>
      <w:r>
        <w:rPr>
          <w:rFonts w:hint="eastAsia"/>
          <w:color w:val="auto"/>
          <w:highlight w:val="none"/>
        </w:rPr>
        <w:t>0个日历天内，按照</w:t>
      </w:r>
      <w:r>
        <w:rPr>
          <w:rFonts w:hint="eastAsia"/>
          <w:color w:val="auto"/>
          <w:highlight w:val="none"/>
          <w:lang w:eastAsia="zh-CN"/>
        </w:rPr>
        <w:t>招标文件</w:t>
      </w:r>
      <w:r>
        <w:rPr>
          <w:rFonts w:hint="eastAsia"/>
          <w:color w:val="auto"/>
          <w:highlight w:val="none"/>
          <w:lang w:val="en-US" w:eastAsia="zh-CN"/>
        </w:rPr>
        <w:t>规定和招标人</w:t>
      </w:r>
      <w:r>
        <w:rPr>
          <w:rFonts w:hint="eastAsia"/>
          <w:color w:val="auto"/>
          <w:highlight w:val="none"/>
        </w:rPr>
        <w:t>订立书面合同。招标人和中标人不得再行订立背离合同实质性内容的其他协议</w:t>
      </w:r>
      <w:r>
        <w:rPr>
          <w:rFonts w:hint="eastAsia" w:ascii="宋体" w:hAnsi="宋体" w:cs="宋体"/>
          <w:bCs/>
          <w:color w:val="auto"/>
          <w:szCs w:val="21"/>
          <w:highlight w:val="none"/>
        </w:rPr>
        <w:t>。中标人无正当理由拒签合同的，招标人取消其中标资格；给招标人造成的损失</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lang w:val="en-US" w:eastAsia="zh-CN"/>
        </w:rPr>
        <w:t>招标人有权追偿</w:t>
      </w:r>
      <w:r>
        <w:rPr>
          <w:rFonts w:hint="eastAsia" w:ascii="宋体" w:hAnsi="宋体" w:cs="宋体"/>
          <w:bCs/>
          <w:color w:val="auto"/>
          <w:szCs w:val="21"/>
          <w:highlight w:val="none"/>
        </w:rPr>
        <w:t>。</w:t>
      </w:r>
    </w:p>
    <w:p w14:paraId="433F662B">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.3 发出中标通知书后，招标人无正当理由拒签合同的，招标人向中标人退还投标保证金；给中标人造成损失的，还应当赔偿损失。</w:t>
      </w:r>
    </w:p>
    <w:p w14:paraId="5C3C181A">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.4  除法定情形外，合同履行期间项目负责人不得更换。</w:t>
      </w:r>
    </w:p>
    <w:p w14:paraId="2BFA600B">
      <w:pPr>
        <w:pStyle w:val="5"/>
        <w:bidi w:val="0"/>
        <w:rPr>
          <w:rFonts w:hint="eastAsia"/>
          <w:color w:val="auto"/>
          <w:highlight w:val="none"/>
        </w:rPr>
      </w:pPr>
      <w:bookmarkStart w:id="542" w:name="_Toc35947214"/>
      <w:bookmarkStart w:id="543" w:name="_Toc17919"/>
      <w:bookmarkStart w:id="544" w:name="_Toc35424931"/>
      <w:bookmarkStart w:id="545" w:name="_Toc9177"/>
      <w:bookmarkStart w:id="546" w:name="_Toc35425097"/>
      <w:r>
        <w:rPr>
          <w:rFonts w:hint="eastAsia"/>
          <w:color w:val="auto"/>
          <w:highlight w:val="none"/>
        </w:rPr>
        <w:t>8. 纪律和监督</w:t>
      </w:r>
      <w:bookmarkEnd w:id="539"/>
      <w:bookmarkEnd w:id="540"/>
      <w:bookmarkEnd w:id="541"/>
      <w:bookmarkEnd w:id="542"/>
      <w:bookmarkEnd w:id="543"/>
      <w:bookmarkEnd w:id="544"/>
      <w:bookmarkEnd w:id="545"/>
      <w:bookmarkEnd w:id="546"/>
    </w:p>
    <w:p w14:paraId="48AA4CF0">
      <w:pPr>
        <w:spacing w:line="440" w:lineRule="atLeast"/>
        <w:ind w:firstLine="422" w:firstLineChars="200"/>
        <w:outlineLvl w:val="2"/>
        <w:rPr>
          <w:rFonts w:hint="eastAsia" w:ascii="宋体" w:hAnsi="宋体" w:cs="宋体"/>
          <w:b/>
          <w:bCs/>
          <w:color w:val="auto"/>
          <w:szCs w:val="21"/>
          <w:highlight w:val="none"/>
        </w:rPr>
      </w:pPr>
      <w:bookmarkStart w:id="547" w:name="_Toc152045575"/>
      <w:bookmarkStart w:id="548" w:name="_Toc247085733"/>
      <w:bookmarkStart w:id="549" w:name="_Toc246996962"/>
      <w:bookmarkStart w:id="550" w:name="_Toc35424932"/>
      <w:bookmarkStart w:id="551" w:name="_Toc324404857"/>
      <w:bookmarkStart w:id="552" w:name="_Toc35947215"/>
      <w:bookmarkStart w:id="553" w:name="_Toc35425098"/>
      <w:bookmarkStart w:id="554" w:name="_Toc246996219"/>
      <w:bookmarkStart w:id="555" w:name="_Toc296602462"/>
      <w:bookmarkStart w:id="556" w:name="_Toc179632593"/>
      <w:bookmarkStart w:id="557" w:name="_Toc296590983"/>
      <w:bookmarkStart w:id="558" w:name="_Toc15058895"/>
      <w:bookmarkStart w:id="559" w:name="_Toc152042351"/>
      <w:bookmarkStart w:id="560" w:name="_Toc11235"/>
      <w:bookmarkStart w:id="561" w:name="_Toc144974543"/>
      <w:bookmarkStart w:id="562" w:name="_Toc506107310"/>
      <w:r>
        <w:rPr>
          <w:rFonts w:hint="eastAsia" w:ascii="宋体" w:hAnsi="宋体" w:cs="宋体"/>
          <w:b/>
          <w:bCs/>
          <w:color w:val="auto"/>
          <w:szCs w:val="21"/>
          <w:highlight w:val="none"/>
        </w:rPr>
        <w:t>8.1 对招标人的纪律要求</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5AE4F3C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招标人不得</w:t>
      </w:r>
      <w:r>
        <w:rPr>
          <w:rFonts w:hint="eastAsia" w:ascii="宋体" w:hAnsi="宋体" w:cs="宋体"/>
          <w:color w:val="auto"/>
          <w:szCs w:val="21"/>
          <w:highlight w:val="none"/>
          <w:lang w:eastAsia="zh-CN"/>
        </w:rPr>
        <w:t>泄露</w:t>
      </w:r>
      <w:r>
        <w:rPr>
          <w:rFonts w:hint="eastAsia" w:ascii="宋体" w:hAnsi="宋体" w:cs="宋体"/>
          <w:color w:val="auto"/>
          <w:szCs w:val="21"/>
          <w:highlight w:val="none"/>
        </w:rPr>
        <w:t>招标投标活动中应当保密的情况和资料，不得与投标人串通损害国家利益、社会公共利益或者他人合法权益。</w:t>
      </w:r>
    </w:p>
    <w:p w14:paraId="4EAF51B5">
      <w:pPr>
        <w:spacing w:line="440" w:lineRule="atLeast"/>
        <w:ind w:firstLine="422" w:firstLineChars="200"/>
        <w:outlineLvl w:val="2"/>
        <w:rPr>
          <w:rFonts w:hint="eastAsia" w:ascii="宋体" w:hAnsi="宋体" w:cs="宋体"/>
          <w:b/>
          <w:bCs/>
          <w:color w:val="auto"/>
          <w:szCs w:val="21"/>
          <w:highlight w:val="none"/>
        </w:rPr>
      </w:pPr>
      <w:bookmarkStart w:id="563" w:name="_Toc15058896"/>
      <w:bookmarkStart w:id="564" w:name="_Toc247085734"/>
      <w:bookmarkStart w:id="565" w:name="_Toc35424933"/>
      <w:bookmarkStart w:id="566" w:name="_Toc35425099"/>
      <w:bookmarkStart w:id="567" w:name="_Toc17314"/>
      <w:bookmarkStart w:id="568" w:name="_Toc152042352"/>
      <w:bookmarkStart w:id="569" w:name="_Toc152045576"/>
      <w:bookmarkStart w:id="570" w:name="_Toc179632594"/>
      <w:bookmarkStart w:id="571" w:name="_Toc144974544"/>
      <w:bookmarkStart w:id="572" w:name="_Toc324404858"/>
      <w:bookmarkStart w:id="573" w:name="_Toc246996963"/>
      <w:bookmarkStart w:id="574" w:name="_Toc35947216"/>
      <w:bookmarkStart w:id="575" w:name="_Toc296602463"/>
      <w:bookmarkStart w:id="576" w:name="_Toc506107311"/>
      <w:bookmarkStart w:id="577" w:name="_Toc246996220"/>
      <w:r>
        <w:rPr>
          <w:rFonts w:hint="eastAsia" w:ascii="宋体" w:hAnsi="宋体" w:cs="宋体"/>
          <w:b/>
          <w:bCs/>
          <w:color w:val="auto"/>
          <w:szCs w:val="21"/>
          <w:highlight w:val="none"/>
        </w:rPr>
        <w:t>8.2 对投标人的纪律要求</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p w14:paraId="7A45FA5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383A3283">
      <w:pPr>
        <w:spacing w:line="440" w:lineRule="atLeast"/>
        <w:ind w:firstLine="422" w:firstLineChars="200"/>
        <w:outlineLvl w:val="2"/>
        <w:rPr>
          <w:rFonts w:hint="eastAsia" w:ascii="宋体" w:hAnsi="宋体" w:cs="宋体"/>
          <w:b/>
          <w:bCs/>
          <w:color w:val="auto"/>
          <w:szCs w:val="21"/>
          <w:highlight w:val="none"/>
        </w:rPr>
      </w:pPr>
      <w:bookmarkStart w:id="578" w:name="_Toc35425100"/>
      <w:bookmarkStart w:id="579" w:name="_Toc324404859"/>
      <w:bookmarkStart w:id="580" w:name="_Toc247085735"/>
      <w:bookmarkStart w:id="581" w:name="_Toc506107312"/>
      <w:bookmarkStart w:id="582" w:name="_Toc35424934"/>
      <w:bookmarkStart w:id="583" w:name="_Toc152045577"/>
      <w:bookmarkStart w:id="584" w:name="_Toc152042353"/>
      <w:bookmarkStart w:id="585" w:name="_Toc23747"/>
      <w:bookmarkStart w:id="586" w:name="_Toc179632595"/>
      <w:bookmarkStart w:id="587" w:name="_Toc296602464"/>
      <w:bookmarkStart w:id="588" w:name="_Toc246996964"/>
      <w:bookmarkStart w:id="589" w:name="_Toc246996221"/>
      <w:bookmarkStart w:id="590" w:name="_Toc144974545"/>
      <w:bookmarkStart w:id="591" w:name="_Toc15058897"/>
      <w:bookmarkStart w:id="592" w:name="_Toc35947217"/>
      <w:r>
        <w:rPr>
          <w:rFonts w:hint="eastAsia" w:ascii="宋体" w:hAnsi="宋体" w:cs="宋体"/>
          <w:b/>
          <w:bCs/>
          <w:color w:val="auto"/>
          <w:szCs w:val="21"/>
          <w:highlight w:val="none"/>
        </w:rPr>
        <w:t>8.3 对评标委员会成员的纪律要求</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36E8244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评标委员会成员不得收受他人的财物或者其他好处，不得向他人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176FF827">
      <w:pPr>
        <w:spacing w:line="440" w:lineRule="atLeast"/>
        <w:ind w:firstLine="422" w:firstLineChars="200"/>
        <w:outlineLvl w:val="2"/>
        <w:rPr>
          <w:rFonts w:hint="eastAsia" w:ascii="宋体" w:hAnsi="宋体" w:cs="宋体"/>
          <w:b/>
          <w:bCs/>
          <w:color w:val="auto"/>
          <w:szCs w:val="21"/>
          <w:highlight w:val="none"/>
        </w:rPr>
      </w:pPr>
      <w:bookmarkStart w:id="593" w:name="_Toc35425101"/>
      <w:bookmarkStart w:id="594" w:name="_Toc179632596"/>
      <w:bookmarkStart w:id="595" w:name="_Toc24693"/>
      <w:bookmarkStart w:id="596" w:name="_Toc296602465"/>
      <w:bookmarkStart w:id="597" w:name="_Toc506107313"/>
      <w:bookmarkStart w:id="598" w:name="_Toc246996222"/>
      <w:bookmarkStart w:id="599" w:name="_Toc324404860"/>
      <w:bookmarkStart w:id="600" w:name="_Toc152045578"/>
      <w:bookmarkStart w:id="601" w:name="_Toc152042354"/>
      <w:bookmarkStart w:id="602" w:name="_Toc246996965"/>
      <w:bookmarkStart w:id="603" w:name="_Toc15058898"/>
      <w:bookmarkStart w:id="604" w:name="_Toc35424935"/>
      <w:bookmarkStart w:id="605" w:name="_Toc247085736"/>
      <w:bookmarkStart w:id="606" w:name="_Toc35947218"/>
      <w:bookmarkStart w:id="607" w:name="_Toc144974546"/>
      <w:r>
        <w:rPr>
          <w:rFonts w:hint="eastAsia" w:ascii="宋体" w:hAnsi="宋体" w:cs="宋体"/>
          <w:b/>
          <w:bCs/>
          <w:color w:val="auto"/>
          <w:szCs w:val="21"/>
          <w:highlight w:val="none"/>
        </w:rPr>
        <w:t>8.4 对与评标活动有关的工作人员的纪律要求</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p w14:paraId="1D4E4872">
      <w:pPr>
        <w:spacing w:line="440" w:lineRule="atLeast"/>
        <w:ind w:firstLine="420" w:firstLineChars="200"/>
        <w:rPr>
          <w:rFonts w:hint="eastAsia" w:ascii="宋体" w:hAnsi="宋体" w:cs="宋体"/>
          <w:color w:val="auto"/>
          <w:szCs w:val="21"/>
          <w:highlight w:val="none"/>
        </w:rPr>
      </w:pPr>
      <w:bookmarkStart w:id="608" w:name="_Toc152042355"/>
      <w:r>
        <w:rPr>
          <w:rFonts w:hint="eastAsia" w:ascii="宋体" w:hAnsi="宋体" w:cs="宋体"/>
          <w:color w:val="auto"/>
          <w:szCs w:val="21"/>
          <w:highlight w:val="none"/>
        </w:rPr>
        <w:t>与评标活动有关的工作人员不得收受他人的财物或者其他好处，不得向他人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对投标文件的评审和比较、中标候选人的推荐情况以及评标有关的其他情况。在评标活动中，与评标活动有关的工作人员不得擅离职守，影响评标程序正常进行。</w:t>
      </w:r>
      <w:bookmarkEnd w:id="608"/>
    </w:p>
    <w:p w14:paraId="7B3733AC">
      <w:pPr>
        <w:spacing w:line="440" w:lineRule="atLeast"/>
        <w:ind w:firstLine="422" w:firstLineChars="200"/>
        <w:outlineLvl w:val="2"/>
        <w:rPr>
          <w:rFonts w:hint="eastAsia" w:ascii="宋体" w:hAnsi="宋体" w:cs="宋体"/>
          <w:b/>
          <w:bCs/>
          <w:color w:val="auto"/>
          <w:szCs w:val="21"/>
          <w:highlight w:val="none"/>
        </w:rPr>
      </w:pPr>
      <w:bookmarkStart w:id="609" w:name="_Toc152042356"/>
      <w:bookmarkStart w:id="610" w:name="_Toc246996223"/>
      <w:bookmarkStart w:id="611" w:name="_Toc506107314"/>
      <w:bookmarkStart w:id="612" w:name="_Toc247085737"/>
      <w:bookmarkStart w:id="613" w:name="_Toc152045579"/>
      <w:bookmarkStart w:id="614" w:name="_Toc35425102"/>
      <w:bookmarkStart w:id="615" w:name="_Toc324404861"/>
      <w:bookmarkStart w:id="616" w:name="_Toc35947219"/>
      <w:bookmarkStart w:id="617" w:name="_Toc246996966"/>
      <w:bookmarkStart w:id="618" w:name="_Toc179632597"/>
      <w:bookmarkStart w:id="619" w:name="_Toc35424936"/>
      <w:bookmarkStart w:id="620" w:name="_Toc22416"/>
      <w:bookmarkStart w:id="621" w:name="_Toc296602466"/>
      <w:bookmarkStart w:id="622" w:name="_Toc15058899"/>
      <w:r>
        <w:rPr>
          <w:rFonts w:hint="eastAsia" w:ascii="宋体" w:hAnsi="宋体" w:cs="宋体"/>
          <w:b/>
          <w:bCs/>
          <w:color w:val="auto"/>
          <w:szCs w:val="21"/>
          <w:highlight w:val="none"/>
        </w:rPr>
        <w:t>8.5 投诉</w:t>
      </w:r>
      <w:bookmarkEnd w:id="607"/>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6B1FB41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8.5.1投标人和其他利害关系人认为本次招标活动违反法律、法规和规章规定的，有权向有关行政监督部门投诉。投诉应当有明确的请求和必要的证明材料。</w:t>
      </w:r>
    </w:p>
    <w:p w14:paraId="5FD0536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8.5.2投标人和其他利害关系人对评标结果等事项投诉的，应当在开标期间或公示期间，先向招标人提出异议。</w:t>
      </w:r>
    </w:p>
    <w:p w14:paraId="3E8F2D98">
      <w:pPr>
        <w:spacing w:line="440" w:lineRule="atLeast"/>
        <w:ind w:firstLine="422" w:firstLineChars="200"/>
        <w:outlineLvl w:val="1"/>
        <w:rPr>
          <w:rFonts w:hint="eastAsia" w:ascii="宋体" w:hAnsi="宋体" w:cs="宋体"/>
          <w:b/>
          <w:bCs/>
          <w:color w:val="auto"/>
          <w:szCs w:val="21"/>
          <w:highlight w:val="none"/>
        </w:rPr>
      </w:pPr>
      <w:bookmarkStart w:id="623" w:name="_Toc144974547"/>
      <w:bookmarkStart w:id="624" w:name="_Toc324404862"/>
      <w:bookmarkStart w:id="625" w:name="_Toc152045580"/>
      <w:bookmarkStart w:id="626" w:name="_Toc15058900"/>
      <w:bookmarkStart w:id="627" w:name="_Toc35424937"/>
      <w:bookmarkStart w:id="628" w:name="_Toc179632598"/>
      <w:bookmarkStart w:id="629" w:name="_Toc246996967"/>
      <w:bookmarkStart w:id="630" w:name="_Toc506107315"/>
      <w:bookmarkStart w:id="631" w:name="_Toc152042357"/>
      <w:bookmarkStart w:id="632" w:name="_Toc246996224"/>
      <w:bookmarkStart w:id="633" w:name="_Toc35425103"/>
      <w:bookmarkStart w:id="634" w:name="_Toc23899"/>
      <w:bookmarkStart w:id="635" w:name="_Toc35947220"/>
      <w:bookmarkStart w:id="636" w:name="_Toc17982"/>
      <w:bookmarkStart w:id="637" w:name="_Toc247085738"/>
      <w:r>
        <w:rPr>
          <w:rFonts w:hint="eastAsia" w:ascii="宋体" w:hAnsi="宋体" w:cs="宋体"/>
          <w:b/>
          <w:bCs/>
          <w:color w:val="auto"/>
          <w:szCs w:val="21"/>
          <w:highlight w:val="none"/>
        </w:rPr>
        <w:t>9.需要补充的其他内容</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14:paraId="2A952EC9">
      <w:pPr>
        <w:spacing w:line="440" w:lineRule="atLeast"/>
        <w:ind w:firstLine="420" w:firstLineChars="200"/>
        <w:rPr>
          <w:rFonts w:hint="eastAsia" w:ascii="宋体" w:hAnsi="宋体" w:eastAsia="宋体" w:cs="宋体"/>
          <w:color w:val="auto"/>
          <w:szCs w:val="21"/>
          <w:highlight w:val="none"/>
        </w:rPr>
      </w:pPr>
      <w:bookmarkStart w:id="638" w:name="_Toc15058901"/>
      <w:r>
        <w:rPr>
          <w:rFonts w:hint="eastAsia" w:ascii="宋体" w:hAnsi="宋体" w:eastAsia="宋体" w:cs="宋体"/>
          <w:color w:val="auto"/>
          <w:szCs w:val="21"/>
          <w:highlight w:val="none"/>
        </w:rPr>
        <w:t>需要补充的其他内容：见投标人须知前附表。</w:t>
      </w:r>
      <w:bookmarkEnd w:id="638"/>
    </w:p>
    <w:p w14:paraId="47E57700">
      <w:pPr>
        <w:pageBreakBefore/>
        <w:numPr>
          <w:ilvl w:val="0"/>
          <w:numId w:val="0"/>
        </w:numPr>
        <w:spacing w:line="312" w:lineRule="auto"/>
        <w:jc w:val="center"/>
        <w:outlineLvl w:val="0"/>
        <w:rPr>
          <w:rFonts w:hint="eastAsia" w:ascii="黑体" w:eastAsia="黑体"/>
          <w:color w:val="auto"/>
          <w:sz w:val="30"/>
          <w:szCs w:val="30"/>
          <w:highlight w:val="none"/>
        </w:rPr>
      </w:pPr>
      <w:bookmarkStart w:id="639" w:name="_Toc19437"/>
      <w:bookmarkStart w:id="640" w:name="_Toc6133"/>
      <w:r>
        <w:rPr>
          <w:rFonts w:hint="eastAsia" w:ascii="黑体" w:eastAsia="黑体"/>
          <w:color w:val="auto"/>
          <w:sz w:val="30"/>
          <w:szCs w:val="30"/>
          <w:highlight w:val="none"/>
          <w:lang w:val="en-US" w:eastAsia="zh-CN"/>
        </w:rPr>
        <w:t xml:space="preserve">第二章  </w:t>
      </w:r>
      <w:r>
        <w:rPr>
          <w:rFonts w:hint="eastAsia" w:ascii="黑体" w:eastAsia="黑体"/>
          <w:color w:val="auto"/>
          <w:sz w:val="30"/>
          <w:szCs w:val="30"/>
          <w:highlight w:val="none"/>
        </w:rPr>
        <w:t>评标办法</w:t>
      </w:r>
      <w:bookmarkEnd w:id="639"/>
      <w:bookmarkEnd w:id="640"/>
    </w:p>
    <w:bookmarkEnd w:id="63"/>
    <w:p w14:paraId="11CF9A7A">
      <w:pPr>
        <w:keepNext w:val="0"/>
        <w:keepLines w:val="0"/>
        <w:widowControl w:val="0"/>
        <w:suppressLineNumbers w:val="0"/>
        <w:snapToGrid w:val="0"/>
        <w:spacing w:before="156" w:beforeLines="50" w:beforeAutospacing="0" w:after="156" w:afterLines="50" w:afterAutospacing="0" w:line="440" w:lineRule="exact"/>
        <w:ind w:left="0" w:right="0"/>
        <w:jc w:val="center"/>
        <w:outlineLvl w:val="1"/>
        <w:rPr>
          <w:rFonts w:hint="eastAsia" w:ascii="宋体" w:hAnsi="宋体" w:eastAsia="宋体" w:cs="宋体"/>
          <w:b/>
          <w:bCs w:val="0"/>
          <w:color w:val="auto"/>
          <w:sz w:val="24"/>
          <w:szCs w:val="24"/>
          <w:highlight w:val="none"/>
          <w:lang w:val="en-US"/>
        </w:rPr>
      </w:pPr>
      <w:bookmarkStart w:id="641" w:name="_Toc9679_WPSOffice_Level2"/>
      <w:r>
        <w:rPr>
          <w:rFonts w:hint="eastAsia" w:ascii="宋体" w:hAnsi="宋体" w:eastAsia="宋体" w:cs="宋体"/>
          <w:b/>
          <w:bCs w:val="0"/>
          <w:color w:val="auto"/>
          <w:kern w:val="0"/>
          <w:sz w:val="24"/>
          <w:szCs w:val="24"/>
          <w:highlight w:val="none"/>
          <w:lang w:val="en-US" w:eastAsia="zh-CN" w:bidi="ar"/>
        </w:rPr>
        <w:t>一</w:t>
      </w:r>
      <w:bookmarkEnd w:id="641"/>
      <w:r>
        <w:rPr>
          <w:rFonts w:hint="eastAsia" w:ascii="宋体" w:hAnsi="宋体" w:eastAsia="宋体" w:cs="宋体"/>
          <w:b/>
          <w:bCs w:val="0"/>
          <w:color w:val="auto"/>
          <w:kern w:val="0"/>
          <w:sz w:val="24"/>
          <w:szCs w:val="24"/>
          <w:highlight w:val="none"/>
          <w:lang w:val="en-US" w:eastAsia="zh-CN" w:bidi="ar"/>
        </w:rPr>
        <w:t>、总则</w:t>
      </w:r>
    </w:p>
    <w:p w14:paraId="6F9C9A80">
      <w:pPr>
        <w:spacing w:line="440" w:lineRule="exact"/>
        <w:ind w:firstLine="422" w:firstLineChars="200"/>
        <w:jc w:val="left"/>
        <w:rPr>
          <w:rFonts w:hint="eastAsia" w:ascii="宋体" w:hAnsi="宋体" w:eastAsia="宋体" w:cs="宋体"/>
          <w:b/>
          <w:color w:val="auto"/>
          <w:szCs w:val="21"/>
          <w:highlight w:val="none"/>
          <w:lang w:eastAsia="zh-CN"/>
        </w:rPr>
      </w:pPr>
      <w:bookmarkStart w:id="642" w:name="_Toc14651"/>
      <w:bookmarkEnd w:id="642"/>
      <w:bookmarkStart w:id="643" w:name="_Toc10907_WPSOffice_Level3"/>
      <w:r>
        <w:rPr>
          <w:rFonts w:hint="eastAsia" w:ascii="宋体" w:hAnsi="宋体" w:cs="宋体"/>
          <w:b/>
          <w:color w:val="auto"/>
          <w:szCs w:val="21"/>
          <w:highlight w:val="none"/>
        </w:rPr>
        <w:t>1. 本次评标采用</w:t>
      </w:r>
      <w:bookmarkEnd w:id="643"/>
      <w:r>
        <w:rPr>
          <w:rFonts w:hint="eastAsia" w:ascii="宋体" w:hAnsi="宋体" w:cs="宋体"/>
          <w:b/>
          <w:color w:val="auto"/>
          <w:szCs w:val="21"/>
          <w:highlight w:val="none"/>
          <w:lang w:eastAsia="zh-CN"/>
        </w:rPr>
        <w:t>最低评标价法</w:t>
      </w:r>
    </w:p>
    <w:p w14:paraId="70CAF0C3">
      <w:pPr>
        <w:spacing w:line="440" w:lineRule="exact"/>
        <w:ind w:firstLine="420" w:firstLineChars="200"/>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1.1最低评标价法，是指投标文件满足招标文件全部实质性要求且</w:t>
      </w:r>
      <w:r>
        <w:rPr>
          <w:rFonts w:hint="eastAsia"/>
          <w:highlight w:val="none"/>
          <w:lang w:val="en-US" w:eastAsia="zh-CN"/>
        </w:rPr>
        <w:t>总</w:t>
      </w:r>
      <w:r>
        <w:rPr>
          <w:rFonts w:hint="eastAsia" w:ascii="宋体" w:hAnsi="Times New Roman" w:eastAsia="宋体" w:cs="Times New Roman"/>
          <w:color w:val="auto"/>
          <w:szCs w:val="21"/>
          <w:highlight w:val="none"/>
        </w:rPr>
        <w:t>投标报价</w:t>
      </w:r>
      <w:r>
        <w:rPr>
          <w:rFonts w:hint="default" w:ascii="宋体" w:hAnsi="宋体" w:eastAsia="宋体" w:cs="宋体"/>
          <w:color w:val="auto"/>
          <w:szCs w:val="21"/>
          <w:highlight w:val="none"/>
          <w:lang w:val="en-US" w:eastAsia="zh-CN"/>
        </w:rPr>
        <w:t>（扣除可抵扣进项税后价格）</w:t>
      </w:r>
      <w:r>
        <w:rPr>
          <w:rFonts w:hint="eastAsia" w:ascii="宋体" w:hAnsi="Times New Roman" w:eastAsia="宋体" w:cs="Times New Roman"/>
          <w:color w:val="auto"/>
          <w:szCs w:val="21"/>
          <w:highlight w:val="none"/>
        </w:rPr>
        <w:t>由低到高的供应商为中标候选人的评标方法。</w:t>
      </w:r>
    </w:p>
    <w:p w14:paraId="09F3CDB5">
      <w:pPr>
        <w:spacing w:line="440" w:lineRule="exact"/>
        <w:ind w:firstLine="422" w:firstLineChars="200"/>
        <w:jc w:val="left"/>
        <w:rPr>
          <w:rFonts w:hint="eastAsia" w:ascii="宋体" w:hAnsi="宋体" w:cs="宋体"/>
          <w:b/>
          <w:color w:val="auto"/>
          <w:szCs w:val="21"/>
          <w:highlight w:val="none"/>
        </w:rPr>
      </w:pPr>
      <w:bookmarkStart w:id="644" w:name="_Toc23969_WPSOffice_Level3"/>
      <w:r>
        <w:rPr>
          <w:rFonts w:hint="eastAsia" w:ascii="宋体" w:hAnsi="宋体" w:cs="宋体"/>
          <w:b/>
          <w:color w:val="auto"/>
          <w:szCs w:val="21"/>
          <w:highlight w:val="none"/>
        </w:rPr>
        <w:t>2．评标程序</w:t>
      </w:r>
      <w:bookmarkEnd w:id="644"/>
    </w:p>
    <w:p w14:paraId="4940EC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2.1投标文件的初审</w:t>
      </w:r>
    </w:p>
    <w:p w14:paraId="70A1DA39">
      <w:pPr>
        <w:spacing w:line="44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2.1.1资格性检查。依据法</w:t>
      </w:r>
      <w:r>
        <w:rPr>
          <w:rFonts w:hint="eastAsia" w:ascii="宋体"/>
          <w:color w:val="auto"/>
          <w:szCs w:val="21"/>
          <w:highlight w:val="none"/>
        </w:rPr>
        <w:t xml:space="preserve">律法规和招标文件的规定，对投标文件中的资格证明、投标保证金等进行审查，以确定投标人是否具备投标资格。 </w:t>
      </w:r>
    </w:p>
    <w:p w14:paraId="3BCC4BE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2.1.2符合性检查。依据招标文件的规定，从投标文件的有效性、完整性进行审查，以确定投标人是否对招标文件的实质性要求作出响应。</w:t>
      </w:r>
    </w:p>
    <w:p w14:paraId="6FAB0680">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1F779787">
      <w:pPr>
        <w:spacing w:line="440" w:lineRule="exact"/>
        <w:ind w:firstLine="420" w:firstLineChars="200"/>
        <w:rPr>
          <w:rFonts w:hint="eastAsia" w:ascii="宋体"/>
          <w:color w:val="auto"/>
          <w:szCs w:val="21"/>
          <w:highlight w:val="none"/>
        </w:rPr>
      </w:pPr>
      <w:r>
        <w:rPr>
          <w:rFonts w:hint="eastAsia" w:ascii="宋体"/>
          <w:color w:val="auto"/>
          <w:szCs w:val="21"/>
          <w:highlight w:val="none"/>
        </w:rPr>
        <w:t>2.2.1在评标过程中，评标委员会认为需要，在监督人员在场的情况下，可要求投标人对投标文件中的有关问题进行澄清或提供补充说明及有关资料，投标人应做出书面答复。书面答复中不得变更价格、供货期、自报质量等实质性内容。</w:t>
      </w:r>
    </w:p>
    <w:p w14:paraId="2DFC3D0A">
      <w:pPr>
        <w:spacing w:line="440" w:lineRule="exact"/>
        <w:ind w:firstLine="420" w:firstLineChars="200"/>
        <w:rPr>
          <w:rFonts w:hint="eastAsia" w:ascii="宋体"/>
          <w:color w:val="auto"/>
          <w:szCs w:val="21"/>
          <w:highlight w:val="none"/>
        </w:rPr>
      </w:pPr>
      <w:r>
        <w:rPr>
          <w:rFonts w:hint="eastAsia" w:ascii="宋体"/>
          <w:color w:val="auto"/>
          <w:szCs w:val="21"/>
          <w:highlight w:val="none"/>
        </w:rPr>
        <w:t>2.2.2书面答复须经投标人法定代理人或其授权委托代理人的签字或印鉴，签字或盖印鉴的书面答复将视为投标文件的组成部分。投标截止时间后，投标人对投标报价</w:t>
      </w:r>
      <w:r>
        <w:rPr>
          <w:rFonts w:hint="eastAsia" w:ascii="宋体"/>
          <w:color w:val="auto"/>
          <w:szCs w:val="21"/>
          <w:highlight w:val="none"/>
          <w:lang w:eastAsia="zh-CN"/>
        </w:rPr>
        <w:t>或其他</w:t>
      </w:r>
      <w:r>
        <w:rPr>
          <w:rFonts w:hint="eastAsia" w:ascii="宋体"/>
          <w:color w:val="auto"/>
          <w:szCs w:val="21"/>
          <w:highlight w:val="none"/>
        </w:rPr>
        <w:t>实质性内容修正的函件和增加的任何优惠条件，一律不得作为评标、定标的依据。</w:t>
      </w:r>
    </w:p>
    <w:p w14:paraId="3A0C27C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2.2.3</w:t>
      </w:r>
      <w:r>
        <w:rPr>
          <w:rFonts w:hint="eastAsia" w:ascii="宋体"/>
          <w:color w:val="auto"/>
          <w:szCs w:val="21"/>
          <w:highlight w:val="none"/>
          <w:lang w:eastAsia="zh-CN"/>
        </w:rPr>
        <w:t>招标人</w:t>
      </w:r>
      <w:r>
        <w:rPr>
          <w:rFonts w:hint="eastAsia" w:ascii="宋体"/>
          <w:color w:val="auto"/>
          <w:szCs w:val="21"/>
          <w:highlight w:val="none"/>
        </w:rPr>
        <w:t>不接受投标人主动提出的澄清。</w:t>
      </w:r>
    </w:p>
    <w:p w14:paraId="1AF48F66">
      <w:pPr>
        <w:spacing w:line="440" w:lineRule="exact"/>
        <w:ind w:firstLine="420" w:firstLineChars="200"/>
        <w:rPr>
          <w:rFonts w:hint="eastAsia" w:ascii="宋体"/>
          <w:color w:val="auto"/>
          <w:szCs w:val="21"/>
          <w:highlight w:val="none"/>
        </w:rPr>
      </w:pPr>
      <w:r>
        <w:rPr>
          <w:rFonts w:hint="eastAsia" w:ascii="宋体"/>
          <w:color w:val="auto"/>
          <w:szCs w:val="21"/>
          <w:highlight w:val="none"/>
        </w:rPr>
        <w:t>2.3比较与评价</w:t>
      </w:r>
    </w:p>
    <w:p w14:paraId="719545D6">
      <w:pPr>
        <w:spacing w:line="440" w:lineRule="exact"/>
        <w:ind w:firstLine="420" w:firstLineChars="200"/>
        <w:jc w:val="left"/>
        <w:rPr>
          <w:rFonts w:hint="eastAsia" w:ascii="宋体" w:eastAsia="宋体"/>
          <w:color w:val="auto"/>
          <w:szCs w:val="21"/>
          <w:highlight w:val="none"/>
          <w:lang w:eastAsia="zh-CN"/>
        </w:rPr>
      </w:pPr>
      <w:r>
        <w:rPr>
          <w:rFonts w:hint="eastAsia" w:ascii="宋体"/>
          <w:color w:val="auto"/>
          <w:szCs w:val="21"/>
          <w:highlight w:val="none"/>
        </w:rPr>
        <w:t xml:space="preserve">2．3.1按招标文件中规定的评标方法和标准，对资格性检查和符合性检查合格的投标文件进行商务和技术评估，综合比较与评价。 </w:t>
      </w:r>
    </w:p>
    <w:p w14:paraId="199DFE7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2.4推荐中标候选人名单</w:t>
      </w:r>
    </w:p>
    <w:p w14:paraId="791D5B8B">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2.4.1中标候选人数量应当根据采购需要确定，但必须按顺序排列中标候选人。</w:t>
      </w:r>
    </w:p>
    <w:p w14:paraId="58F1A96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2.5在投标文件的审查、澄清、评价和比较以及授予合同过程中，投标人对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3DB697D3">
      <w:pPr>
        <w:rPr>
          <w:rFonts w:hint="eastAsia" w:ascii="宋体" w:hAnsi="宋体" w:eastAsia="宋体" w:cs="宋体"/>
          <w:b/>
          <w:bCs w:val="0"/>
          <w:color w:val="auto"/>
          <w:kern w:val="0"/>
          <w:sz w:val="24"/>
          <w:szCs w:val="24"/>
          <w:highlight w:val="none"/>
          <w:lang w:val="en-US" w:eastAsia="zh-CN" w:bidi="ar"/>
        </w:rPr>
      </w:pPr>
      <w:r>
        <w:rPr>
          <w:rFonts w:hint="eastAsia" w:ascii="宋体" w:hAnsi="宋体" w:eastAsia="宋体" w:cs="宋体"/>
          <w:b/>
          <w:bCs w:val="0"/>
          <w:color w:val="auto"/>
          <w:kern w:val="0"/>
          <w:sz w:val="24"/>
          <w:szCs w:val="24"/>
          <w:highlight w:val="none"/>
          <w:lang w:val="en-US" w:eastAsia="zh-CN" w:bidi="ar"/>
        </w:rPr>
        <w:br w:type="page"/>
      </w:r>
    </w:p>
    <w:p w14:paraId="2C11A0FB">
      <w:pPr>
        <w:keepNext w:val="0"/>
        <w:keepLines w:val="0"/>
        <w:widowControl w:val="0"/>
        <w:suppressLineNumbers w:val="0"/>
        <w:snapToGrid w:val="0"/>
        <w:spacing w:before="156" w:beforeLines="50" w:beforeAutospacing="0" w:after="156" w:afterLines="50" w:afterAutospacing="0" w:line="440" w:lineRule="exact"/>
        <w:ind w:left="0" w:right="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lang w:val="en-US" w:eastAsia="zh-CN" w:bidi="ar"/>
        </w:rPr>
        <w:t>二、投标文件审查</w:t>
      </w:r>
    </w:p>
    <w:p w14:paraId="77AA118A">
      <w:pPr>
        <w:keepNext w:val="0"/>
        <w:keepLines w:val="0"/>
        <w:widowControl/>
        <w:suppressLineNumbers w:val="0"/>
        <w:spacing w:before="0" w:beforeAutospacing="0" w:after="0" w:afterAutospacing="0" w:line="357" w:lineRule="atLeast"/>
        <w:ind w:left="0" w:right="0"/>
        <w:jc w:val="both"/>
        <w:rPr>
          <w:rFonts w:hint="eastAsia" w:ascii="黑体" w:hAnsi="宋体" w:eastAsia="黑体" w:cs="宋体"/>
          <w:b/>
          <w:bCs w:val="0"/>
          <w:color w:val="auto"/>
          <w:highlight w:val="none"/>
          <w:lang w:val="en-US"/>
        </w:rPr>
      </w:pPr>
      <w:bookmarkStart w:id="645" w:name="_Toc9092_WPSOffice_Level3"/>
      <w:bookmarkEnd w:id="645"/>
      <w:r>
        <w:rPr>
          <w:rFonts w:hint="eastAsia" w:ascii="黑体" w:hAnsi="宋体" w:eastAsia="黑体" w:cs="宋体"/>
          <w:b/>
          <w:bCs w:val="0"/>
          <w:color w:val="auto"/>
          <w:kern w:val="0"/>
          <w:sz w:val="21"/>
          <w:szCs w:val="21"/>
          <w:highlight w:val="none"/>
          <w:lang w:val="en-US" w:eastAsia="zh-CN" w:bidi="ar"/>
        </w:rPr>
        <w:t>3.资格性审查</w:t>
      </w:r>
    </w:p>
    <w:p w14:paraId="5995BED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3.1评审细则</w:t>
      </w:r>
    </w:p>
    <w:tbl>
      <w:tblPr>
        <w:tblStyle w:val="50"/>
        <w:tblW w:w="88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9"/>
        <w:gridCol w:w="3894"/>
      </w:tblGrid>
      <w:tr w14:paraId="515A2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tcBorders>
              <w:top w:val="single" w:color="auto" w:sz="4" w:space="0"/>
              <w:left w:val="single" w:color="auto" w:sz="4" w:space="0"/>
              <w:bottom w:val="single" w:color="auto" w:sz="4" w:space="0"/>
              <w:right w:val="single" w:color="auto" w:sz="4" w:space="0"/>
            </w:tcBorders>
            <w:noWrap w:val="0"/>
            <w:vAlign w:val="center"/>
          </w:tcPr>
          <w:p w14:paraId="3D461965">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黑体" w:hAnsi="宋体" w:eastAsia="黑体" w:cs="黑体"/>
                <w:b/>
                <w:bCs/>
                <w:color w:val="auto"/>
                <w:kern w:val="2"/>
                <w:sz w:val="21"/>
                <w:szCs w:val="21"/>
                <w:highlight w:val="none"/>
                <w:lang w:val="en-US" w:eastAsia="zh-CN" w:bidi="ar"/>
              </w:rPr>
              <w:t>序号</w:t>
            </w:r>
          </w:p>
        </w:tc>
        <w:tc>
          <w:tcPr>
            <w:tcW w:w="4244" w:type="dxa"/>
            <w:gridSpan w:val="2"/>
            <w:tcBorders>
              <w:top w:val="single" w:color="auto" w:sz="4" w:space="0"/>
              <w:left w:val="single" w:color="auto" w:sz="4" w:space="0"/>
              <w:bottom w:val="single" w:color="auto" w:sz="4" w:space="0"/>
              <w:right w:val="single" w:color="auto" w:sz="4" w:space="0"/>
            </w:tcBorders>
            <w:noWrap w:val="0"/>
            <w:vAlign w:val="center"/>
          </w:tcPr>
          <w:p w14:paraId="30155AC6">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评审因素</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3D1D7870">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评审标准</w:t>
            </w:r>
          </w:p>
        </w:tc>
      </w:tr>
      <w:tr w14:paraId="422B1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tcBorders>
              <w:top w:val="single" w:color="auto" w:sz="4" w:space="0"/>
              <w:left w:val="single" w:color="auto" w:sz="4" w:space="0"/>
              <w:bottom w:val="single" w:color="auto" w:sz="4" w:space="0"/>
              <w:right w:val="single" w:color="auto" w:sz="4" w:space="0"/>
            </w:tcBorders>
            <w:noWrap w:val="0"/>
            <w:vAlign w:val="center"/>
          </w:tcPr>
          <w:p w14:paraId="4C66497B">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1</w:t>
            </w:r>
          </w:p>
        </w:tc>
        <w:tc>
          <w:tcPr>
            <w:tcW w:w="1235" w:type="dxa"/>
            <w:tcBorders>
              <w:top w:val="single" w:color="auto" w:sz="4" w:space="0"/>
              <w:left w:val="single" w:color="auto" w:sz="4" w:space="0"/>
              <w:bottom w:val="single" w:color="auto" w:sz="4" w:space="0"/>
              <w:right w:val="single" w:color="auto" w:sz="4" w:space="0"/>
            </w:tcBorders>
            <w:noWrap w:val="0"/>
            <w:vAlign w:val="center"/>
          </w:tcPr>
          <w:p w14:paraId="69914C46">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重要要求</w:t>
            </w: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57677C0">
            <w:pPr>
              <w:keepNext w:val="0"/>
              <w:keepLines w:val="0"/>
              <w:widowControl/>
              <w:suppressLineNumbers w:val="0"/>
              <w:spacing w:before="0" w:beforeAutospacing="0" w:after="0" w:afterAutospacing="0" w:line="320" w:lineRule="exact"/>
              <w:ind w:left="0" w:right="0"/>
              <w:jc w:val="both"/>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w:t>
            </w:r>
            <w:r>
              <w:rPr>
                <w:rFonts w:hint="default" w:ascii="Times New Roman" w:hAnsi="Times New Roman" w:eastAsia="宋体" w:cs="Times New Roman"/>
                <w:color w:val="auto"/>
                <w:kern w:val="2"/>
                <w:sz w:val="21"/>
                <w:szCs w:val="21"/>
                <w:highlight w:val="none"/>
                <w:lang w:val="en-US" w:eastAsia="zh-CN" w:bidi="ar"/>
              </w:rPr>
              <w:t>1</w:t>
            </w:r>
            <w:r>
              <w:rPr>
                <w:rFonts w:hint="eastAsia" w:ascii="宋体" w:hAnsi="宋体" w:eastAsia="宋体" w:cs="宋体"/>
                <w:color w:val="auto"/>
                <w:kern w:val="2"/>
                <w:sz w:val="21"/>
                <w:szCs w:val="21"/>
                <w:highlight w:val="none"/>
                <w:lang w:val="en-US" w:eastAsia="zh-CN" w:bidi="ar"/>
              </w:rPr>
              <w:t>）法定代表人身份证明和本人身份证（或法定代表人授权委托书原件和委托代理人身份证原件）</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6B08A0BF">
            <w:pPr>
              <w:keepNext w:val="0"/>
              <w:keepLines w:val="0"/>
              <w:widowControl/>
              <w:suppressLineNumbers w:val="0"/>
              <w:spacing w:before="0" w:beforeAutospacing="0" w:after="0" w:afterAutospacing="0" w:line="320" w:lineRule="exact"/>
              <w:ind w:left="0" w:right="0"/>
              <w:jc w:val="left"/>
              <w:rPr>
                <w:rFonts w:hint="default" w:ascii="宋体" w:hAnsi="宋体" w:eastAsia="宋体" w:cs="宋体"/>
                <w:color w:val="auto"/>
                <w:kern w:val="2"/>
                <w:highlight w:val="none"/>
                <w:lang w:val="en-US"/>
              </w:rPr>
            </w:pPr>
            <w:r>
              <w:rPr>
                <w:rFonts w:hint="eastAsia" w:ascii="宋体"/>
                <w:color w:val="auto"/>
                <w:szCs w:val="24"/>
                <w:highlight w:val="none"/>
                <w:lang w:val="en-US" w:eastAsia="zh-CN"/>
              </w:rPr>
              <w:t>投标文件中</w:t>
            </w:r>
            <w:r>
              <w:rPr>
                <w:rFonts w:hint="eastAsia" w:ascii="宋体" w:hAnsi="宋体" w:eastAsia="宋体" w:cs="宋体"/>
                <w:color w:val="auto"/>
                <w:kern w:val="2"/>
                <w:sz w:val="21"/>
                <w:szCs w:val="21"/>
                <w:highlight w:val="none"/>
                <w:lang w:val="en-US" w:eastAsia="zh-CN" w:bidi="ar"/>
              </w:rPr>
              <w:t>验法定代表人身份证明原件和有效身份证（或授权委托书及委托代理人有效身份证）</w:t>
            </w:r>
          </w:p>
        </w:tc>
      </w:tr>
      <w:tr w14:paraId="3861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25" w:type="dxa"/>
            <w:vMerge w:val="restart"/>
            <w:tcBorders>
              <w:top w:val="nil"/>
              <w:left w:val="single" w:color="auto" w:sz="4" w:space="0"/>
              <w:right w:val="single" w:color="auto" w:sz="4" w:space="0"/>
            </w:tcBorders>
            <w:noWrap w:val="0"/>
            <w:vAlign w:val="center"/>
          </w:tcPr>
          <w:p w14:paraId="324B82FA">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2</w:t>
            </w:r>
          </w:p>
        </w:tc>
        <w:tc>
          <w:tcPr>
            <w:tcW w:w="1235" w:type="dxa"/>
            <w:vMerge w:val="restart"/>
            <w:tcBorders>
              <w:top w:val="nil"/>
              <w:left w:val="single" w:color="auto" w:sz="4" w:space="0"/>
              <w:right w:val="single" w:color="auto" w:sz="4" w:space="0"/>
            </w:tcBorders>
            <w:noWrap w:val="0"/>
            <w:vAlign w:val="center"/>
          </w:tcPr>
          <w:p w14:paraId="7BE21B91">
            <w:pPr>
              <w:keepNext w:val="0"/>
              <w:keepLines w:val="0"/>
              <w:widowControl/>
              <w:suppressLineNumbers w:val="0"/>
              <w:spacing w:before="0" w:beforeAutospacing="0" w:after="0" w:afterAutospacing="0" w:line="320" w:lineRule="exact"/>
              <w:ind w:left="0" w:right="0"/>
              <w:jc w:val="both"/>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投标人应符合的基本资格条件</w:t>
            </w:r>
          </w:p>
        </w:tc>
        <w:tc>
          <w:tcPr>
            <w:tcW w:w="3009" w:type="dxa"/>
            <w:tcBorders>
              <w:top w:val="single" w:color="auto" w:sz="4" w:space="0"/>
              <w:left w:val="single" w:color="auto" w:sz="4" w:space="0"/>
              <w:bottom w:val="single" w:color="auto" w:sz="4" w:space="0"/>
              <w:right w:val="single" w:color="auto" w:sz="4" w:space="0"/>
            </w:tcBorders>
            <w:noWrap w:val="0"/>
            <w:vAlign w:val="center"/>
          </w:tcPr>
          <w:p w14:paraId="4553DFED">
            <w:pPr>
              <w:keepNext w:val="0"/>
              <w:keepLines w:val="0"/>
              <w:suppressLineNumbers w:val="0"/>
              <w:spacing w:before="0" w:beforeAutospacing="0" w:after="0" w:afterAutospacing="0"/>
              <w:ind w:left="0" w:right="0"/>
              <w:rPr>
                <w:rFonts w:hint="eastAsia" w:ascii="宋体" w:hAnsi="宋体" w:eastAsia="宋体" w:cs="宋体"/>
                <w:color w:val="auto"/>
                <w:kern w:val="2"/>
                <w:highlight w:val="none"/>
                <w:lang w:val="en-US"/>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2）</w:t>
            </w:r>
            <w:r>
              <w:rPr>
                <w:rFonts w:hint="eastAsia" w:ascii="宋体" w:hAnsi="宋体" w:cs="宋体"/>
                <w:color w:val="auto"/>
                <w:highlight w:val="none"/>
              </w:rPr>
              <w:t>营业执照</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71BF3FD0">
            <w:pPr>
              <w:keepNext w:val="0"/>
              <w:keepLines w:val="0"/>
              <w:suppressLineNumbers w:val="0"/>
              <w:spacing w:before="0" w:beforeAutospacing="0" w:after="0" w:afterAutospacing="0"/>
              <w:ind w:left="0" w:right="0"/>
              <w:jc w:val="center"/>
              <w:rPr>
                <w:rFonts w:hint="eastAsia" w:ascii="宋体" w:hAnsi="宋体" w:eastAsia="宋体" w:cs="宋体"/>
                <w:color w:val="auto"/>
                <w:kern w:val="2"/>
                <w:highlight w:val="none"/>
                <w:lang w:val="en-US"/>
              </w:rPr>
            </w:pPr>
            <w:r>
              <w:rPr>
                <w:rFonts w:hint="eastAsia" w:ascii="宋体"/>
                <w:color w:val="auto"/>
                <w:szCs w:val="24"/>
                <w:highlight w:val="none"/>
              </w:rPr>
              <w:t>开标时核验原件或复印件或公证件</w:t>
            </w:r>
          </w:p>
        </w:tc>
      </w:tr>
      <w:tr w14:paraId="4A975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725" w:type="dxa"/>
            <w:vMerge w:val="continue"/>
            <w:tcBorders>
              <w:left w:val="single" w:color="auto" w:sz="4" w:space="0"/>
              <w:right w:val="single" w:color="auto" w:sz="4" w:space="0"/>
            </w:tcBorders>
            <w:noWrap w:val="0"/>
            <w:vAlign w:val="center"/>
          </w:tcPr>
          <w:p w14:paraId="069E9293">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1235" w:type="dxa"/>
            <w:vMerge w:val="continue"/>
            <w:tcBorders>
              <w:left w:val="single" w:color="auto" w:sz="4" w:space="0"/>
              <w:right w:val="single" w:color="auto" w:sz="4" w:space="0"/>
            </w:tcBorders>
            <w:noWrap w:val="0"/>
            <w:vAlign w:val="center"/>
          </w:tcPr>
          <w:p w14:paraId="05EE1262">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C793206">
            <w:pPr>
              <w:keepNext w:val="0"/>
              <w:keepLines w:val="0"/>
              <w:suppressLineNumbers w:val="0"/>
              <w:spacing w:before="0" w:beforeAutospacing="0" w:after="0" w:afterAutospacing="0"/>
              <w:ind w:left="0" w:right="0"/>
              <w:rPr>
                <w:rFonts w:hint="eastAsia" w:ascii="宋体" w:hAnsi="宋体" w:eastAsia="宋体" w:cs="宋体"/>
                <w:color w:val="auto"/>
                <w:kern w:val="2"/>
                <w:highlight w:val="none"/>
                <w:lang w:val="en-US"/>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4F51A0E4">
            <w:pPr>
              <w:keepNext w:val="0"/>
              <w:keepLines w:val="0"/>
              <w:suppressLineNumbers w:val="0"/>
              <w:spacing w:before="0" w:beforeAutospacing="0" w:after="0" w:afterAutospacing="0"/>
              <w:ind w:left="0" w:right="0"/>
              <w:jc w:val="center"/>
              <w:rPr>
                <w:rFonts w:hint="eastAsia" w:ascii="宋体" w:hAnsi="宋体" w:eastAsia="宋体" w:cs="宋体"/>
                <w:color w:val="auto"/>
                <w:kern w:val="2"/>
                <w:highlight w:val="none"/>
                <w:lang w:val="en-US"/>
              </w:rPr>
            </w:pPr>
            <w:r>
              <w:rPr>
                <w:rFonts w:hint="eastAsia" w:ascii="宋体"/>
                <w:color w:val="auto"/>
                <w:szCs w:val="24"/>
                <w:highlight w:val="none"/>
                <w:lang w:val="en-US" w:eastAsia="zh-CN"/>
              </w:rPr>
              <w:t>投标文件中</w:t>
            </w:r>
            <w:r>
              <w:rPr>
                <w:rFonts w:hint="eastAsia" w:ascii="宋体"/>
                <w:color w:val="auto"/>
                <w:szCs w:val="24"/>
                <w:highlight w:val="none"/>
              </w:rPr>
              <w:t>核验原件</w:t>
            </w:r>
          </w:p>
        </w:tc>
      </w:tr>
      <w:tr w14:paraId="2F163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725" w:type="dxa"/>
            <w:vMerge w:val="continue"/>
            <w:tcBorders>
              <w:left w:val="single" w:color="auto" w:sz="4" w:space="0"/>
              <w:right w:val="single" w:color="auto" w:sz="4" w:space="0"/>
            </w:tcBorders>
            <w:noWrap w:val="0"/>
            <w:vAlign w:val="center"/>
          </w:tcPr>
          <w:p w14:paraId="34A19631">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1235" w:type="dxa"/>
            <w:vMerge w:val="continue"/>
            <w:tcBorders>
              <w:left w:val="single" w:color="auto" w:sz="4" w:space="0"/>
              <w:right w:val="single" w:color="auto" w:sz="4" w:space="0"/>
            </w:tcBorders>
            <w:noWrap w:val="0"/>
            <w:vAlign w:val="center"/>
          </w:tcPr>
          <w:p w14:paraId="359D85C4">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58B295B">
            <w:pPr>
              <w:keepNext w:val="0"/>
              <w:keepLines w:val="0"/>
              <w:suppressLineNumbers w:val="0"/>
              <w:spacing w:before="0" w:beforeAutospacing="0" w:after="0" w:afterAutospacing="0"/>
              <w:ind w:left="0" w:right="0"/>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投标人资质证书</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1C0620A7">
            <w:pPr>
              <w:keepNext w:val="0"/>
              <w:keepLines w:val="0"/>
              <w:suppressLineNumbers w:val="0"/>
              <w:spacing w:before="0" w:beforeAutospacing="0" w:after="0" w:afterAutospacing="0"/>
              <w:ind w:left="0" w:right="0"/>
              <w:jc w:val="center"/>
              <w:rPr>
                <w:rFonts w:hint="eastAsia" w:ascii="宋体"/>
                <w:color w:val="auto"/>
                <w:szCs w:val="24"/>
                <w:highlight w:val="none"/>
                <w:lang w:val="en-US" w:eastAsia="zh-CN"/>
              </w:rPr>
            </w:pPr>
            <w:r>
              <w:rPr>
                <w:rFonts w:hint="eastAsia" w:ascii="宋体"/>
                <w:color w:val="auto"/>
                <w:szCs w:val="24"/>
                <w:highlight w:val="none"/>
              </w:rPr>
              <w:t>开标时核验原件或复印件</w:t>
            </w:r>
          </w:p>
        </w:tc>
      </w:tr>
    </w:tbl>
    <w:p w14:paraId="35B9561B">
      <w:pPr>
        <w:keepNext w:val="0"/>
        <w:keepLines w:val="0"/>
        <w:widowControl/>
        <w:suppressLineNumbers w:val="0"/>
        <w:spacing w:before="0" w:beforeAutospacing="0" w:after="0" w:afterAutospacing="0" w:line="357" w:lineRule="atLeast"/>
        <w:ind w:left="0" w:right="0"/>
        <w:jc w:val="both"/>
        <w:rPr>
          <w:rFonts w:hint="eastAsia" w:ascii="黑体" w:hAnsi="宋体" w:eastAsia="黑体" w:cs="宋体"/>
          <w:b/>
          <w:bCs w:val="0"/>
          <w:color w:val="auto"/>
          <w:highlight w:val="none"/>
          <w:lang w:val="en-US"/>
        </w:rPr>
      </w:pPr>
      <w:r>
        <w:rPr>
          <w:rFonts w:hint="eastAsia" w:ascii="黑体" w:hAnsi="宋体" w:eastAsia="黑体" w:cs="宋体"/>
          <w:b/>
          <w:bCs w:val="0"/>
          <w:color w:val="auto"/>
          <w:kern w:val="0"/>
          <w:sz w:val="21"/>
          <w:szCs w:val="21"/>
          <w:highlight w:val="none"/>
          <w:lang w:val="en-US" w:eastAsia="zh-CN" w:bidi="ar"/>
        </w:rPr>
        <w:t>4.符合性审查</w:t>
      </w:r>
    </w:p>
    <w:p w14:paraId="66034082">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b/>
          <w:bCs w:val="0"/>
          <w:color w:val="auto"/>
          <w:highlight w:val="none"/>
          <w:lang w:val="en-US"/>
        </w:rPr>
      </w:pPr>
      <w:bookmarkStart w:id="646" w:name="_Toc4660368"/>
      <w:bookmarkEnd w:id="646"/>
      <w:r>
        <w:rPr>
          <w:rFonts w:hint="eastAsia" w:ascii="宋体" w:hAnsi="宋体" w:eastAsia="宋体" w:cs="宋体"/>
          <w:color w:val="auto"/>
          <w:kern w:val="0"/>
          <w:sz w:val="21"/>
          <w:szCs w:val="21"/>
          <w:highlight w:val="none"/>
          <w:lang w:val="en-US" w:eastAsia="zh-CN" w:bidi="ar"/>
        </w:rPr>
        <w:t>4.1评审细则</w:t>
      </w:r>
    </w:p>
    <w:tbl>
      <w:tblPr>
        <w:tblStyle w:val="50"/>
        <w:tblW w:w="9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973"/>
        <w:gridCol w:w="2931"/>
        <w:gridCol w:w="4691"/>
      </w:tblGrid>
      <w:tr w14:paraId="10541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660" w:type="dxa"/>
            <w:noWrap w:val="0"/>
            <w:vAlign w:val="center"/>
          </w:tcPr>
          <w:p w14:paraId="290FFDE5">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3904" w:type="dxa"/>
            <w:gridSpan w:val="2"/>
            <w:noWrap w:val="0"/>
            <w:vAlign w:val="center"/>
          </w:tcPr>
          <w:p w14:paraId="28146914">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691" w:type="dxa"/>
            <w:noWrap w:val="0"/>
            <w:vAlign w:val="center"/>
          </w:tcPr>
          <w:p w14:paraId="4F739A19">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41F1B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660" w:type="dxa"/>
            <w:vMerge w:val="restart"/>
            <w:noWrap w:val="0"/>
            <w:vAlign w:val="center"/>
          </w:tcPr>
          <w:p w14:paraId="4A06913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1</w:t>
            </w:r>
          </w:p>
        </w:tc>
        <w:tc>
          <w:tcPr>
            <w:tcW w:w="973" w:type="dxa"/>
            <w:vMerge w:val="restart"/>
            <w:noWrap w:val="0"/>
            <w:vAlign w:val="center"/>
          </w:tcPr>
          <w:p w14:paraId="0B5F6EEF">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16D7DD70">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691" w:type="dxa"/>
            <w:noWrap w:val="0"/>
            <w:vAlign w:val="center"/>
          </w:tcPr>
          <w:p w14:paraId="73693872">
            <w:pPr>
              <w:spacing w:line="440" w:lineRule="exact"/>
              <w:jc w:val="left"/>
              <w:rPr>
                <w:rFonts w:ascii="宋体" w:hAnsi="宋体" w:cs="宋体"/>
                <w:color w:val="auto"/>
                <w:szCs w:val="21"/>
                <w:highlight w:val="none"/>
              </w:rPr>
            </w:pPr>
            <w:r>
              <w:rPr>
                <w:rFonts w:hint="eastAsia" w:ascii="宋体" w:hAnsi="宋体" w:cs="宋体"/>
                <w:color w:val="auto"/>
                <w:szCs w:val="21"/>
                <w:highlight w:val="none"/>
                <w:lang w:val="zh-CN"/>
              </w:rPr>
              <w:t>签字、盖章符合要求。</w:t>
            </w:r>
          </w:p>
        </w:tc>
      </w:tr>
      <w:tr w14:paraId="10669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60" w:type="dxa"/>
            <w:vMerge w:val="continue"/>
            <w:noWrap w:val="0"/>
            <w:vAlign w:val="center"/>
          </w:tcPr>
          <w:p w14:paraId="07AF0EE8">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2B3D4430">
            <w:pPr>
              <w:spacing w:line="440" w:lineRule="exact"/>
              <w:jc w:val="left"/>
              <w:rPr>
                <w:rFonts w:hint="eastAsia" w:ascii="宋体" w:hAnsi="宋体" w:cs="宋体"/>
                <w:color w:val="auto"/>
                <w:szCs w:val="21"/>
                <w:highlight w:val="none"/>
              </w:rPr>
            </w:pPr>
          </w:p>
        </w:tc>
        <w:tc>
          <w:tcPr>
            <w:tcW w:w="2931" w:type="dxa"/>
            <w:noWrap w:val="0"/>
            <w:vAlign w:val="center"/>
          </w:tcPr>
          <w:p w14:paraId="0B4C3C94">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691" w:type="dxa"/>
            <w:noWrap w:val="0"/>
            <w:vAlign w:val="center"/>
          </w:tcPr>
          <w:p w14:paraId="6E516716">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只能有一个方案投标。</w:t>
            </w:r>
          </w:p>
        </w:tc>
      </w:tr>
      <w:tr w14:paraId="2CFD4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660" w:type="dxa"/>
            <w:vMerge w:val="continue"/>
            <w:noWrap w:val="0"/>
            <w:vAlign w:val="center"/>
          </w:tcPr>
          <w:p w14:paraId="2F05A770">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29FCBFCC">
            <w:pPr>
              <w:spacing w:line="440" w:lineRule="exact"/>
              <w:jc w:val="left"/>
              <w:rPr>
                <w:rFonts w:hint="eastAsia" w:ascii="宋体" w:hAnsi="宋体" w:cs="宋体"/>
                <w:color w:val="auto"/>
                <w:szCs w:val="21"/>
                <w:highlight w:val="none"/>
              </w:rPr>
            </w:pPr>
          </w:p>
        </w:tc>
        <w:tc>
          <w:tcPr>
            <w:tcW w:w="2931" w:type="dxa"/>
            <w:noWrap w:val="0"/>
            <w:vAlign w:val="center"/>
          </w:tcPr>
          <w:p w14:paraId="62F88640">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691" w:type="dxa"/>
            <w:noWrap w:val="0"/>
            <w:vAlign w:val="center"/>
          </w:tcPr>
          <w:p w14:paraId="2AAF4FA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17C71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660" w:type="dxa"/>
            <w:vMerge w:val="continue"/>
            <w:noWrap w:val="0"/>
            <w:vAlign w:val="center"/>
          </w:tcPr>
          <w:p w14:paraId="4743E1D6">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160BEF7A">
            <w:pPr>
              <w:spacing w:line="440" w:lineRule="exact"/>
              <w:jc w:val="left"/>
              <w:rPr>
                <w:rFonts w:hint="eastAsia" w:ascii="宋体" w:hAnsi="宋体" w:cs="宋体"/>
                <w:color w:val="auto"/>
                <w:szCs w:val="21"/>
                <w:highlight w:val="none"/>
              </w:rPr>
            </w:pPr>
          </w:p>
        </w:tc>
        <w:tc>
          <w:tcPr>
            <w:tcW w:w="2931" w:type="dxa"/>
            <w:noWrap w:val="0"/>
            <w:vAlign w:val="center"/>
          </w:tcPr>
          <w:p w14:paraId="3CB3B63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691" w:type="dxa"/>
            <w:noWrap w:val="0"/>
            <w:vAlign w:val="center"/>
          </w:tcPr>
          <w:p w14:paraId="3CDED68C">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3DF79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660" w:type="dxa"/>
            <w:vMerge w:val="restart"/>
            <w:noWrap w:val="0"/>
            <w:vAlign w:val="center"/>
          </w:tcPr>
          <w:p w14:paraId="06F64D24">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2</w:t>
            </w:r>
          </w:p>
        </w:tc>
        <w:tc>
          <w:tcPr>
            <w:tcW w:w="973" w:type="dxa"/>
            <w:vMerge w:val="restart"/>
            <w:noWrap w:val="0"/>
            <w:vAlign w:val="center"/>
          </w:tcPr>
          <w:p w14:paraId="108DADA7">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4547D20E">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691" w:type="dxa"/>
            <w:noWrap w:val="0"/>
            <w:vAlign w:val="center"/>
          </w:tcPr>
          <w:p w14:paraId="31BCCFC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正本一份，副本一份</w:t>
            </w:r>
            <w:r>
              <w:rPr>
                <w:rFonts w:hint="eastAsia" w:ascii="宋体" w:hAnsi="宋体" w:cs="宋体"/>
                <w:color w:val="auto"/>
                <w:szCs w:val="21"/>
                <w:highlight w:val="none"/>
              </w:rPr>
              <w:t xml:space="preserve">； </w:t>
            </w:r>
          </w:p>
        </w:tc>
      </w:tr>
      <w:tr w14:paraId="50252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660" w:type="dxa"/>
            <w:vMerge w:val="continue"/>
            <w:noWrap w:val="0"/>
            <w:vAlign w:val="center"/>
          </w:tcPr>
          <w:p w14:paraId="0374F180">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4E5468A3">
            <w:pPr>
              <w:spacing w:line="440" w:lineRule="exact"/>
              <w:jc w:val="left"/>
              <w:rPr>
                <w:rFonts w:hint="eastAsia" w:ascii="宋体" w:hAnsi="宋体" w:cs="宋体"/>
                <w:color w:val="auto"/>
                <w:szCs w:val="21"/>
                <w:highlight w:val="none"/>
              </w:rPr>
            </w:pPr>
          </w:p>
        </w:tc>
        <w:tc>
          <w:tcPr>
            <w:tcW w:w="2931" w:type="dxa"/>
            <w:noWrap w:val="0"/>
            <w:vAlign w:val="center"/>
          </w:tcPr>
          <w:p w14:paraId="166DD4BA">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691" w:type="dxa"/>
            <w:noWrap w:val="0"/>
            <w:vAlign w:val="center"/>
          </w:tcPr>
          <w:p w14:paraId="332F3404">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5247E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660" w:type="dxa"/>
            <w:noWrap w:val="0"/>
            <w:vAlign w:val="center"/>
          </w:tcPr>
          <w:p w14:paraId="69FAAC4F">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3</w:t>
            </w:r>
          </w:p>
        </w:tc>
        <w:tc>
          <w:tcPr>
            <w:tcW w:w="973" w:type="dxa"/>
            <w:noWrap w:val="0"/>
            <w:vAlign w:val="center"/>
          </w:tcPr>
          <w:p w14:paraId="6050131F">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35DD2057">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lang w:val="zh-CN"/>
              </w:rPr>
              <w:t>）商务条款响应程度</w:t>
            </w:r>
          </w:p>
        </w:tc>
        <w:tc>
          <w:tcPr>
            <w:tcW w:w="4691" w:type="dxa"/>
            <w:noWrap w:val="0"/>
            <w:vAlign w:val="center"/>
          </w:tcPr>
          <w:p w14:paraId="74CEC849">
            <w:pPr>
              <w:spacing w:line="440" w:lineRule="exact"/>
              <w:jc w:val="left"/>
              <w:rPr>
                <w:color w:val="auto"/>
                <w:highlight w:val="none"/>
              </w:rPr>
            </w:pPr>
            <w:r>
              <w:rPr>
                <w:rFonts w:hint="eastAsia" w:ascii="宋体" w:hAnsi="宋体" w:cs="宋体"/>
                <w:color w:val="auto"/>
                <w:szCs w:val="21"/>
                <w:highlight w:val="none"/>
                <w:lang w:val="zh-CN"/>
              </w:rPr>
              <w:t>响应招标文件要求。</w:t>
            </w:r>
          </w:p>
        </w:tc>
      </w:tr>
    </w:tbl>
    <w:p w14:paraId="7BBD7B84">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4.2评委会判定投标文件的响应性只根据投标文件本身的内容，而不寻求外部的证据，但投标有不真实不正确的内容时除外。</w:t>
      </w:r>
    </w:p>
    <w:p w14:paraId="60906905">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4.3如果投标文件实质上没有响应招标文件的要求，评委会将予以拒绝，投标人不得通过修正或撤销不符合要求的偏离或保留，而使其投标成为实质上响应的投标。</w:t>
      </w:r>
    </w:p>
    <w:p w14:paraId="09C8035F">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4.4只有通过初审的投标人才能进入下一步程序。</w:t>
      </w:r>
    </w:p>
    <w:p w14:paraId="6794FB6A">
      <w:pPr>
        <w:widowControl w:val="0"/>
        <w:snapToGrid w:val="0"/>
        <w:spacing w:before="156" w:beforeLines="50" w:after="156" w:afterLines="50" w:line="440" w:lineRule="exact"/>
        <w:jc w:val="center"/>
        <w:outlineLvl w:val="1"/>
        <w:rPr>
          <w:rFonts w:hint="eastAsia" w:ascii="宋体"/>
          <w:b/>
          <w:color w:val="auto"/>
          <w:sz w:val="24"/>
          <w:szCs w:val="24"/>
          <w:highlight w:val="none"/>
        </w:rPr>
      </w:pPr>
      <w:bookmarkStart w:id="647" w:name="_Toc32210_WPSOffice_Level1"/>
      <w:bookmarkEnd w:id="647"/>
      <w:bookmarkStart w:id="648" w:name="_Toc831"/>
      <w:bookmarkStart w:id="649" w:name="_Toc22100_WPSOffice_Level2"/>
      <w:r>
        <w:rPr>
          <w:rFonts w:hint="eastAsia" w:ascii="宋体"/>
          <w:b/>
          <w:color w:val="auto"/>
          <w:sz w:val="24"/>
          <w:szCs w:val="24"/>
          <w:highlight w:val="none"/>
        </w:rPr>
        <w:t>三</w:t>
      </w:r>
      <w:r>
        <w:rPr>
          <w:rFonts w:hint="eastAsia" w:ascii="宋体"/>
          <w:b/>
          <w:color w:val="auto"/>
          <w:sz w:val="24"/>
          <w:szCs w:val="24"/>
          <w:highlight w:val="none"/>
          <w:lang w:eastAsia="zh-CN"/>
        </w:rPr>
        <w:t>、</w:t>
      </w:r>
      <w:r>
        <w:rPr>
          <w:rFonts w:hint="eastAsia" w:ascii="宋体"/>
          <w:b/>
          <w:color w:val="auto"/>
          <w:sz w:val="24"/>
          <w:szCs w:val="24"/>
          <w:highlight w:val="none"/>
        </w:rPr>
        <w:t>投标文件的澄清和补正</w:t>
      </w:r>
      <w:bookmarkEnd w:id="648"/>
      <w:bookmarkEnd w:id="649"/>
    </w:p>
    <w:p w14:paraId="150BACF5">
      <w:pPr>
        <w:widowControl w:val="0"/>
        <w:spacing w:line="440" w:lineRule="exact"/>
        <w:ind w:firstLine="420" w:firstLineChars="200"/>
        <w:textAlignment w:val="auto"/>
        <w:rPr>
          <w:rFonts w:hint="eastAsia" w:ascii="宋体" w:cs="宋体"/>
          <w:color w:val="auto"/>
          <w:szCs w:val="21"/>
          <w:highlight w:val="none"/>
        </w:rPr>
      </w:pPr>
      <w:r>
        <w:rPr>
          <w:rFonts w:hint="eastAsia" w:ascii="宋体" w:cs="宋体"/>
          <w:color w:val="auto"/>
          <w:szCs w:val="21"/>
          <w:highlight w:val="none"/>
        </w:rPr>
        <w:t>5.1评审阶段，评委可能会要求有关投标人就其投标书中含义不明确、同类问题表述不一致或者有明显文字和计算错误的内容进行澄清。对不同文字文本投标文件的解释发生异议的，以中文文字文本为准。</w:t>
      </w:r>
    </w:p>
    <w:p w14:paraId="656ECACF">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5.2投标人的澄清、说明或者补正应当采用书面形式，但不得超出投标书的范围或者改变投标书的实质性内容，并由其法定代表人或被授权的代表签字。</w:t>
      </w:r>
    </w:p>
    <w:p w14:paraId="7B46CA21">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5.3评委会修正错误的原则：</w:t>
      </w:r>
    </w:p>
    <w:p w14:paraId="505ED515">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5.3.1如果数字表示的金额和用文字表示的金额不一致时，以文字表示的金额为准；当投标数量与招标数量不一致时，以招标数量为准；当分项报价清单、投标函的总报价与开标一览表不一致时，以开标一览表为准。</w:t>
      </w:r>
    </w:p>
    <w:p w14:paraId="0E6E8216">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5.3.2如果单价与数量的乘积和总价不一致，以单价为准，修正总价及开标一览表；当单价小数点有明显的错位时，评委会将以总价为准，并修正其单价；投标的数量与招标的数量不一致时，以招标数量为准。</w:t>
      </w:r>
    </w:p>
    <w:p w14:paraId="65CDEC8C">
      <w:pPr>
        <w:widowControl w:val="0"/>
        <w:spacing w:line="440" w:lineRule="exact"/>
        <w:ind w:firstLine="420" w:firstLineChars="200"/>
        <w:textAlignment w:val="auto"/>
        <w:rPr>
          <w:rFonts w:cs="宋体"/>
          <w:color w:val="auto"/>
          <w:szCs w:val="21"/>
          <w:highlight w:val="none"/>
        </w:rPr>
      </w:pPr>
      <w:r>
        <w:rPr>
          <w:rFonts w:hint="eastAsia" w:ascii="宋体" w:cs="宋体"/>
          <w:color w:val="auto"/>
          <w:szCs w:val="21"/>
          <w:highlight w:val="none"/>
        </w:rPr>
        <w:t xml:space="preserve"> 5.4评委会将按上述修正错误的方法调整投标文件中的投标报价，调整后的价格应对投标人具有约束力。无论投标人是接受或是拒绝调整后的价格，都应当由法定代表人（或委托代理人）签字予以书面确认。投标人拒绝对投标文件出现的错漏按上述原则进行修正、澄清、说明，评标委员会应当否决其投标。</w:t>
      </w:r>
    </w:p>
    <w:p w14:paraId="19F12419">
      <w:pPr>
        <w:spacing w:line="400" w:lineRule="exact"/>
        <w:ind w:firstLine="562" w:firstLineChars="200"/>
        <w:jc w:val="center"/>
        <w:outlineLvl w:val="1"/>
        <w:rPr>
          <w:rFonts w:hint="eastAsia" w:ascii="宋体" w:hAnsi="宋体"/>
          <w:b/>
          <w:color w:val="auto"/>
          <w:sz w:val="28"/>
          <w:szCs w:val="28"/>
          <w:highlight w:val="none"/>
        </w:rPr>
      </w:pPr>
      <w:r>
        <w:rPr>
          <w:rFonts w:hint="eastAsia" w:ascii="宋体" w:hAnsi="宋体"/>
          <w:b/>
          <w:color w:val="auto"/>
          <w:sz w:val="28"/>
          <w:szCs w:val="28"/>
          <w:highlight w:val="none"/>
        </w:rPr>
        <w:t>四</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比较与评价</w:t>
      </w:r>
    </w:p>
    <w:p w14:paraId="1FC1C8F3">
      <w:pPr>
        <w:spacing w:line="400" w:lineRule="exact"/>
        <w:ind w:firstLine="422" w:firstLineChars="200"/>
        <w:rPr>
          <w:rFonts w:hint="eastAsia" w:ascii="宋体" w:hAnsi="宋体"/>
          <w:b/>
          <w:color w:val="auto"/>
          <w:szCs w:val="21"/>
          <w:highlight w:val="none"/>
        </w:rPr>
      </w:pPr>
      <w:bookmarkStart w:id="650" w:name="_Toc25521"/>
      <w:bookmarkStart w:id="651" w:name="_Toc19726_WPSOffice_Level2"/>
      <w:r>
        <w:rPr>
          <w:rFonts w:hint="eastAsia" w:ascii="宋体" w:hAnsi="宋体"/>
          <w:b/>
          <w:color w:val="auto"/>
          <w:szCs w:val="21"/>
          <w:highlight w:val="none"/>
        </w:rPr>
        <w:t>6. 详细评审即</w:t>
      </w:r>
      <w:r>
        <w:rPr>
          <w:rFonts w:ascii="宋体" w:hAnsi="宋体"/>
          <w:b/>
          <w:color w:val="auto"/>
          <w:szCs w:val="21"/>
          <w:highlight w:val="none"/>
        </w:rPr>
        <w:t>按招标文件中规定的评标方法和标准，</w:t>
      </w:r>
      <w:r>
        <w:rPr>
          <w:rFonts w:hint="eastAsia" w:ascii="宋体" w:hAnsi="宋体"/>
          <w:b/>
          <w:color w:val="auto"/>
          <w:szCs w:val="21"/>
          <w:highlight w:val="none"/>
        </w:rPr>
        <w:t>评标委员会将</w:t>
      </w:r>
      <w:r>
        <w:rPr>
          <w:rFonts w:ascii="宋体" w:hAnsi="宋体"/>
          <w:b/>
          <w:color w:val="auto"/>
          <w:szCs w:val="21"/>
          <w:highlight w:val="none"/>
        </w:rPr>
        <w:t>对</w:t>
      </w:r>
      <w:r>
        <w:rPr>
          <w:rFonts w:hint="eastAsia" w:ascii="宋体" w:hAnsi="宋体"/>
          <w:b/>
          <w:color w:val="auto"/>
          <w:szCs w:val="21"/>
          <w:highlight w:val="none"/>
        </w:rPr>
        <w:t>通过初审</w:t>
      </w:r>
      <w:r>
        <w:rPr>
          <w:rFonts w:ascii="宋体" w:hAnsi="宋体"/>
          <w:b/>
          <w:color w:val="auto"/>
          <w:szCs w:val="21"/>
          <w:highlight w:val="none"/>
        </w:rPr>
        <w:t>的投标</w:t>
      </w:r>
      <w:r>
        <w:rPr>
          <w:rFonts w:hint="eastAsia" w:ascii="宋体" w:hAnsi="宋体"/>
          <w:b/>
          <w:color w:val="auto"/>
          <w:szCs w:val="21"/>
          <w:highlight w:val="none"/>
        </w:rPr>
        <w:t>文件，</w:t>
      </w:r>
      <w:r>
        <w:rPr>
          <w:rFonts w:ascii="宋体" w:hAnsi="宋体"/>
          <w:b/>
          <w:color w:val="auto"/>
          <w:szCs w:val="21"/>
          <w:highlight w:val="none"/>
        </w:rPr>
        <w:t>进行</w:t>
      </w:r>
      <w:r>
        <w:rPr>
          <w:rFonts w:hint="eastAsia" w:ascii="宋体" w:hAnsi="宋体"/>
          <w:b/>
          <w:color w:val="auto"/>
          <w:szCs w:val="21"/>
          <w:highlight w:val="none"/>
        </w:rPr>
        <w:t>商务报价评审，</w:t>
      </w:r>
      <w:r>
        <w:rPr>
          <w:rFonts w:ascii="宋体" w:hAnsi="宋体"/>
          <w:b/>
          <w:color w:val="auto"/>
          <w:szCs w:val="21"/>
          <w:highlight w:val="none"/>
        </w:rPr>
        <w:t>综合比较与评价</w:t>
      </w:r>
      <w:r>
        <w:rPr>
          <w:rFonts w:hint="eastAsia" w:ascii="宋体" w:hAnsi="宋体"/>
          <w:b/>
          <w:color w:val="auto"/>
          <w:szCs w:val="21"/>
          <w:highlight w:val="none"/>
        </w:rPr>
        <w:t>。</w:t>
      </w:r>
    </w:p>
    <w:p w14:paraId="4347DBDD">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w:t>
      </w:r>
      <w:r>
        <w:rPr>
          <w:rFonts w:hint="eastAsia" w:ascii="宋体" w:hAnsi="宋体"/>
          <w:color w:val="auto"/>
          <w:szCs w:val="21"/>
          <w:highlight w:val="none"/>
        </w:rPr>
        <w:t>商务标评审</w:t>
      </w:r>
    </w:p>
    <w:p w14:paraId="7F341BC8">
      <w:pPr>
        <w:snapToGrid w:val="0"/>
        <w:spacing w:line="44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.1.1</w:t>
      </w:r>
      <w:r>
        <w:rPr>
          <w:rFonts w:hint="eastAsia" w:ascii="宋体" w:hAnsi="宋体"/>
          <w:color w:val="auto"/>
          <w:szCs w:val="21"/>
          <w:highlight w:val="none"/>
        </w:rPr>
        <w:t>如评标委员会认为，投标人的报价明显低于其他通过符合性审查投标人的报价，有可能影响产品质量和不能诚信履约的，应当要求其在评标现场合理的时间内提供书面说明，必要时提交相关证明材料；投标人不能证明其报价合理性的，评标委员会应当将其作为无效投标处理。</w:t>
      </w:r>
    </w:p>
    <w:p w14:paraId="58855A41">
      <w:pPr>
        <w:spacing w:line="360" w:lineRule="exact"/>
        <w:ind w:firstLine="421"/>
        <w:rPr>
          <w:rFonts w:hint="eastAsia" w:ascii="宋体"/>
          <w:b/>
          <w:color w:val="auto"/>
          <w:sz w:val="24"/>
          <w:szCs w:val="24"/>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1.2</w:t>
      </w:r>
      <w:r>
        <w:rPr>
          <w:rFonts w:hint="eastAsia" w:ascii="宋体" w:hAnsi="宋体"/>
          <w:color w:val="auto"/>
          <w:szCs w:val="21"/>
          <w:highlight w:val="none"/>
        </w:rPr>
        <w:t>评标委员会按修正后按投标报价</w:t>
      </w:r>
      <w:r>
        <w:rPr>
          <w:rFonts w:hint="default" w:ascii="宋体" w:hAnsi="宋体" w:eastAsia="宋体" w:cs="宋体"/>
          <w:color w:val="auto"/>
          <w:szCs w:val="21"/>
          <w:highlight w:val="none"/>
          <w:lang w:val="en-US" w:eastAsia="zh-CN"/>
        </w:rPr>
        <w:t>（扣除可抵扣进项税后价格）</w:t>
      </w:r>
      <w:r>
        <w:rPr>
          <w:rFonts w:hint="eastAsia" w:ascii="宋体" w:hAnsi="宋体"/>
          <w:color w:val="auto"/>
          <w:szCs w:val="21"/>
          <w:highlight w:val="none"/>
        </w:rPr>
        <w:t>由低到高顺序排序，确定中标候选人。</w:t>
      </w:r>
    </w:p>
    <w:p w14:paraId="32CF77E1">
      <w:pPr>
        <w:keepNext w:val="0"/>
        <w:keepLines w:val="0"/>
        <w:pageBreakBefore w:val="0"/>
        <w:widowControl w:val="0"/>
        <w:kinsoku/>
        <w:wordWrap/>
        <w:overflowPunct/>
        <w:topLinePunct w:val="0"/>
        <w:autoSpaceDE/>
        <w:autoSpaceDN/>
        <w:bidi w:val="0"/>
        <w:adjustRightInd/>
        <w:snapToGrid w:val="0"/>
        <w:spacing w:before="156" w:beforeLines="50" w:after="156" w:afterLines="50" w:line="440" w:lineRule="exact"/>
        <w:jc w:val="center"/>
        <w:textAlignment w:val="auto"/>
        <w:outlineLvl w:val="1"/>
        <w:rPr>
          <w:rFonts w:hint="eastAsia" w:ascii="宋体"/>
          <w:b/>
          <w:color w:val="auto"/>
          <w:sz w:val="24"/>
          <w:szCs w:val="24"/>
          <w:highlight w:val="none"/>
        </w:rPr>
      </w:pPr>
      <w:r>
        <w:rPr>
          <w:rFonts w:hint="eastAsia" w:ascii="宋体"/>
          <w:b/>
          <w:color w:val="auto"/>
          <w:sz w:val="24"/>
          <w:szCs w:val="24"/>
          <w:highlight w:val="none"/>
        </w:rPr>
        <w:t>五  推荐中标候选人</w:t>
      </w:r>
      <w:bookmarkEnd w:id="650"/>
      <w:bookmarkEnd w:id="651"/>
    </w:p>
    <w:p w14:paraId="04F66F11">
      <w:pPr>
        <w:spacing w:line="400" w:lineRule="exact"/>
        <w:ind w:firstLine="417" w:firstLineChars="198"/>
        <w:rPr>
          <w:rFonts w:hint="eastAsia" w:ascii="宋体" w:hAnsi="宋体" w:eastAsia="宋体" w:cs="Times New Roman"/>
          <w:b/>
          <w:color w:val="auto"/>
          <w:szCs w:val="21"/>
          <w:highlight w:val="none"/>
        </w:rPr>
      </w:pPr>
      <w:bookmarkStart w:id="652" w:name="_Toc267320058"/>
      <w:r>
        <w:rPr>
          <w:rFonts w:hint="eastAsia" w:ascii="宋体" w:hAnsi="宋体" w:eastAsia="宋体" w:cs="Times New Roman"/>
          <w:b/>
          <w:color w:val="auto"/>
          <w:szCs w:val="21"/>
          <w:highlight w:val="none"/>
        </w:rPr>
        <w:t>7. 评标委员会根据第二章投标人须知及前附表的规定数量推荐中标候选人，并标明排序。</w:t>
      </w:r>
    </w:p>
    <w:p w14:paraId="57EE5F8A">
      <w:pPr>
        <w:snapToGrid w:val="0"/>
        <w:spacing w:line="400" w:lineRule="exact"/>
        <w:ind w:firstLine="420" w:firstLineChars="200"/>
        <w:rPr>
          <w:rFonts w:hint="eastAsia" w:ascii="宋体"/>
          <w:color w:val="auto"/>
          <w:szCs w:val="21"/>
          <w:highlight w:val="none"/>
        </w:rPr>
      </w:pPr>
      <w:r>
        <w:rPr>
          <w:rFonts w:hint="eastAsia" w:ascii="宋体" w:hAnsi="宋体"/>
          <w:color w:val="auto"/>
          <w:szCs w:val="21"/>
          <w:highlight w:val="none"/>
        </w:rPr>
        <w:t>7.1如出现报价相同情况</w:t>
      </w:r>
      <w:r>
        <w:rPr>
          <w:rFonts w:hint="eastAsia" w:ascii="宋体" w:hAnsi="宋体"/>
          <w:color w:val="auto"/>
          <w:szCs w:val="21"/>
          <w:highlight w:val="none"/>
          <w:lang w:val="en-US" w:eastAsia="zh-CN"/>
        </w:rPr>
        <w:t>且开票税率相同时，则</w:t>
      </w:r>
      <w:r>
        <w:rPr>
          <w:rFonts w:hint="eastAsia" w:ascii="宋体" w:hAnsi="宋体"/>
          <w:color w:val="auto"/>
          <w:szCs w:val="21"/>
          <w:highlight w:val="none"/>
          <w:lang w:eastAsia="zh-CN"/>
        </w:rPr>
        <w:t>招标人</w:t>
      </w:r>
      <w:r>
        <w:rPr>
          <w:rFonts w:hint="eastAsia" w:ascii="宋体" w:hAnsi="宋体"/>
          <w:color w:val="auto"/>
          <w:szCs w:val="21"/>
          <w:highlight w:val="none"/>
          <w:lang w:val="en-US" w:eastAsia="zh-CN"/>
        </w:rPr>
        <w:t>或评标委员会</w:t>
      </w:r>
      <w:r>
        <w:rPr>
          <w:rFonts w:hint="eastAsia" w:ascii="宋体" w:hAnsi="宋体"/>
          <w:color w:val="auto"/>
          <w:szCs w:val="21"/>
          <w:highlight w:val="none"/>
        </w:rPr>
        <w:t>现场抽签确定中标候选人排名顺序。</w:t>
      </w:r>
    </w:p>
    <w:p w14:paraId="04EE7F69">
      <w:pPr>
        <w:snapToGrid w:val="0"/>
        <w:spacing w:line="440" w:lineRule="exact"/>
        <w:ind w:firstLine="422" w:firstLineChars="200"/>
        <w:rPr>
          <w:rFonts w:hint="eastAsia" w:ascii="黑体" w:eastAsia="黑体" w:cs="宋体"/>
          <w:color w:val="auto"/>
          <w:szCs w:val="21"/>
          <w:highlight w:val="none"/>
        </w:rPr>
      </w:pPr>
      <w:r>
        <w:rPr>
          <w:rFonts w:hint="eastAsia" w:ascii="黑体" w:eastAsia="黑体" w:cs="宋体"/>
          <w:b/>
          <w:color w:val="auto"/>
          <w:szCs w:val="21"/>
          <w:highlight w:val="none"/>
        </w:rPr>
        <w:t>8.</w:t>
      </w:r>
      <w:bookmarkEnd w:id="652"/>
      <w:r>
        <w:rPr>
          <w:rFonts w:hint="eastAsia" w:ascii="黑体" w:eastAsia="黑体" w:cs="宋体"/>
          <w:b/>
          <w:color w:val="auto"/>
          <w:szCs w:val="21"/>
          <w:highlight w:val="none"/>
        </w:rPr>
        <w:t>无效投标条款</w:t>
      </w:r>
    </w:p>
    <w:p w14:paraId="11704ED7">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p>
    <w:p w14:paraId="5B4EC102">
      <w:pPr>
        <w:spacing w:line="400" w:lineRule="exact"/>
        <w:ind w:firstLine="420" w:firstLineChars="200"/>
        <w:rPr>
          <w:rFonts w:hint="eastAsia" w:ascii="宋体"/>
          <w:color w:val="auto"/>
          <w:szCs w:val="21"/>
          <w:highlight w:val="none"/>
        </w:rPr>
      </w:pPr>
      <w:r>
        <w:rPr>
          <w:rFonts w:hint="eastAsia" w:ascii="宋体" w:hAnsi="宋体" w:cs="宋体"/>
          <w:color w:val="auto"/>
          <w:szCs w:val="21"/>
          <w:highlight w:val="none"/>
        </w:rPr>
        <w:t xml:space="preserve"> </w:t>
      </w:r>
      <w:r>
        <w:rPr>
          <w:rFonts w:hint="eastAsia" w:ascii="宋体"/>
          <w:color w:val="auto"/>
          <w:szCs w:val="21"/>
          <w:highlight w:val="none"/>
        </w:rPr>
        <w:t>(1) 逾期送达的或者未送达指定地点的投标文件的，投标将被拒绝。</w:t>
      </w:r>
    </w:p>
    <w:p w14:paraId="3FBB3736">
      <w:pPr>
        <w:spacing w:line="400" w:lineRule="exact"/>
        <w:ind w:firstLine="420" w:firstLineChars="200"/>
        <w:rPr>
          <w:rFonts w:hint="eastAsia" w:ascii="宋体"/>
          <w:color w:val="auto"/>
          <w:szCs w:val="21"/>
          <w:highlight w:val="none"/>
        </w:rPr>
      </w:pPr>
      <w:r>
        <w:rPr>
          <w:rFonts w:hint="eastAsia" w:ascii="宋体"/>
          <w:color w:val="auto"/>
          <w:szCs w:val="21"/>
          <w:highlight w:val="none"/>
        </w:rPr>
        <w:t>（2）未按第二章第26.1.1项或第26.1.2项中要求密封和加写标记的投标文件，其投标文件将被拒收。</w:t>
      </w:r>
    </w:p>
    <w:p w14:paraId="623150AF">
      <w:pPr>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8.2</w:t>
      </w:r>
      <w:r>
        <w:rPr>
          <w:rFonts w:hint="eastAsia" w:ascii="宋体"/>
          <w:color w:val="auto"/>
          <w:szCs w:val="21"/>
          <w:highlight w:val="none"/>
        </w:rPr>
        <w:t>投标人</w:t>
      </w:r>
      <w:r>
        <w:rPr>
          <w:rFonts w:hint="eastAsia" w:ascii="宋体" w:hAnsi="宋体" w:cs="宋体"/>
          <w:color w:val="auto"/>
          <w:szCs w:val="21"/>
          <w:highlight w:val="none"/>
        </w:rPr>
        <w:t>有下列情形之一的</w:t>
      </w:r>
      <w:r>
        <w:rPr>
          <w:rFonts w:hint="eastAsia" w:ascii="宋体" w:hAnsi="宋体" w:cs="宋体"/>
          <w:color w:val="auto"/>
          <w:szCs w:val="21"/>
          <w:highlight w:val="none"/>
          <w:lang w:eastAsia="zh-CN"/>
        </w:rPr>
        <w:t>，</w:t>
      </w:r>
      <w:r>
        <w:rPr>
          <w:rFonts w:hint="eastAsia" w:ascii="宋体"/>
          <w:color w:val="auto"/>
          <w:szCs w:val="21"/>
          <w:highlight w:val="none"/>
        </w:rPr>
        <w:t>资格审查后其投标作无效投标处理：</w:t>
      </w:r>
    </w:p>
    <w:p w14:paraId="7ABC81E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法定代表人（或授权委托人）未准时参加会议；</w:t>
      </w:r>
    </w:p>
    <w:p w14:paraId="62CB6B34">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法定代表人参加开标会议未携带有效的法定代表人身份证明原件和本人身份证的；委托代理人参加开标会议未携带有效的法定代表人授权书和本人身份证；</w:t>
      </w:r>
    </w:p>
    <w:p w14:paraId="7C144EF1">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投标人为本项目提供招标代理服务的；</w:t>
      </w:r>
    </w:p>
    <w:p w14:paraId="34E9EF5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投标人与在本项目代理机构存在相互任职或工作的；</w:t>
      </w:r>
    </w:p>
    <w:p w14:paraId="733010AF">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olor w:val="auto"/>
          <w:szCs w:val="21"/>
          <w:highlight w:val="none"/>
        </w:rPr>
        <w:t>被暂停停业的；</w:t>
      </w:r>
    </w:p>
    <w:p w14:paraId="2ED65B85">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被暂停或取消投标资格的；</w:t>
      </w:r>
    </w:p>
    <w:p w14:paraId="53E2305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财产被接管或冻结的；</w:t>
      </w:r>
    </w:p>
    <w:p w14:paraId="15CF890F">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投标人单位负责人为同一人或者存在控股、管理关系的不同单位的；</w:t>
      </w:r>
    </w:p>
    <w:p w14:paraId="05C0F09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投标人基本资格条件和特定资格条件中有一项及以上不符合要求的；</w:t>
      </w:r>
    </w:p>
    <w:p w14:paraId="0E2ACDE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其它情形，经评标委员会提出按无效投标处理，并经采购单位核准的；</w:t>
      </w:r>
    </w:p>
    <w:p w14:paraId="496E040D">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11</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无效投标情形。</w:t>
      </w:r>
    </w:p>
    <w:p w14:paraId="10BA9E02">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8.3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符合性审查后其投标按无效投标处理：</w:t>
      </w:r>
    </w:p>
    <w:p w14:paraId="6F65417C">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投标文件签字、盖章不全，经评标委员会一致认定对开评标内容有实质性影响并经</w:t>
      </w:r>
      <w:r>
        <w:rPr>
          <w:rFonts w:hint="eastAsia" w:ascii="宋体"/>
          <w:color w:val="auto"/>
          <w:szCs w:val="21"/>
          <w:highlight w:val="none"/>
          <w:lang w:eastAsia="zh-CN"/>
        </w:rPr>
        <w:t>招标人</w:t>
      </w:r>
      <w:r>
        <w:rPr>
          <w:rFonts w:hint="eastAsia" w:ascii="宋体"/>
          <w:color w:val="auto"/>
          <w:szCs w:val="21"/>
          <w:highlight w:val="none"/>
        </w:rPr>
        <w:t>核准的；</w:t>
      </w:r>
    </w:p>
    <w:p w14:paraId="005E2596">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未按规定的格式填写，实质性内容不全或关键字迹模糊、无法辨认</w:t>
      </w:r>
      <w:r>
        <w:rPr>
          <w:rFonts w:hint="eastAsia" w:ascii="宋体"/>
          <w:color w:val="auto"/>
          <w:szCs w:val="21"/>
          <w:highlight w:val="none"/>
          <w:lang w:eastAsia="zh-CN"/>
        </w:rPr>
        <w:t>；</w:t>
      </w:r>
      <w:r>
        <w:rPr>
          <w:rFonts w:hint="eastAsia" w:ascii="宋体"/>
          <w:color w:val="auto"/>
          <w:szCs w:val="21"/>
          <w:highlight w:val="none"/>
        </w:rPr>
        <w:t xml:space="preserve"> 经采购单位核准的；</w:t>
      </w:r>
    </w:p>
    <w:p w14:paraId="125329C8">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同一投标人提交两个以上不同的投标文件或者投标报价，但招标文件规定提交备选方案的除外；</w:t>
      </w:r>
    </w:p>
    <w:p w14:paraId="0DD05BF6">
      <w:pPr>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投标文件没有对招标文件的实质性要求和条件作出响应；</w:t>
      </w:r>
    </w:p>
    <w:p w14:paraId="14CA2857">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hAnsi="宋体" w:cs="宋体"/>
          <w:color w:val="auto"/>
          <w:szCs w:val="21"/>
          <w:highlight w:val="none"/>
        </w:rPr>
        <w:t>投标报价超出规定的投标限价或公布的采购预算的或投标人的投标报价各项单价高于招标文件给定的单价最高限价</w:t>
      </w:r>
      <w:r>
        <w:rPr>
          <w:rFonts w:hint="eastAsia" w:ascii="宋体"/>
          <w:color w:val="auto"/>
          <w:szCs w:val="21"/>
          <w:highlight w:val="none"/>
        </w:rPr>
        <w:t>；</w:t>
      </w:r>
    </w:p>
    <w:p w14:paraId="03D7E8D3">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不按评标委员会要求澄清、说明或补正的，或者评标委员会根据招标文件的规定对招标文件的计算错误进行修正后，投标人不接受修正的投标报价的。</w:t>
      </w:r>
    </w:p>
    <w:p w14:paraId="66805C0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其它情形，经评标委员会提出按无效投标处理，并经采购单位核准的；</w:t>
      </w:r>
    </w:p>
    <w:p w14:paraId="08238F10">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未按照招标文件的规定提交投标保证金的；</w:t>
      </w:r>
    </w:p>
    <w:p w14:paraId="7E65ABC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投标文件含有</w:t>
      </w:r>
      <w:r>
        <w:rPr>
          <w:rFonts w:hint="eastAsia" w:ascii="宋体"/>
          <w:color w:val="auto"/>
          <w:szCs w:val="21"/>
          <w:highlight w:val="none"/>
          <w:lang w:eastAsia="zh-CN"/>
        </w:rPr>
        <w:t>招标人</w:t>
      </w:r>
      <w:r>
        <w:rPr>
          <w:rFonts w:hint="eastAsia" w:ascii="宋体"/>
          <w:color w:val="auto"/>
          <w:szCs w:val="21"/>
          <w:highlight w:val="none"/>
        </w:rPr>
        <w:t>不能接受的附加条件的</w:t>
      </w:r>
      <w:r>
        <w:rPr>
          <w:rFonts w:hint="eastAsia" w:ascii="宋体"/>
          <w:color w:val="auto"/>
          <w:szCs w:val="21"/>
          <w:highlight w:val="none"/>
          <w:lang w:eastAsia="zh-CN"/>
        </w:rPr>
        <w:t>；</w:t>
      </w:r>
    </w:p>
    <w:p w14:paraId="581D14C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无效投标情形。</w:t>
      </w:r>
    </w:p>
    <w:p w14:paraId="026A9A09">
      <w:pPr>
        <w:tabs>
          <w:tab w:val="left" w:pos="8820"/>
        </w:tabs>
        <w:snapToGrid w:val="0"/>
        <w:spacing w:line="400" w:lineRule="exact"/>
        <w:ind w:firstLine="420" w:firstLineChars="200"/>
        <w:rPr>
          <w:rFonts w:ascii="宋体"/>
          <w:color w:val="auto"/>
          <w:szCs w:val="21"/>
          <w:highlight w:val="none"/>
        </w:rPr>
      </w:pPr>
      <w:r>
        <w:rPr>
          <w:rFonts w:hint="eastAsia" w:ascii="宋体" w:hAnsi="宋体" w:cs="宋体"/>
          <w:color w:val="auto"/>
          <w:szCs w:val="21"/>
          <w:highlight w:val="none"/>
        </w:rPr>
        <w:t xml:space="preserve">8.4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 xml:space="preserve"> 详细评审后其投标按无效投标处理：</w:t>
      </w:r>
    </w:p>
    <w:p w14:paraId="2F1188F7">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投标产品不符合必须强制执行的国家标准的；</w:t>
      </w:r>
    </w:p>
    <w:p w14:paraId="7CCEDC10">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投标人有串通投标、弄虚作假、行贿等违法行为；</w:t>
      </w:r>
    </w:p>
    <w:p w14:paraId="467888DB">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投标文件含有违反国家法律、法规的内容，或附有</w:t>
      </w:r>
      <w:r>
        <w:rPr>
          <w:rFonts w:hint="eastAsia" w:ascii="宋体"/>
          <w:color w:val="auto"/>
          <w:szCs w:val="21"/>
          <w:highlight w:val="none"/>
          <w:lang w:eastAsia="zh-CN"/>
        </w:rPr>
        <w:t>招标人</w:t>
      </w:r>
      <w:r>
        <w:rPr>
          <w:rFonts w:hint="eastAsia" w:ascii="宋体"/>
          <w:color w:val="auto"/>
          <w:szCs w:val="21"/>
          <w:highlight w:val="none"/>
        </w:rPr>
        <w:t>不能接受的条件的；</w:t>
      </w:r>
    </w:p>
    <w:p w14:paraId="412CC896">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在同一项目（或同一标段）中有多个投标人有效投标报价接近最高限价，且评标委员会认为报价出现异常的，可以宣布其投标无效；</w:t>
      </w:r>
    </w:p>
    <w:p w14:paraId="6C014457">
      <w:pPr>
        <w:tabs>
          <w:tab w:val="left" w:pos="8820"/>
        </w:tabs>
        <w:snapToGrid w:val="0"/>
        <w:spacing w:line="400" w:lineRule="exact"/>
        <w:ind w:firstLine="420" w:firstLineChars="200"/>
        <w:rPr>
          <w:rFonts w:ascii="宋体" w:cs="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s="宋体"/>
          <w:color w:val="auto"/>
          <w:szCs w:val="21"/>
          <w:highlight w:val="none"/>
        </w:rPr>
        <w:t>报价明显低于其他投标人，且不能证明报价合理性的投标无效；</w:t>
      </w:r>
    </w:p>
    <w:p w14:paraId="1D2BD6CF">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拒不确认评标委员会评审修正的投标无效；</w:t>
      </w:r>
    </w:p>
    <w:p w14:paraId="4AE1FFEA">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w:t>
      </w:r>
      <w:r>
        <w:rPr>
          <w:rFonts w:hint="eastAsia" w:ascii="宋体"/>
          <w:color w:val="auto"/>
          <w:szCs w:val="21"/>
          <w:highlight w:val="none"/>
          <w:lang w:eastAsia="zh-CN"/>
        </w:rPr>
        <w:t>招标人</w:t>
      </w:r>
      <w:r>
        <w:rPr>
          <w:rFonts w:hint="eastAsia" w:ascii="宋体"/>
          <w:color w:val="auto"/>
          <w:szCs w:val="21"/>
          <w:highlight w:val="none"/>
        </w:rPr>
        <w:t>核准的；</w:t>
      </w:r>
    </w:p>
    <w:p w14:paraId="4C755AD3">
      <w:pPr>
        <w:tabs>
          <w:tab w:val="left" w:pos="8820"/>
        </w:tabs>
        <w:snapToGrid w:val="0"/>
        <w:spacing w:line="400" w:lineRule="exact"/>
        <w:ind w:firstLine="420" w:firstLineChars="200"/>
        <w:rPr>
          <w:rFonts w:hint="eastAsia" w:ascii="宋体" w:hAnsi="宋体" w:eastAsia="宋体"/>
          <w:b/>
          <w:color w:val="auto"/>
          <w:szCs w:val="21"/>
          <w:highlight w:val="none"/>
          <w:lang w:eastAsia="zh-CN"/>
        </w:rPr>
        <w:sectPr>
          <w:footerReference r:id="rId5" w:type="default"/>
          <w:pgSz w:w="11906" w:h="16838"/>
          <w:pgMar w:top="1091" w:right="1469" w:bottom="1021" w:left="1843" w:header="284" w:footer="680" w:gutter="0"/>
          <w:pgNumType w:fmt="decimal"/>
          <w:cols w:space="720" w:num="1"/>
          <w:docGrid w:type="lines" w:linePitch="312" w:charSpace="0"/>
        </w:sect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w:t>
      </w:r>
      <w:r>
        <w:rPr>
          <w:rFonts w:hint="eastAsia" w:ascii="宋体"/>
          <w:color w:val="auto"/>
          <w:szCs w:val="21"/>
          <w:highlight w:val="none"/>
          <w:lang w:val="en-US" w:eastAsia="zh-CN"/>
        </w:rPr>
        <w:t>情形。</w:t>
      </w:r>
    </w:p>
    <w:p w14:paraId="55DDF12B">
      <w:pPr>
        <w:snapToGrid w:val="0"/>
        <w:spacing w:line="400" w:lineRule="exact"/>
        <w:jc w:val="both"/>
        <w:rPr>
          <w:rFonts w:hint="eastAsia"/>
          <w:color w:val="auto"/>
          <w:highlight w:val="none"/>
        </w:rPr>
      </w:pPr>
    </w:p>
    <w:bookmarkEnd w:id="64"/>
    <w:p w14:paraId="5B987EC4">
      <w:pPr>
        <w:numPr>
          <w:ilvl w:val="0"/>
          <w:numId w:val="1"/>
        </w:numPr>
        <w:spacing w:beforeLines="50" w:afterLines="50"/>
        <w:jc w:val="center"/>
        <w:outlineLvl w:val="0"/>
        <w:rPr>
          <w:rFonts w:hint="eastAsia"/>
          <w:b/>
          <w:bCs/>
          <w:color w:val="auto"/>
          <w:sz w:val="32"/>
          <w:szCs w:val="32"/>
          <w:highlight w:val="none"/>
          <w:lang w:val="en-US" w:eastAsia="zh-CN"/>
        </w:rPr>
      </w:pPr>
      <w:bookmarkStart w:id="653" w:name="_Toc410740236"/>
      <w:bookmarkStart w:id="654" w:name="_Toc22466"/>
      <w:bookmarkStart w:id="655" w:name="_Toc35864588"/>
      <w:bookmarkStart w:id="656" w:name="_Toc15832"/>
      <w:bookmarkStart w:id="657" w:name="_Toc26076"/>
      <w:r>
        <w:rPr>
          <w:rFonts w:hint="eastAsia" w:ascii="Times New Roman" w:hAnsi="Times New Roman" w:eastAsia="宋体" w:cs="Times New Roman"/>
          <w:b/>
          <w:bCs/>
          <w:color w:val="auto"/>
          <w:sz w:val="32"/>
          <w:szCs w:val="32"/>
          <w:highlight w:val="none"/>
          <w:lang w:val="en-US" w:eastAsia="zh-CN"/>
        </w:rPr>
        <w:t>采购需求</w:t>
      </w:r>
    </w:p>
    <w:p w14:paraId="05699C40">
      <w:pPr>
        <w:tabs>
          <w:tab w:val="left" w:pos="8820"/>
        </w:tabs>
        <w:snapToGrid w:val="0"/>
        <w:spacing w:line="400" w:lineRule="exact"/>
        <w:ind w:firstLine="420" w:firstLineChars="200"/>
        <w:rPr>
          <w:rFonts w:hint="default"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滁州工投新能源开发有限公司所属储能电站迁移项目位于滁州工投科技产业园内，包含100KW（200KWH）储能设备的迁移、安装及调试，具体实施位置由招标人指定</w:t>
      </w:r>
      <w:r>
        <w:rPr>
          <w:rFonts w:hint="eastAsia" w:ascii="宋体" w:cs="Times New Roman"/>
          <w:color w:val="auto"/>
          <w:szCs w:val="21"/>
          <w:highlight w:val="none"/>
          <w:lang w:val="en-US" w:eastAsia="zh-CN"/>
        </w:rPr>
        <w:t>，</w:t>
      </w:r>
      <w:r>
        <w:rPr>
          <w:rFonts w:hint="eastAsia" w:ascii="宋体" w:hAnsi="Times New Roman" w:eastAsia="宋体" w:cs="Times New Roman"/>
          <w:color w:val="auto"/>
          <w:szCs w:val="21"/>
          <w:highlight w:val="none"/>
          <w:lang w:val="en-US" w:eastAsia="zh-CN"/>
        </w:rPr>
        <w:t>项目</w:t>
      </w:r>
      <w:r>
        <w:rPr>
          <w:rFonts w:hint="eastAsia" w:ascii="宋体" w:cs="Times New Roman"/>
          <w:color w:val="auto"/>
          <w:szCs w:val="21"/>
          <w:highlight w:val="none"/>
          <w:lang w:val="en-US" w:eastAsia="zh-CN"/>
        </w:rPr>
        <w:t>主要</w:t>
      </w:r>
      <w:r>
        <w:rPr>
          <w:rFonts w:hint="eastAsia" w:ascii="宋体" w:hAnsi="Times New Roman" w:eastAsia="宋体" w:cs="Times New Roman"/>
          <w:color w:val="auto"/>
          <w:szCs w:val="21"/>
          <w:highlight w:val="none"/>
          <w:lang w:val="en-US" w:eastAsia="zh-CN"/>
        </w:rPr>
        <w:t>实施内容如下表所示（</w:t>
      </w:r>
      <w:r>
        <w:rPr>
          <w:rFonts w:hint="eastAsia" w:ascii="宋体" w:cs="Times New Roman"/>
          <w:color w:val="auto"/>
          <w:szCs w:val="21"/>
          <w:highlight w:val="none"/>
          <w:lang w:val="en-US" w:eastAsia="zh-CN"/>
        </w:rPr>
        <w:t>设备</w:t>
      </w:r>
      <w:r>
        <w:rPr>
          <w:rFonts w:hint="eastAsia" w:ascii="宋体" w:hAnsi="Times New Roman" w:eastAsia="宋体" w:cs="Times New Roman"/>
          <w:color w:val="auto"/>
          <w:szCs w:val="21"/>
          <w:highlight w:val="none"/>
          <w:lang w:val="en-US" w:eastAsia="zh-CN"/>
        </w:rPr>
        <w:t>型号和数量以实际情况为准，费用不再增加</w:t>
      </w:r>
      <w:r>
        <w:rPr>
          <w:rFonts w:hint="eastAsia" w:ascii="宋体" w:cs="Times New Roman"/>
          <w:color w:val="auto"/>
          <w:szCs w:val="21"/>
          <w:highlight w:val="none"/>
          <w:lang w:val="en-US" w:eastAsia="zh-CN"/>
        </w:rPr>
        <w:t>，</w:t>
      </w:r>
      <w:r>
        <w:rPr>
          <w:rFonts w:hint="eastAsia" w:ascii="宋体" w:hAnsi="Times New Roman" w:eastAsia="宋体" w:cs="Times New Roman"/>
          <w:color w:val="auto"/>
          <w:szCs w:val="21"/>
          <w:highlight w:val="none"/>
          <w:lang w:val="en-US" w:eastAsia="zh-CN"/>
        </w:rPr>
        <w:t>投标人自行勘察现场和考虑报价）</w:t>
      </w:r>
    </w:p>
    <w:tbl>
      <w:tblPr>
        <w:tblStyle w:val="5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8"/>
        <w:gridCol w:w="4972"/>
        <w:gridCol w:w="810"/>
        <w:gridCol w:w="810"/>
      </w:tblGrid>
      <w:tr w14:paraId="4619C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pct"/>
            <w:noWrap w:val="0"/>
            <w:vAlign w:val="center"/>
          </w:tcPr>
          <w:p w14:paraId="5ABBB1A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项目名称</w:t>
            </w:r>
          </w:p>
        </w:tc>
        <w:tc>
          <w:tcPr>
            <w:tcW w:w="2677" w:type="pct"/>
            <w:noWrap w:val="0"/>
            <w:vAlign w:val="center"/>
          </w:tcPr>
          <w:p w14:paraId="7DC5117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项目内容</w:t>
            </w:r>
          </w:p>
        </w:tc>
        <w:tc>
          <w:tcPr>
            <w:tcW w:w="436" w:type="pct"/>
            <w:noWrap w:val="0"/>
            <w:vAlign w:val="center"/>
          </w:tcPr>
          <w:p w14:paraId="1E19101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单位</w:t>
            </w:r>
          </w:p>
        </w:tc>
        <w:tc>
          <w:tcPr>
            <w:tcW w:w="436" w:type="pct"/>
            <w:noWrap w:val="0"/>
            <w:vAlign w:val="center"/>
          </w:tcPr>
          <w:p w14:paraId="09E9BC7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数量</w:t>
            </w:r>
          </w:p>
        </w:tc>
      </w:tr>
      <w:tr w14:paraId="2193F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670600EC">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电力电缆敷设</w:t>
            </w:r>
          </w:p>
        </w:tc>
        <w:tc>
          <w:tcPr>
            <w:tcW w:w="2677" w:type="pct"/>
            <w:noWrap w:val="0"/>
            <w:vAlign w:val="center"/>
          </w:tcPr>
          <w:p w14:paraId="04B5BCA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1、名称：低压电力电缆</w:t>
            </w:r>
            <w:r>
              <w:rPr>
                <w:rFonts w:hint="eastAsia" w:ascii="仿宋" w:hAnsi="仿宋" w:eastAsia="仿宋" w:cs="仿宋"/>
                <w:i w:val="0"/>
                <w:iCs w:val="0"/>
                <w:color w:val="auto"/>
                <w:kern w:val="0"/>
                <w:sz w:val="21"/>
                <w:szCs w:val="21"/>
                <w:highlight w:val="none"/>
                <w:u w:val="none"/>
                <w:lang w:val="en-US" w:eastAsia="zh-CN" w:bidi="ar"/>
              </w:rPr>
              <w:t>（利旧，含拆除及敷设）</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2、型号：YJV22-0.6/1kV-4*95+1*50mm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436" w:type="pct"/>
            <w:noWrap w:val="0"/>
            <w:vAlign w:val="center"/>
          </w:tcPr>
          <w:p w14:paraId="5F51670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436" w:type="pct"/>
            <w:noWrap w:val="0"/>
            <w:vAlign w:val="center"/>
          </w:tcPr>
          <w:p w14:paraId="5969CD4A">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80</w:t>
            </w:r>
          </w:p>
        </w:tc>
      </w:tr>
      <w:tr w14:paraId="76AAB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2F2B69A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电力电缆中间头制作</w:t>
            </w:r>
          </w:p>
        </w:tc>
        <w:tc>
          <w:tcPr>
            <w:tcW w:w="2677" w:type="pct"/>
            <w:noWrap w:val="0"/>
            <w:vAlign w:val="center"/>
          </w:tcPr>
          <w:p w14:paraId="1D2A2F4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1、名称：电缆中间接头</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2、型号：五芯 95mm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436" w:type="pct"/>
            <w:noWrap w:val="0"/>
            <w:vAlign w:val="center"/>
          </w:tcPr>
          <w:p w14:paraId="758BB9A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436" w:type="pct"/>
            <w:noWrap w:val="0"/>
            <w:vAlign w:val="center"/>
          </w:tcPr>
          <w:p w14:paraId="1D8ADDA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3854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02EDC4F0">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电力电缆接线端子</w:t>
            </w:r>
          </w:p>
        </w:tc>
        <w:tc>
          <w:tcPr>
            <w:tcW w:w="2677" w:type="pct"/>
            <w:noWrap w:val="0"/>
            <w:vAlign w:val="center"/>
          </w:tcPr>
          <w:p w14:paraId="1512D533">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型号：4*95+1*50</w:t>
            </w:r>
          </w:p>
        </w:tc>
        <w:tc>
          <w:tcPr>
            <w:tcW w:w="436" w:type="pct"/>
            <w:noWrap w:val="0"/>
            <w:vAlign w:val="center"/>
          </w:tcPr>
          <w:p w14:paraId="77E54867">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436" w:type="pct"/>
            <w:noWrap w:val="0"/>
            <w:vAlign w:val="center"/>
          </w:tcPr>
          <w:p w14:paraId="2ED154E8">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w:t>
            </w:r>
          </w:p>
        </w:tc>
      </w:tr>
      <w:tr w14:paraId="08DB1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pct"/>
            <w:noWrap w:val="0"/>
            <w:vAlign w:val="center"/>
          </w:tcPr>
          <w:p w14:paraId="648D074D">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储能设备拆除及安装</w:t>
            </w:r>
          </w:p>
        </w:tc>
        <w:tc>
          <w:tcPr>
            <w:tcW w:w="2677" w:type="pct"/>
            <w:noWrap w:val="0"/>
            <w:vAlign w:val="center"/>
          </w:tcPr>
          <w:p w14:paraId="70F6F66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1、名称：储能设备拆除及安装</w:t>
            </w:r>
          </w:p>
        </w:tc>
        <w:tc>
          <w:tcPr>
            <w:tcW w:w="436" w:type="pct"/>
            <w:noWrap w:val="0"/>
            <w:vAlign w:val="center"/>
          </w:tcPr>
          <w:p w14:paraId="6BA0214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台</w:t>
            </w:r>
          </w:p>
        </w:tc>
        <w:tc>
          <w:tcPr>
            <w:tcW w:w="436" w:type="pct"/>
            <w:noWrap w:val="0"/>
            <w:vAlign w:val="center"/>
          </w:tcPr>
          <w:p w14:paraId="757CA07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16115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448" w:type="pct"/>
            <w:noWrap w:val="0"/>
            <w:vAlign w:val="center"/>
          </w:tcPr>
          <w:p w14:paraId="420B844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计量柜拆除及安装</w:t>
            </w:r>
          </w:p>
        </w:tc>
        <w:tc>
          <w:tcPr>
            <w:tcW w:w="2677" w:type="pct"/>
            <w:noWrap w:val="0"/>
            <w:vAlign w:val="center"/>
          </w:tcPr>
          <w:p w14:paraId="4FAE1AA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1、名称：计量柜拆除及安装</w:t>
            </w:r>
          </w:p>
        </w:tc>
        <w:tc>
          <w:tcPr>
            <w:tcW w:w="436" w:type="pct"/>
            <w:noWrap w:val="0"/>
            <w:vAlign w:val="center"/>
          </w:tcPr>
          <w:p w14:paraId="5C976DF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台</w:t>
            </w:r>
          </w:p>
        </w:tc>
        <w:tc>
          <w:tcPr>
            <w:tcW w:w="436" w:type="pct"/>
            <w:noWrap w:val="0"/>
            <w:vAlign w:val="center"/>
          </w:tcPr>
          <w:p w14:paraId="5D394FC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3CDA4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448" w:type="pct"/>
            <w:noWrap w:val="0"/>
            <w:vAlign w:val="center"/>
          </w:tcPr>
          <w:p w14:paraId="002A434D">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储能设备基础</w:t>
            </w:r>
          </w:p>
        </w:tc>
        <w:tc>
          <w:tcPr>
            <w:tcW w:w="2677" w:type="pct"/>
            <w:noWrap w:val="0"/>
            <w:vAlign w:val="center"/>
          </w:tcPr>
          <w:p w14:paraId="2C9F83B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1、名称：储能设备基础（含开挖回填等）</w:t>
            </w:r>
          </w:p>
        </w:tc>
        <w:tc>
          <w:tcPr>
            <w:tcW w:w="436" w:type="pct"/>
            <w:noWrap w:val="0"/>
            <w:vAlign w:val="center"/>
          </w:tcPr>
          <w:p w14:paraId="7334E0F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436" w:type="pct"/>
            <w:noWrap w:val="0"/>
            <w:vAlign w:val="center"/>
          </w:tcPr>
          <w:p w14:paraId="1408088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521C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448" w:type="pct"/>
            <w:noWrap w:val="0"/>
            <w:vAlign w:val="center"/>
          </w:tcPr>
          <w:p w14:paraId="7FB830C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计量柜基础</w:t>
            </w:r>
          </w:p>
        </w:tc>
        <w:tc>
          <w:tcPr>
            <w:tcW w:w="2677" w:type="pct"/>
            <w:noWrap w:val="0"/>
            <w:vAlign w:val="center"/>
          </w:tcPr>
          <w:p w14:paraId="0484F85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1、名称：分支箱基础（含开挖回填等）</w:t>
            </w:r>
          </w:p>
        </w:tc>
        <w:tc>
          <w:tcPr>
            <w:tcW w:w="436" w:type="pct"/>
            <w:noWrap w:val="0"/>
            <w:vAlign w:val="center"/>
          </w:tcPr>
          <w:p w14:paraId="7027B7C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436" w:type="pct"/>
            <w:noWrap w:val="0"/>
            <w:vAlign w:val="center"/>
          </w:tcPr>
          <w:p w14:paraId="5EDB816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78F38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448" w:type="pct"/>
            <w:noWrap w:val="0"/>
            <w:vAlign w:val="center"/>
          </w:tcPr>
          <w:p w14:paraId="26ADC2C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电缆保护管敷设</w:t>
            </w:r>
          </w:p>
        </w:tc>
        <w:tc>
          <w:tcPr>
            <w:tcW w:w="2677" w:type="pct"/>
            <w:noWrap w:val="0"/>
            <w:vAlign w:val="center"/>
          </w:tcPr>
          <w:p w14:paraId="632B7CE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1、名称：电缆保护管</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2、型号：CPVC-110</w:t>
            </w:r>
          </w:p>
        </w:tc>
        <w:tc>
          <w:tcPr>
            <w:tcW w:w="436" w:type="pct"/>
            <w:noWrap w:val="0"/>
            <w:vAlign w:val="center"/>
          </w:tcPr>
          <w:p w14:paraId="48FCB0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436" w:type="pct"/>
            <w:noWrap w:val="0"/>
            <w:vAlign w:val="center"/>
          </w:tcPr>
          <w:p w14:paraId="1DF34A42">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r>
      <w:tr w14:paraId="22541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restart"/>
            <w:noWrap w:val="0"/>
            <w:vAlign w:val="center"/>
          </w:tcPr>
          <w:p w14:paraId="340EA53C">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路面开挖及恢复</w:t>
            </w:r>
          </w:p>
        </w:tc>
        <w:tc>
          <w:tcPr>
            <w:tcW w:w="2677" w:type="pct"/>
            <w:noWrap w:val="0"/>
            <w:vAlign w:val="center"/>
          </w:tcPr>
          <w:p w14:paraId="4DCEFFB9">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1、嵌草砖路面</w:t>
            </w:r>
          </w:p>
        </w:tc>
        <w:tc>
          <w:tcPr>
            <w:tcW w:w="436" w:type="pct"/>
            <w:noWrap w:val="0"/>
            <w:vAlign w:val="center"/>
          </w:tcPr>
          <w:p w14:paraId="7C8EB523">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 米</w:t>
            </w:r>
          </w:p>
        </w:tc>
        <w:tc>
          <w:tcPr>
            <w:tcW w:w="436" w:type="pct"/>
            <w:noWrap w:val="0"/>
            <w:vAlign w:val="center"/>
          </w:tcPr>
          <w:p w14:paraId="38B3CF20">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w:t>
            </w:r>
          </w:p>
        </w:tc>
      </w:tr>
      <w:tr w14:paraId="4EC5F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continue"/>
            <w:noWrap w:val="0"/>
            <w:vAlign w:val="center"/>
          </w:tcPr>
          <w:p w14:paraId="7B4FDAB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2677" w:type="pct"/>
            <w:noWrap w:val="0"/>
            <w:vAlign w:val="center"/>
          </w:tcPr>
          <w:p w14:paraId="52AC9DF1">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2、沥青路面</w:t>
            </w:r>
          </w:p>
        </w:tc>
        <w:tc>
          <w:tcPr>
            <w:tcW w:w="436" w:type="pct"/>
            <w:noWrap w:val="0"/>
            <w:vAlign w:val="center"/>
          </w:tcPr>
          <w:p w14:paraId="5A0E1E7E">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436" w:type="pct"/>
            <w:noWrap w:val="0"/>
            <w:vAlign w:val="center"/>
          </w:tcPr>
          <w:p w14:paraId="694B6AC6">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r>
      <w:tr w14:paraId="1DF92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continue"/>
            <w:noWrap w:val="0"/>
            <w:vAlign w:val="center"/>
          </w:tcPr>
          <w:p w14:paraId="77EBCFC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2677" w:type="pct"/>
            <w:noWrap w:val="0"/>
            <w:vAlign w:val="center"/>
          </w:tcPr>
          <w:p w14:paraId="7FAEFF58">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3、绿化带</w:t>
            </w:r>
          </w:p>
        </w:tc>
        <w:tc>
          <w:tcPr>
            <w:tcW w:w="436" w:type="pct"/>
            <w:noWrap w:val="0"/>
            <w:vAlign w:val="center"/>
          </w:tcPr>
          <w:p w14:paraId="6B206121">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436" w:type="pct"/>
            <w:noWrap w:val="0"/>
            <w:vAlign w:val="center"/>
          </w:tcPr>
          <w:p w14:paraId="5DB817B8">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w:t>
            </w:r>
          </w:p>
        </w:tc>
      </w:tr>
    </w:tbl>
    <w:p w14:paraId="4DA4E02A">
      <w:pPr>
        <w:tabs>
          <w:tab w:val="left" w:pos="8820"/>
        </w:tabs>
        <w:snapToGrid w:val="0"/>
        <w:spacing w:line="400" w:lineRule="exact"/>
        <w:ind w:firstLine="420" w:firstLineChars="200"/>
        <w:rPr>
          <w:rFonts w:hint="default"/>
          <w:color w:val="auto"/>
          <w:highlight w:val="none"/>
          <w:lang w:val="en-US" w:eastAsia="zh-CN"/>
        </w:rPr>
      </w:pPr>
    </w:p>
    <w:bookmarkEnd w:id="653"/>
    <w:p w14:paraId="793AF1EA">
      <w:pPr>
        <w:pStyle w:val="4"/>
        <w:numPr>
          <w:ilvl w:val="0"/>
          <w:numId w:val="2"/>
        </w:numPr>
        <w:spacing w:before="0" w:after="0"/>
        <w:jc w:val="center"/>
        <w:rPr>
          <w:rFonts w:hint="eastAsia"/>
          <w:color w:val="auto"/>
          <w:sz w:val="32"/>
          <w:szCs w:val="32"/>
          <w:highlight w:val="none"/>
        </w:rPr>
      </w:pPr>
      <w:bookmarkStart w:id="658" w:name="_Toc20868"/>
      <w:bookmarkStart w:id="659" w:name="_Toc16259"/>
      <w:r>
        <w:rPr>
          <w:rFonts w:hint="eastAsia"/>
          <w:color w:val="auto"/>
          <w:sz w:val="32"/>
          <w:szCs w:val="32"/>
          <w:highlight w:val="none"/>
        </w:rPr>
        <w:t>合同条款及格式</w:t>
      </w:r>
      <w:bookmarkEnd w:id="654"/>
      <w:bookmarkEnd w:id="655"/>
      <w:bookmarkEnd w:id="656"/>
      <w:bookmarkEnd w:id="657"/>
      <w:bookmarkEnd w:id="658"/>
      <w:bookmarkEnd w:id="659"/>
    </w:p>
    <w:p w14:paraId="56C770F4">
      <w:pPr>
        <w:tabs>
          <w:tab w:val="left" w:pos="8820"/>
        </w:tabs>
        <w:snapToGrid w:val="0"/>
        <w:spacing w:line="400" w:lineRule="exact"/>
        <w:ind w:firstLine="420" w:firstLineChars="200"/>
        <w:rPr>
          <w:rFonts w:hint="default" w:ascii="宋体"/>
          <w:color w:val="auto"/>
          <w:szCs w:val="21"/>
          <w:highlight w:val="none"/>
          <w:lang w:val="en-US" w:eastAsia="zh-CN"/>
        </w:rPr>
      </w:pPr>
      <w:bookmarkStart w:id="660" w:name="_Toc23153"/>
      <w:bookmarkStart w:id="661" w:name="_Toc9590"/>
      <w:bookmarkStart w:id="662" w:name="_Toc23095"/>
      <w:r>
        <w:rPr>
          <w:rFonts w:hint="eastAsia" w:ascii="宋体"/>
          <w:color w:val="auto"/>
          <w:szCs w:val="21"/>
          <w:highlight w:val="none"/>
          <w:lang w:val="en-US" w:eastAsia="zh-CN"/>
        </w:rPr>
        <w:t>中标后，以和招标人实际签订为准。</w:t>
      </w:r>
    </w:p>
    <w:p w14:paraId="4798506B">
      <w:pPr>
        <w:pStyle w:val="20"/>
        <w:rPr>
          <w:rFonts w:hint="eastAsia" w:ascii="宋体"/>
          <w:b/>
          <w:color w:val="auto"/>
          <w:sz w:val="32"/>
          <w:szCs w:val="32"/>
          <w:highlight w:val="none"/>
        </w:rPr>
      </w:pPr>
    </w:p>
    <w:p w14:paraId="6ED6604A">
      <w:pPr>
        <w:pStyle w:val="20"/>
        <w:rPr>
          <w:rFonts w:hint="eastAsia" w:ascii="宋体"/>
          <w:b/>
          <w:color w:val="auto"/>
          <w:sz w:val="32"/>
          <w:szCs w:val="32"/>
          <w:highlight w:val="none"/>
        </w:rPr>
      </w:pPr>
    </w:p>
    <w:p w14:paraId="22A07CD1">
      <w:pPr>
        <w:pStyle w:val="20"/>
        <w:rPr>
          <w:rFonts w:hint="eastAsia" w:ascii="宋体"/>
          <w:b/>
          <w:color w:val="auto"/>
          <w:sz w:val="32"/>
          <w:szCs w:val="32"/>
          <w:highlight w:val="none"/>
        </w:rPr>
      </w:pPr>
    </w:p>
    <w:p w14:paraId="489E7B6D">
      <w:pPr>
        <w:pStyle w:val="5"/>
        <w:rPr>
          <w:rFonts w:hint="eastAsia"/>
          <w:color w:val="auto"/>
          <w:highlight w:val="none"/>
        </w:rPr>
      </w:pPr>
    </w:p>
    <w:p w14:paraId="11DA4BAF">
      <w:pPr>
        <w:rPr>
          <w:rFonts w:hint="eastAsia"/>
          <w:color w:val="auto"/>
          <w:highlight w:val="none"/>
        </w:rPr>
      </w:pPr>
    </w:p>
    <w:p w14:paraId="1509CD61">
      <w:pPr>
        <w:rPr>
          <w:rFonts w:hint="eastAsia"/>
          <w:color w:val="auto"/>
          <w:highlight w:val="none"/>
        </w:rPr>
      </w:pPr>
    </w:p>
    <w:p w14:paraId="6DD20488">
      <w:pPr>
        <w:rPr>
          <w:rFonts w:hint="eastAsia"/>
          <w:color w:val="auto"/>
          <w:highlight w:val="none"/>
        </w:rPr>
      </w:pPr>
    </w:p>
    <w:p w14:paraId="6D362E4B">
      <w:pPr>
        <w:rPr>
          <w:rFonts w:hint="eastAsia"/>
          <w:color w:val="auto"/>
          <w:highlight w:val="none"/>
        </w:rPr>
      </w:pPr>
    </w:p>
    <w:p w14:paraId="5DA9AFB0">
      <w:pPr>
        <w:rPr>
          <w:rFonts w:hint="eastAsia"/>
          <w:color w:val="auto"/>
          <w:highlight w:val="none"/>
        </w:rPr>
      </w:pPr>
    </w:p>
    <w:p w14:paraId="7B1726E3">
      <w:pPr>
        <w:rPr>
          <w:rFonts w:hint="eastAsia"/>
          <w:color w:val="auto"/>
          <w:highlight w:val="none"/>
        </w:rPr>
      </w:pPr>
    </w:p>
    <w:p w14:paraId="65D2F478">
      <w:pPr>
        <w:pStyle w:val="4"/>
        <w:jc w:val="center"/>
        <w:rPr>
          <w:rFonts w:hint="eastAsia"/>
          <w:color w:val="auto"/>
          <w:sz w:val="32"/>
          <w:szCs w:val="32"/>
          <w:highlight w:val="none"/>
        </w:rPr>
      </w:pPr>
      <w:bookmarkStart w:id="663" w:name="_Toc21133"/>
      <w:r>
        <w:rPr>
          <w:rFonts w:hint="eastAsia"/>
          <w:color w:val="auto"/>
          <w:sz w:val="32"/>
          <w:szCs w:val="32"/>
          <w:highlight w:val="none"/>
        </w:rPr>
        <w:t>第</w:t>
      </w:r>
      <w:r>
        <w:rPr>
          <w:rFonts w:hint="eastAsia"/>
          <w:color w:val="auto"/>
          <w:sz w:val="32"/>
          <w:szCs w:val="32"/>
          <w:highlight w:val="none"/>
          <w:lang w:val="en-US" w:eastAsia="zh-CN"/>
        </w:rPr>
        <w:t>五</w:t>
      </w:r>
      <w:r>
        <w:rPr>
          <w:rFonts w:hint="eastAsia"/>
          <w:color w:val="auto"/>
          <w:sz w:val="32"/>
          <w:szCs w:val="32"/>
          <w:highlight w:val="none"/>
        </w:rPr>
        <w:t>章  投标文件格式</w:t>
      </w:r>
      <w:bookmarkEnd w:id="660"/>
      <w:bookmarkEnd w:id="661"/>
      <w:bookmarkEnd w:id="662"/>
      <w:bookmarkEnd w:id="663"/>
    </w:p>
    <w:p w14:paraId="7252E531">
      <w:pPr>
        <w:jc w:val="center"/>
        <w:rPr>
          <w:rFonts w:hint="eastAsia" w:eastAsia="黑体"/>
          <w:color w:val="auto"/>
          <w:sz w:val="20"/>
          <w:highlight w:val="none"/>
        </w:rPr>
      </w:pPr>
    </w:p>
    <w:p w14:paraId="5DAB9521">
      <w:pPr>
        <w:jc w:val="center"/>
        <w:rPr>
          <w:rFonts w:hint="eastAsia"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（项目名称）</w:t>
      </w:r>
    </w:p>
    <w:p w14:paraId="4E55E380">
      <w:pPr>
        <w:jc w:val="center"/>
        <w:rPr>
          <w:rFonts w:hint="eastAsia" w:eastAsia="黑体"/>
          <w:color w:val="auto"/>
          <w:sz w:val="20"/>
          <w:highlight w:val="none"/>
        </w:rPr>
      </w:pPr>
    </w:p>
    <w:p w14:paraId="3931FD4A">
      <w:pPr>
        <w:rPr>
          <w:rFonts w:hint="eastAsia" w:eastAsia="黑体"/>
          <w:color w:val="auto"/>
          <w:sz w:val="20"/>
          <w:highlight w:val="none"/>
        </w:rPr>
      </w:pPr>
    </w:p>
    <w:p w14:paraId="1DFDEEBB">
      <w:pPr>
        <w:jc w:val="center"/>
        <w:rPr>
          <w:rFonts w:hint="eastAsia"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一</w:t>
      </w:r>
    </w:p>
    <w:p w14:paraId="3EA1CC14">
      <w:pPr>
        <w:jc w:val="center"/>
        <w:rPr>
          <w:rFonts w:hint="eastAsia" w:eastAsia="黑体"/>
          <w:color w:val="auto"/>
          <w:sz w:val="44"/>
          <w:szCs w:val="44"/>
          <w:highlight w:val="none"/>
        </w:rPr>
      </w:pPr>
      <w:r>
        <w:rPr>
          <w:rFonts w:hint="eastAsia" w:eastAsia="黑体"/>
          <w:color w:val="auto"/>
          <w:sz w:val="44"/>
          <w:szCs w:val="44"/>
          <w:highlight w:val="none"/>
        </w:rPr>
        <w:t>（资信证明文件）</w:t>
      </w:r>
    </w:p>
    <w:p w14:paraId="5E011EEB">
      <w:pPr>
        <w:jc w:val="center"/>
        <w:rPr>
          <w:rFonts w:hint="eastAsia" w:eastAsia="黑体"/>
          <w:color w:val="auto"/>
          <w:sz w:val="44"/>
          <w:szCs w:val="44"/>
          <w:highlight w:val="none"/>
        </w:rPr>
      </w:pPr>
    </w:p>
    <w:p w14:paraId="0A286377">
      <w:pPr>
        <w:rPr>
          <w:rFonts w:hint="eastAsia" w:ascii="宋体"/>
          <w:color w:val="auto"/>
          <w:sz w:val="28"/>
          <w:szCs w:val="28"/>
          <w:highlight w:val="none"/>
        </w:rPr>
      </w:pPr>
    </w:p>
    <w:p w14:paraId="6C6375D1">
      <w:pPr>
        <w:rPr>
          <w:rFonts w:hint="eastAsia" w:ascii="宋体"/>
          <w:color w:val="auto"/>
          <w:sz w:val="28"/>
          <w:szCs w:val="28"/>
          <w:highlight w:val="none"/>
        </w:rPr>
      </w:pPr>
    </w:p>
    <w:p w14:paraId="21CABC4B">
      <w:pPr>
        <w:rPr>
          <w:rFonts w:hint="eastAsia" w:ascii="宋体"/>
          <w:color w:val="auto"/>
          <w:sz w:val="28"/>
          <w:szCs w:val="28"/>
          <w:highlight w:val="none"/>
        </w:rPr>
      </w:pPr>
    </w:p>
    <w:p w14:paraId="1FF2F4B2">
      <w:pPr>
        <w:rPr>
          <w:rFonts w:hint="eastAsia" w:ascii="宋体"/>
          <w:color w:val="auto"/>
          <w:sz w:val="28"/>
          <w:szCs w:val="28"/>
          <w:highlight w:val="none"/>
        </w:rPr>
      </w:pPr>
    </w:p>
    <w:p w14:paraId="0D273CE6">
      <w:pPr>
        <w:rPr>
          <w:rFonts w:hint="eastAsia" w:ascii="宋体"/>
          <w:color w:val="auto"/>
          <w:sz w:val="28"/>
          <w:szCs w:val="28"/>
          <w:highlight w:val="none"/>
        </w:rPr>
      </w:pPr>
    </w:p>
    <w:p w14:paraId="3AAD17B4">
      <w:pPr>
        <w:rPr>
          <w:rFonts w:hint="eastAsia" w:ascii="宋体"/>
          <w:color w:val="auto"/>
          <w:sz w:val="28"/>
          <w:szCs w:val="28"/>
          <w:highlight w:val="none"/>
        </w:rPr>
      </w:pPr>
    </w:p>
    <w:p w14:paraId="0FD268A3">
      <w:pPr>
        <w:rPr>
          <w:rFonts w:hint="eastAsia" w:ascii="宋体"/>
          <w:color w:val="auto"/>
          <w:sz w:val="28"/>
          <w:szCs w:val="28"/>
          <w:highlight w:val="none"/>
        </w:rPr>
      </w:pPr>
    </w:p>
    <w:p w14:paraId="34920734">
      <w:pPr>
        <w:rPr>
          <w:rFonts w:hint="eastAsia" w:ascii="宋体"/>
          <w:color w:val="auto"/>
          <w:sz w:val="28"/>
          <w:szCs w:val="28"/>
          <w:highlight w:val="none"/>
        </w:rPr>
      </w:pPr>
    </w:p>
    <w:p w14:paraId="54D9EE60">
      <w:pPr>
        <w:rPr>
          <w:rFonts w:hint="eastAsia" w:ascii="宋体"/>
          <w:color w:val="auto"/>
          <w:sz w:val="28"/>
          <w:szCs w:val="28"/>
          <w:highlight w:val="none"/>
        </w:rPr>
      </w:pPr>
    </w:p>
    <w:p w14:paraId="743F50F1">
      <w:pPr>
        <w:rPr>
          <w:rFonts w:hint="eastAsia" w:ascii="宋体"/>
          <w:color w:val="auto"/>
          <w:sz w:val="28"/>
          <w:szCs w:val="28"/>
          <w:highlight w:val="none"/>
        </w:rPr>
      </w:pPr>
    </w:p>
    <w:p w14:paraId="0F1EF2D7">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rPr>
        <w:t>（盖章）</w:t>
      </w:r>
    </w:p>
    <w:p w14:paraId="61D875D2">
      <w:pPr>
        <w:jc w:val="center"/>
        <w:rPr>
          <w:rFonts w:hint="eastAsia" w:ascii="宋体"/>
          <w:color w:val="auto"/>
          <w:sz w:val="28"/>
          <w:szCs w:val="28"/>
          <w:highlight w:val="none"/>
        </w:rPr>
      </w:pPr>
      <w:r>
        <w:rPr>
          <w:rFonts w:hint="eastAsia" w:ascii="宋体"/>
          <w:color w:val="auto"/>
          <w:sz w:val="28"/>
          <w:szCs w:val="28"/>
          <w:highlight w:val="none"/>
        </w:rPr>
        <w:t>法定代表人或授权委托代理人：</w:t>
      </w:r>
      <w:r>
        <w:rPr>
          <w:rFonts w:hint="eastAsia" w:ascii="宋体"/>
          <w:color w:val="auto"/>
          <w:sz w:val="28"/>
          <w:szCs w:val="28"/>
          <w:highlight w:val="none"/>
          <w:u w:val="single"/>
        </w:rPr>
        <w:t xml:space="preserve">         </w:t>
      </w:r>
      <w:r>
        <w:rPr>
          <w:rFonts w:hint="eastAsia" w:ascii="宋体"/>
          <w:color w:val="auto"/>
          <w:sz w:val="28"/>
          <w:szCs w:val="28"/>
          <w:highlight w:val="none"/>
        </w:rPr>
        <w:t>（签字或盖章）</w:t>
      </w:r>
    </w:p>
    <w:p w14:paraId="0865DAA5">
      <w:pPr>
        <w:spacing w:line="540" w:lineRule="exact"/>
        <w:jc w:val="center"/>
        <w:rPr>
          <w:rFonts w:hint="eastAsia"/>
          <w:color w:val="auto"/>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729D41B0">
      <w:pPr>
        <w:spacing w:line="540" w:lineRule="exact"/>
        <w:rPr>
          <w:rFonts w:hint="eastAsia"/>
          <w:color w:val="auto"/>
          <w:highlight w:val="none"/>
        </w:rPr>
      </w:pPr>
    </w:p>
    <w:p w14:paraId="411B6397">
      <w:pPr>
        <w:pStyle w:val="49"/>
        <w:rPr>
          <w:rFonts w:hint="eastAsia"/>
          <w:color w:val="auto"/>
          <w:highlight w:val="none"/>
        </w:rPr>
      </w:pPr>
    </w:p>
    <w:p w14:paraId="13EA362E">
      <w:pPr>
        <w:pStyle w:val="49"/>
        <w:rPr>
          <w:rFonts w:hint="eastAsia"/>
          <w:color w:val="auto"/>
          <w:highlight w:val="none"/>
        </w:rPr>
      </w:pPr>
    </w:p>
    <w:p w14:paraId="66672A69">
      <w:pPr>
        <w:spacing w:line="400" w:lineRule="exact"/>
        <w:rPr>
          <w:rFonts w:hint="eastAsia"/>
          <w:b/>
          <w:color w:val="auto"/>
          <w:sz w:val="28"/>
          <w:szCs w:val="28"/>
          <w:highlight w:val="none"/>
        </w:rPr>
      </w:pPr>
    </w:p>
    <w:p w14:paraId="16288249">
      <w:pPr>
        <w:spacing w:line="400" w:lineRule="exact"/>
        <w:ind w:firstLine="562" w:firstLineChars="200"/>
        <w:jc w:val="center"/>
        <w:rPr>
          <w:rFonts w:hint="eastAsia"/>
          <w:b/>
          <w:color w:val="auto"/>
          <w:sz w:val="28"/>
          <w:szCs w:val="28"/>
          <w:highlight w:val="none"/>
        </w:rPr>
      </w:pPr>
      <w:r>
        <w:rPr>
          <w:rFonts w:hint="eastAsia"/>
          <w:b/>
          <w:color w:val="auto"/>
          <w:sz w:val="28"/>
          <w:szCs w:val="28"/>
          <w:highlight w:val="none"/>
        </w:rPr>
        <w:t>目    录</w:t>
      </w:r>
    </w:p>
    <w:p w14:paraId="4FC2116C">
      <w:pPr>
        <w:spacing w:line="400" w:lineRule="exact"/>
        <w:ind w:firstLine="420" w:firstLineChars="200"/>
        <w:rPr>
          <w:rFonts w:hint="eastAsia" w:ascii="宋体" w:hAnsi="宋体"/>
          <w:color w:val="auto"/>
          <w:highlight w:val="none"/>
        </w:rPr>
      </w:pPr>
    </w:p>
    <w:p w14:paraId="6185024F">
      <w:pPr>
        <w:numPr>
          <w:ilvl w:val="0"/>
          <w:numId w:val="0"/>
        </w:numPr>
        <w:spacing w:line="440" w:lineRule="exact"/>
        <w:ind w:firstLine="420" w:firstLineChars="200"/>
        <w:rPr>
          <w:rFonts w:hint="eastAsia" w:ascii="宋体" w:hAnsi="宋体" w:cs="宋体"/>
          <w:color w:val="auto"/>
          <w:szCs w:val="21"/>
          <w:highlight w:val="none"/>
        </w:rPr>
      </w:pPr>
      <w:bookmarkStart w:id="664" w:name="_Toc2630"/>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bookmarkEnd w:id="664"/>
      <w:r>
        <w:rPr>
          <w:rFonts w:hint="eastAsia" w:ascii="宋体" w:hAnsi="宋体" w:cs="宋体"/>
          <w:color w:val="auto"/>
          <w:szCs w:val="21"/>
          <w:highlight w:val="none"/>
        </w:rPr>
        <w:t>法定代表人身份证明</w:t>
      </w:r>
      <w:r>
        <w:rPr>
          <w:rFonts w:hint="eastAsia" w:ascii="宋体" w:hAnsi="宋体" w:cs="宋体"/>
          <w:color w:val="auto"/>
          <w:szCs w:val="21"/>
          <w:highlight w:val="none"/>
          <w:lang w:val="en-US" w:eastAsia="zh-CN"/>
        </w:rPr>
        <w:t>文件</w:t>
      </w:r>
      <w:r>
        <w:rPr>
          <w:rFonts w:hint="eastAsia" w:ascii="宋体" w:hAnsi="宋体" w:cs="宋体"/>
          <w:color w:val="auto"/>
          <w:szCs w:val="21"/>
          <w:highlight w:val="none"/>
        </w:rPr>
        <w:t>和本人身份证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或法定代表人授权委托书和委托代理人身份证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w:t>
      </w:r>
    </w:p>
    <w:p w14:paraId="411E2DBD">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诚信投标承诺书；</w:t>
      </w:r>
    </w:p>
    <w:p w14:paraId="141D2AD4">
      <w:pPr>
        <w:spacing w:line="440" w:lineRule="exact"/>
        <w:ind w:firstLine="420" w:firstLineChars="200"/>
        <w:outlineLvl w:val="1"/>
        <w:rPr>
          <w:rFonts w:hint="eastAsia"/>
          <w:color w:val="auto"/>
          <w:highlight w:val="none"/>
        </w:rPr>
      </w:pPr>
      <w:bookmarkStart w:id="665" w:name="_Toc3424"/>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bookmarkEnd w:id="665"/>
      <w:r>
        <w:rPr>
          <w:rFonts w:hint="eastAsia" w:ascii="宋体"/>
          <w:color w:val="auto"/>
          <w:szCs w:val="21"/>
          <w:highlight w:val="none"/>
        </w:rPr>
        <w:t>投标人有效的营业执照、税务登记证、组织机构代码证（或三合一证书）</w:t>
      </w:r>
      <w:r>
        <w:rPr>
          <w:rFonts w:hint="eastAsia"/>
          <w:color w:val="auto"/>
          <w:highlight w:val="none"/>
        </w:rPr>
        <w:t>；</w:t>
      </w:r>
    </w:p>
    <w:p w14:paraId="5B9914FE">
      <w:pPr>
        <w:spacing w:line="440" w:lineRule="exact"/>
        <w:ind w:firstLine="420" w:firstLineChars="200"/>
        <w:rPr>
          <w:rFonts w:hint="default"/>
          <w:color w:val="auto"/>
          <w:highlight w:val="none"/>
          <w:lang w:val="en-US"/>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eastAsia"/>
          <w:color w:val="auto"/>
          <w:highlight w:val="none"/>
          <w:lang w:val="en-US" w:eastAsia="zh-CN"/>
        </w:rPr>
        <w:t>投标人资质证书；</w:t>
      </w:r>
    </w:p>
    <w:p w14:paraId="0600628D">
      <w:pPr>
        <w:spacing w:line="440" w:lineRule="exact"/>
        <w:ind w:firstLine="420" w:firstLineChars="200"/>
        <w:rPr>
          <w:rFonts w:hint="eastAsia" w:ascii="宋体" w:hAnsi="宋体" w:cs="宋体"/>
          <w:color w:val="auto"/>
          <w:szCs w:val="21"/>
          <w:highlight w:val="none"/>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ascii="Times New Roman" w:hAnsi="Times New Roman" w:eastAsia="宋体" w:cs="Times New Roman"/>
          <w:color w:val="auto"/>
          <w:highlight w:val="none"/>
          <w:lang w:eastAsia="zh-CN"/>
        </w:rPr>
        <w:t>投</w:t>
      </w:r>
      <w:r>
        <w:rPr>
          <w:rFonts w:hint="eastAsia" w:ascii="宋体" w:hAnsi="宋体"/>
          <w:color w:val="auto"/>
          <w:szCs w:val="21"/>
          <w:highlight w:val="none"/>
        </w:rPr>
        <w:t>标人认为需要补充的其他材料。</w:t>
      </w:r>
    </w:p>
    <w:p w14:paraId="52B2D419">
      <w:pPr>
        <w:spacing w:line="340" w:lineRule="exact"/>
        <w:ind w:firstLine="422" w:firstLineChars="200"/>
        <w:rPr>
          <w:rFonts w:hint="eastAsia" w:ascii="宋体" w:hAnsi="宋体"/>
          <w:b/>
          <w:bCs/>
          <w:color w:val="auto"/>
          <w:szCs w:val="21"/>
          <w:highlight w:val="none"/>
        </w:rPr>
      </w:pPr>
    </w:p>
    <w:p w14:paraId="4ED4DB98">
      <w:pPr>
        <w:spacing w:line="340" w:lineRule="exact"/>
        <w:ind w:firstLine="422" w:firstLineChars="200"/>
        <w:rPr>
          <w:rFonts w:hint="eastAsia"/>
          <w:color w:val="auto"/>
          <w:sz w:val="24"/>
          <w:highlight w:val="none"/>
        </w:rPr>
      </w:pPr>
      <w:r>
        <w:rPr>
          <w:rFonts w:hint="eastAsia" w:ascii="宋体" w:hAnsi="宋体"/>
          <w:b/>
          <w:bCs/>
          <w:color w:val="auto"/>
          <w:szCs w:val="21"/>
          <w:highlight w:val="none"/>
        </w:rPr>
        <w:t>注：以上资信证明文件的原件或复印件加盖单位公章，按以上顺序装订成册。</w:t>
      </w:r>
    </w:p>
    <w:p w14:paraId="30712AC5">
      <w:pPr>
        <w:spacing w:line="400" w:lineRule="exact"/>
        <w:ind w:firstLine="420" w:firstLineChars="200"/>
        <w:rPr>
          <w:rFonts w:hint="eastAsia" w:ascii="宋体" w:hAnsi="宋体"/>
          <w:color w:val="auto"/>
          <w:szCs w:val="21"/>
          <w:highlight w:val="none"/>
        </w:rPr>
      </w:pPr>
    </w:p>
    <w:p w14:paraId="739B3C6A">
      <w:pPr>
        <w:spacing w:line="440" w:lineRule="exact"/>
        <w:rPr>
          <w:rFonts w:hint="eastAsia" w:eastAsia="黑体"/>
          <w:color w:val="auto"/>
          <w:sz w:val="20"/>
          <w:szCs w:val="20"/>
          <w:highlight w:val="none"/>
        </w:rPr>
      </w:pPr>
    </w:p>
    <w:p w14:paraId="2AE02DE5">
      <w:pPr>
        <w:spacing w:line="440" w:lineRule="exact"/>
        <w:ind w:firstLine="5300" w:firstLineChars="2650"/>
        <w:rPr>
          <w:rFonts w:hint="eastAsia" w:ascii="宋体" w:hAnsi="宋体"/>
          <w:color w:val="auto"/>
          <w:szCs w:val="21"/>
          <w:highlight w:val="none"/>
        </w:rPr>
      </w:pPr>
      <w:r>
        <w:rPr>
          <w:rFonts w:hint="eastAsia" w:eastAsia="黑体"/>
          <w:color w:val="auto"/>
          <w:sz w:val="20"/>
          <w:szCs w:val="20"/>
          <w:highlight w:val="none"/>
        </w:rPr>
        <w:br w:type="page"/>
      </w:r>
    </w:p>
    <w:p w14:paraId="49641928">
      <w:pPr>
        <w:spacing w:line="440" w:lineRule="exact"/>
        <w:ind w:firstLine="5565" w:firstLineChars="2650"/>
        <w:rPr>
          <w:color w:val="auto"/>
          <w:szCs w:val="21"/>
          <w:highlight w:val="none"/>
          <w:u w:val="single"/>
        </w:rPr>
      </w:pPr>
    </w:p>
    <w:p w14:paraId="76CC8E15">
      <w:pPr>
        <w:spacing w:line="360" w:lineRule="auto"/>
        <w:jc w:val="center"/>
        <w:outlineLvl w:val="1"/>
        <w:rPr>
          <w:rFonts w:hint="eastAsia" w:ascii="宋体"/>
          <w:b/>
          <w:color w:val="auto"/>
          <w:sz w:val="28"/>
          <w:szCs w:val="28"/>
          <w:highlight w:val="none"/>
        </w:rPr>
      </w:pPr>
      <w:bookmarkStart w:id="666" w:name="_Toc26250"/>
      <w:bookmarkStart w:id="667" w:name="_Toc488780208"/>
      <w:bookmarkStart w:id="668" w:name="_Toc15300917"/>
      <w:bookmarkStart w:id="669" w:name="_Toc56962913"/>
      <w:r>
        <w:rPr>
          <w:rFonts w:hint="eastAsia"/>
          <w:b/>
          <w:color w:val="auto"/>
          <w:sz w:val="28"/>
          <w:szCs w:val="28"/>
          <w:highlight w:val="none"/>
        </w:rPr>
        <w:t>（</w:t>
      </w:r>
      <w:r>
        <w:rPr>
          <w:rFonts w:hint="eastAsia"/>
          <w:b/>
          <w:color w:val="auto"/>
          <w:sz w:val="28"/>
          <w:szCs w:val="28"/>
          <w:highlight w:val="none"/>
          <w:lang w:val="en-US" w:eastAsia="zh-CN"/>
        </w:rPr>
        <w:t>1</w:t>
      </w:r>
      <w:r>
        <w:rPr>
          <w:rFonts w:hint="eastAsia"/>
          <w:b/>
          <w:color w:val="auto"/>
          <w:sz w:val="28"/>
          <w:szCs w:val="28"/>
          <w:highlight w:val="none"/>
        </w:rPr>
        <w:t>）法定代表人身份证明或授权委托书</w:t>
      </w:r>
      <w:bookmarkEnd w:id="666"/>
    </w:p>
    <w:p w14:paraId="0399738F">
      <w:pPr>
        <w:pStyle w:val="215"/>
        <w:spacing w:before="312" w:beforeLines="100" w:after="312" w:afterLines="100" w:line="480" w:lineRule="exact"/>
        <w:rPr>
          <w:rFonts w:hint="eastAsia" w:ascii="宋体"/>
          <w:b/>
          <w:color w:val="auto"/>
          <w:sz w:val="24"/>
          <w:szCs w:val="24"/>
          <w:highlight w:val="none"/>
        </w:rPr>
      </w:pPr>
      <w:r>
        <w:rPr>
          <w:rFonts w:hint="eastAsia" w:ascii="宋体"/>
          <w:color w:val="auto"/>
          <w:sz w:val="24"/>
          <w:szCs w:val="24"/>
          <w:highlight w:val="none"/>
        </w:rPr>
        <w:t>1、法定代表人身份证明</w:t>
      </w:r>
    </w:p>
    <w:p w14:paraId="5313FCB3">
      <w:pPr>
        <w:spacing w:line="46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 </w:t>
      </w:r>
    </w:p>
    <w:p w14:paraId="40FA6518">
      <w:pPr>
        <w:spacing w:line="46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5A02A878">
      <w:pPr>
        <w:spacing w:line="46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 </w:t>
      </w:r>
    </w:p>
    <w:p w14:paraId="48542941">
      <w:pPr>
        <w:spacing w:line="46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lang w:val="en-US" w:eastAsia="zh-CN"/>
        </w:rPr>
        <w:t xml:space="preserve">      </w:t>
      </w:r>
      <w:r>
        <w:rPr>
          <w:rFonts w:hint="eastAsia" w:ascii="宋体"/>
          <w:color w:val="auto"/>
          <w:sz w:val="24"/>
          <w:highlight w:val="none"/>
        </w:rPr>
        <w:t>日</w:t>
      </w:r>
    </w:p>
    <w:p w14:paraId="0DF1AB12">
      <w:pPr>
        <w:spacing w:line="460" w:lineRule="exact"/>
        <w:ind w:firstLine="480" w:firstLineChars="200"/>
        <w:rPr>
          <w:rFonts w:hint="eastAsia" w:ascii="宋体"/>
          <w:color w:val="auto"/>
          <w:sz w:val="24"/>
          <w:highlight w:val="none"/>
          <w:u w:val="single"/>
        </w:rPr>
      </w:pPr>
      <w:r>
        <w:rPr>
          <w:rFonts w:hint="eastAsia" w:ascii="宋体"/>
          <w:color w:val="auto"/>
          <w:sz w:val="24"/>
          <w:highlight w:val="none"/>
        </w:rPr>
        <w:t>经营期限：</w:t>
      </w:r>
      <w:r>
        <w:rPr>
          <w:rFonts w:hint="eastAsia" w:ascii="宋体"/>
          <w:color w:val="auto"/>
          <w:sz w:val="24"/>
          <w:highlight w:val="none"/>
          <w:u w:val="single"/>
        </w:rPr>
        <w:t xml:space="preserve">                                </w:t>
      </w:r>
    </w:p>
    <w:p w14:paraId="3579C558">
      <w:pPr>
        <w:spacing w:line="460" w:lineRule="exact"/>
        <w:ind w:firstLine="480" w:firstLineChars="200"/>
        <w:rPr>
          <w:rFonts w:hint="eastAsia" w:ascii="宋体"/>
          <w:color w:val="auto"/>
          <w:sz w:val="24"/>
          <w:highlight w:val="none"/>
        </w:rPr>
      </w:pPr>
      <w:r>
        <w:rPr>
          <w:rFonts w:hint="eastAsia" w:ascii="宋体"/>
          <w:color w:val="auto"/>
          <w:sz w:val="24"/>
          <w:highlight w:val="none"/>
        </w:rPr>
        <w:t>姓名：</w:t>
      </w:r>
      <w:r>
        <w:rPr>
          <w:rFonts w:hint="eastAsia" w:ascii="宋体"/>
          <w:color w:val="auto"/>
          <w:sz w:val="24"/>
          <w:highlight w:val="none"/>
          <w:u w:val="single"/>
        </w:rPr>
        <w:t xml:space="preserve">          </w:t>
      </w:r>
      <w:r>
        <w:rPr>
          <w:rFonts w:hint="eastAsia" w:ascii="宋体"/>
          <w:color w:val="auto"/>
          <w:sz w:val="24"/>
          <w:highlight w:val="none"/>
        </w:rPr>
        <w:t xml:space="preserve"> 性别：</w:t>
      </w:r>
      <w:r>
        <w:rPr>
          <w:rFonts w:hint="eastAsia" w:ascii="宋体"/>
          <w:color w:val="auto"/>
          <w:sz w:val="24"/>
          <w:highlight w:val="none"/>
          <w:u w:val="single"/>
        </w:rPr>
        <w:t xml:space="preserve">       </w:t>
      </w:r>
      <w:r>
        <w:rPr>
          <w:rFonts w:hint="eastAsia" w:ascii="宋体"/>
          <w:color w:val="auto"/>
          <w:sz w:val="24"/>
          <w:highlight w:val="none"/>
        </w:rPr>
        <w:t xml:space="preserve"> 年龄：</w:t>
      </w:r>
      <w:r>
        <w:rPr>
          <w:rFonts w:hint="eastAsia" w:ascii="宋体"/>
          <w:color w:val="auto"/>
          <w:sz w:val="24"/>
          <w:highlight w:val="none"/>
          <w:u w:val="single"/>
        </w:rPr>
        <w:t xml:space="preserve">      </w:t>
      </w:r>
      <w:r>
        <w:rPr>
          <w:rFonts w:hint="eastAsia" w:ascii="宋体"/>
          <w:color w:val="auto"/>
          <w:sz w:val="24"/>
          <w:highlight w:val="none"/>
        </w:rPr>
        <w:t xml:space="preserve"> 职务：</w:t>
      </w:r>
      <w:r>
        <w:rPr>
          <w:rFonts w:hint="eastAsia" w:ascii="宋体"/>
          <w:color w:val="auto"/>
          <w:sz w:val="24"/>
          <w:highlight w:val="none"/>
          <w:u w:val="single"/>
        </w:rPr>
        <w:t xml:space="preserve">      </w:t>
      </w:r>
      <w:r>
        <w:rPr>
          <w:rFonts w:hint="eastAsia" w:ascii="宋体"/>
          <w:color w:val="auto"/>
          <w:sz w:val="24"/>
          <w:highlight w:val="none"/>
        </w:rPr>
        <w:t xml:space="preserve"> </w:t>
      </w:r>
    </w:p>
    <w:p w14:paraId="7AE34783">
      <w:pPr>
        <w:spacing w:line="46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1A2C4040">
      <w:pPr>
        <w:spacing w:line="480" w:lineRule="exact"/>
        <w:ind w:firstLine="480" w:firstLineChars="200"/>
        <w:rPr>
          <w:rFonts w:hint="eastAsia" w:ascii="宋体"/>
          <w:color w:val="auto"/>
          <w:sz w:val="24"/>
          <w:highlight w:val="none"/>
          <w:u w:val="single"/>
          <w:lang w:val="en-US" w:eastAsia="zh-CN"/>
        </w:rPr>
      </w:pPr>
      <w:r>
        <w:rPr>
          <w:rFonts w:hint="eastAsia" w:ascii="宋体"/>
          <w:color w:val="auto"/>
          <w:sz w:val="24"/>
          <w:highlight w:val="none"/>
          <w:lang w:val="en-US" w:eastAsia="zh-CN"/>
        </w:rPr>
        <w:t>联系电话：</w:t>
      </w:r>
      <w:r>
        <w:rPr>
          <w:rFonts w:hint="eastAsia" w:ascii="宋体"/>
          <w:color w:val="auto"/>
          <w:sz w:val="24"/>
          <w:highlight w:val="none"/>
          <w:u w:val="single"/>
          <w:lang w:val="en-US" w:eastAsia="zh-CN"/>
        </w:rPr>
        <w:t xml:space="preserve">            </w:t>
      </w:r>
    </w:p>
    <w:p w14:paraId="31515C90">
      <w:pPr>
        <w:spacing w:line="480" w:lineRule="exact"/>
        <w:ind w:firstLine="480" w:firstLineChars="200"/>
        <w:rPr>
          <w:rFonts w:hint="eastAsia" w:ascii="宋体"/>
          <w:color w:val="auto"/>
          <w:sz w:val="24"/>
          <w:highlight w:val="none"/>
        </w:rPr>
      </w:pPr>
      <w:r>
        <w:rPr>
          <w:rFonts w:hint="eastAsia" w:ascii="宋体"/>
          <w:color w:val="auto"/>
          <w:sz w:val="24"/>
          <w:highlight w:val="none"/>
        </w:rPr>
        <w:t>特此证明。</w:t>
      </w:r>
    </w:p>
    <w:p w14:paraId="3B19F0C7">
      <w:pPr>
        <w:pStyle w:val="49"/>
        <w:ind w:firstLine="480"/>
        <w:rPr>
          <w:rFonts w:hint="eastAsia"/>
          <w:color w:val="auto"/>
          <w:highlight w:val="none"/>
        </w:rPr>
      </w:pPr>
      <w:r>
        <w:rPr>
          <w:rFonts w:hint="eastAsia"/>
          <w:color w:val="auto"/>
          <w:sz w:val="24"/>
          <w:highlight w:val="none"/>
        </w:rPr>
        <w:t>附：</w:t>
      </w:r>
      <w:r>
        <w:rPr>
          <w:rFonts w:hint="eastAsia"/>
          <w:b/>
          <w:color w:val="auto"/>
          <w:sz w:val="24"/>
          <w:highlight w:val="none"/>
        </w:rPr>
        <w:t>法定代表人身份证复印件</w:t>
      </w:r>
    </w:p>
    <w:p w14:paraId="05312FC9">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（盖章）</w:t>
      </w:r>
    </w:p>
    <w:p w14:paraId="73A3C887">
      <w:pPr>
        <w:spacing w:line="360" w:lineRule="auto"/>
        <w:rPr>
          <w:rFonts w:hint="eastAsia" w:ascii="宋体"/>
          <w:color w:val="auto"/>
          <w:sz w:val="24"/>
          <w:highlight w:val="none"/>
        </w:rPr>
      </w:pPr>
      <w:r>
        <w:rPr>
          <w:rFonts w:hint="eastAsia" w:ascii="宋体"/>
          <w:color w:val="auto"/>
          <w:sz w:val="24"/>
          <w:highlight w:val="none"/>
        </w:rPr>
        <w:t xml:space="preserve">                                        年    月     日</w:t>
      </w:r>
    </w:p>
    <w:p w14:paraId="46A1EC41">
      <w:pPr>
        <w:spacing w:line="360" w:lineRule="auto"/>
        <w:jc w:val="center"/>
        <w:rPr>
          <w:rFonts w:hint="eastAsia" w:ascii="宋体"/>
          <w:color w:val="auto"/>
          <w:sz w:val="28"/>
          <w:szCs w:val="28"/>
          <w:highlight w:val="none"/>
        </w:rPr>
      </w:pPr>
      <w:r>
        <w:rPr>
          <w:rFonts w:hint="eastAsia" w:ascii="宋体"/>
          <w:color w:val="auto"/>
          <w:sz w:val="28"/>
          <w:szCs w:val="28"/>
          <w:highlight w:val="none"/>
        </w:rPr>
        <w:t>2、授权委托书</w:t>
      </w:r>
    </w:p>
    <w:p w14:paraId="5A896202">
      <w:pPr>
        <w:spacing w:line="440" w:lineRule="exact"/>
        <w:rPr>
          <w:rFonts w:hint="eastAsia" w:ascii="宋体"/>
          <w:color w:val="auto"/>
          <w:sz w:val="24"/>
          <w:highlight w:val="none"/>
          <w:u w:val="singl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w:t>
      </w:r>
      <w:r>
        <w:rPr>
          <w:rFonts w:hint="eastAsia" w:ascii="宋体"/>
          <w:color w:val="auto"/>
          <w:sz w:val="24"/>
          <w:highlight w:val="none"/>
          <w:lang w:eastAsia="zh-CN"/>
        </w:rPr>
        <w:t>（</w:t>
      </w:r>
      <w:r>
        <w:rPr>
          <w:rFonts w:hint="eastAsia" w:ascii="宋体"/>
          <w:color w:val="auto"/>
          <w:sz w:val="24"/>
          <w:highlight w:val="none"/>
        </w:rPr>
        <w:t>项目名称）投标文件，全权处理与该项目投标、评审答疑、签订合同以及与合同执行有关的一切事务，其法律后果由我方承担。</w:t>
      </w:r>
      <w:r>
        <w:rPr>
          <w:rFonts w:hint="eastAsia" w:ascii="宋体"/>
          <w:color w:val="auto"/>
          <w:sz w:val="24"/>
          <w:highlight w:val="none"/>
          <w:lang w:val="en-US" w:eastAsia="zh-CN"/>
        </w:rPr>
        <w:t>联系电话：</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p>
    <w:p w14:paraId="17428AE5">
      <w:pPr>
        <w:spacing w:line="480" w:lineRule="exact"/>
        <w:ind w:firstLine="480" w:firstLineChars="200"/>
        <w:rPr>
          <w:rFonts w:hint="eastAsia" w:ascii="宋体"/>
          <w:color w:val="auto"/>
          <w:sz w:val="24"/>
          <w:highlight w:val="none"/>
        </w:rPr>
      </w:pPr>
      <w:r>
        <w:rPr>
          <w:rFonts w:hint="eastAsia" w:ascii="宋体"/>
          <w:color w:val="auto"/>
          <w:sz w:val="24"/>
          <w:highlight w:val="none"/>
        </w:rPr>
        <w:t>委托期限：</w:t>
      </w:r>
      <w:r>
        <w:rPr>
          <w:rFonts w:hint="eastAsia" w:ascii="宋体" w:cs="宋体"/>
          <w:color w:val="auto"/>
          <w:szCs w:val="21"/>
          <w:highlight w:val="none"/>
          <w:u w:val="single"/>
        </w:rPr>
        <w:t xml:space="preserve">          </w:t>
      </w:r>
      <w:r>
        <w:rPr>
          <w:rFonts w:hint="eastAsia" w:ascii="宋体" w:cs="宋体"/>
          <w:color w:val="auto"/>
          <w:szCs w:val="21"/>
          <w:highlight w:val="none"/>
        </w:rPr>
        <w:t>。</w:t>
      </w:r>
      <w:r>
        <w:rPr>
          <w:rFonts w:hint="eastAsia" w:ascii="宋体"/>
          <w:color w:val="auto"/>
          <w:sz w:val="24"/>
          <w:highlight w:val="none"/>
        </w:rPr>
        <w:t xml:space="preserve">     </w:t>
      </w:r>
    </w:p>
    <w:p w14:paraId="612AD0D6">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6A49C9B5">
      <w:pPr>
        <w:spacing w:line="440" w:lineRule="exact"/>
        <w:ind w:firstLine="480" w:firstLineChars="200"/>
        <w:rPr>
          <w:rFonts w:ascii="宋体"/>
          <w:color w:val="auto"/>
          <w:sz w:val="24"/>
          <w:highlight w:val="none"/>
        </w:rPr>
      </w:pPr>
      <w:r>
        <w:rPr>
          <w:rFonts w:hint="eastAsia" w:ascii="宋体"/>
          <w:color w:val="auto"/>
          <w:sz w:val="24"/>
          <w:highlight w:val="none"/>
        </w:rPr>
        <w:t>附：①法定代表人身份证复印件</w:t>
      </w:r>
    </w:p>
    <w:p w14:paraId="26349ED5">
      <w:pPr>
        <w:spacing w:line="440" w:lineRule="exact"/>
        <w:ind w:firstLine="960" w:firstLineChars="400"/>
        <w:rPr>
          <w:rFonts w:ascii="宋体"/>
          <w:color w:val="auto"/>
          <w:sz w:val="24"/>
          <w:highlight w:val="none"/>
        </w:rPr>
      </w:pPr>
      <w:r>
        <w:rPr>
          <w:rFonts w:hint="eastAsia" w:ascii="宋体"/>
          <w:color w:val="auto"/>
          <w:sz w:val="24"/>
          <w:highlight w:val="none"/>
        </w:rPr>
        <w:t>②委托代理人身份证复印件</w:t>
      </w:r>
    </w:p>
    <w:p w14:paraId="59FABC8F">
      <w:pPr>
        <w:spacing w:line="480" w:lineRule="exact"/>
        <w:ind w:firstLine="3000" w:firstLineChars="1250"/>
        <w:rPr>
          <w:rFonts w:hint="eastAsia" w:ascii="宋体"/>
          <w:color w:val="auto"/>
          <w:sz w:val="24"/>
          <w:highlight w:val="none"/>
        </w:rPr>
      </w:pPr>
      <w:r>
        <w:rPr>
          <w:rFonts w:hint="eastAsia" w:ascii="宋体"/>
          <w:color w:val="auto"/>
          <w:sz w:val="24"/>
          <w:highlight w:val="none"/>
        </w:rPr>
        <w:t>投标人（盖单位章）：</w:t>
      </w:r>
    </w:p>
    <w:p w14:paraId="13E7AA3E">
      <w:pPr>
        <w:spacing w:line="480" w:lineRule="exact"/>
        <w:ind w:firstLine="2280" w:firstLineChars="950"/>
        <w:rPr>
          <w:rFonts w:hint="eastAsia" w:ascii="宋体"/>
          <w:color w:val="auto"/>
          <w:sz w:val="24"/>
          <w:highlight w:val="none"/>
        </w:rPr>
      </w:pPr>
      <w:r>
        <w:rPr>
          <w:rFonts w:hint="eastAsia" w:ascii="宋体"/>
          <w:color w:val="auto"/>
          <w:sz w:val="24"/>
          <w:highlight w:val="none"/>
        </w:rPr>
        <w:t>法定代表人（身份证号码）：          （签字或盖章）</w:t>
      </w:r>
    </w:p>
    <w:p w14:paraId="02EA0E8F">
      <w:pPr>
        <w:spacing w:line="480" w:lineRule="exact"/>
        <w:ind w:firstLine="2280" w:firstLineChars="950"/>
        <w:rPr>
          <w:rFonts w:hint="eastAsia" w:ascii="宋体"/>
          <w:color w:val="auto"/>
          <w:sz w:val="24"/>
          <w:highlight w:val="none"/>
        </w:rPr>
      </w:pPr>
      <w:r>
        <w:rPr>
          <w:rFonts w:hint="eastAsia" w:ascii="宋体"/>
          <w:color w:val="auto"/>
          <w:sz w:val="24"/>
          <w:highlight w:val="none"/>
        </w:rPr>
        <w:t>委托代理人（身份证号码）：          （签字或盖章）</w:t>
      </w:r>
    </w:p>
    <w:p w14:paraId="3E496A14">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                  年    月    日</w:t>
      </w:r>
    </w:p>
    <w:p w14:paraId="1C178231">
      <w:pPr>
        <w:spacing w:line="360" w:lineRule="auto"/>
        <w:jc w:val="center"/>
        <w:rPr>
          <w:rFonts w:hint="eastAsia"/>
          <w:b/>
          <w:color w:val="auto"/>
          <w:sz w:val="28"/>
          <w:szCs w:val="28"/>
          <w:highlight w:val="none"/>
        </w:rPr>
      </w:pPr>
    </w:p>
    <w:p w14:paraId="65B48ECA">
      <w:pPr>
        <w:spacing w:line="360" w:lineRule="auto"/>
        <w:jc w:val="center"/>
        <w:outlineLvl w:val="1"/>
        <w:rPr>
          <w:b/>
          <w:color w:val="auto"/>
          <w:sz w:val="28"/>
          <w:szCs w:val="28"/>
          <w:highlight w:val="none"/>
        </w:rPr>
      </w:pPr>
      <w:bookmarkStart w:id="670" w:name="_Toc7822"/>
      <w:r>
        <w:rPr>
          <w:rFonts w:hint="eastAsia"/>
          <w:b/>
          <w:color w:val="auto"/>
          <w:sz w:val="28"/>
          <w:szCs w:val="28"/>
          <w:highlight w:val="none"/>
        </w:rPr>
        <w:t>（</w:t>
      </w:r>
      <w:r>
        <w:rPr>
          <w:rFonts w:hint="eastAsia"/>
          <w:b/>
          <w:color w:val="auto"/>
          <w:sz w:val="28"/>
          <w:szCs w:val="28"/>
          <w:highlight w:val="none"/>
          <w:lang w:val="en-US" w:eastAsia="zh-CN"/>
        </w:rPr>
        <w:t>2</w:t>
      </w:r>
      <w:r>
        <w:rPr>
          <w:rFonts w:hint="eastAsia"/>
          <w:b/>
          <w:color w:val="auto"/>
          <w:sz w:val="28"/>
          <w:szCs w:val="28"/>
          <w:highlight w:val="none"/>
        </w:rPr>
        <w:t>）诚信投标承诺书</w:t>
      </w:r>
      <w:bookmarkEnd w:id="667"/>
      <w:bookmarkEnd w:id="668"/>
      <w:bookmarkEnd w:id="670"/>
      <w:r>
        <w:rPr>
          <w:b/>
          <w:color w:val="auto"/>
          <w:sz w:val="28"/>
          <w:szCs w:val="28"/>
          <w:highlight w:val="none"/>
        </w:rPr>
        <w:t xml:space="preserve"> </w:t>
      </w:r>
      <w:bookmarkEnd w:id="669"/>
    </w:p>
    <w:p w14:paraId="3E040D12">
      <w:pPr>
        <w:spacing w:line="560" w:lineRule="exact"/>
        <w:rPr>
          <w:color w:val="auto"/>
          <w:szCs w:val="21"/>
          <w:highlight w:val="none"/>
        </w:rPr>
      </w:pPr>
      <w:r>
        <w:rPr>
          <w:rFonts w:hint="eastAsia"/>
          <w:b/>
          <w:color w:val="auto"/>
          <w:szCs w:val="21"/>
          <w:highlight w:val="none"/>
        </w:rPr>
        <w:t>本人以企业法定代表人的身份郑重承诺</w:t>
      </w:r>
      <w:r>
        <w:rPr>
          <w:rFonts w:hint="eastAsia"/>
          <w:color w:val="auto"/>
          <w:szCs w:val="21"/>
          <w:highlight w:val="none"/>
        </w:rPr>
        <w:t>：</w:t>
      </w:r>
    </w:p>
    <w:p w14:paraId="4455DDB1">
      <w:pPr>
        <w:spacing w:line="560" w:lineRule="exact"/>
        <w:ind w:firstLine="420" w:firstLineChars="200"/>
        <w:rPr>
          <w:color w:val="auto"/>
          <w:szCs w:val="21"/>
          <w:highlight w:val="none"/>
        </w:rPr>
      </w:pPr>
      <w:r>
        <w:rPr>
          <w:rFonts w:hint="eastAsia"/>
          <w:color w:val="auto"/>
          <w:szCs w:val="21"/>
          <w:highlight w:val="none"/>
        </w:rPr>
        <w:t>一、将遵循公开、公正和诚实信用的原则自愿参加</w:t>
      </w:r>
      <w:r>
        <w:rPr>
          <w:rFonts w:hint="eastAsia"/>
          <w:color w:val="auto"/>
          <w:szCs w:val="21"/>
          <w:highlight w:val="none"/>
          <w:u w:val="single"/>
        </w:rPr>
        <w:t xml:space="preserve">                   </w:t>
      </w:r>
      <w:r>
        <w:rPr>
          <w:rFonts w:hint="eastAsia"/>
          <w:color w:val="auto"/>
          <w:szCs w:val="21"/>
          <w:highlight w:val="none"/>
        </w:rPr>
        <w:t>项目的投标；</w:t>
      </w:r>
    </w:p>
    <w:p w14:paraId="635877CD">
      <w:pPr>
        <w:spacing w:line="560" w:lineRule="exact"/>
        <w:ind w:firstLine="420" w:firstLineChars="200"/>
        <w:rPr>
          <w:color w:val="auto"/>
          <w:szCs w:val="21"/>
          <w:highlight w:val="none"/>
        </w:rPr>
      </w:pPr>
      <w:r>
        <w:rPr>
          <w:rFonts w:hint="eastAsia"/>
          <w:color w:val="auto"/>
          <w:szCs w:val="21"/>
          <w:highlight w:val="none"/>
        </w:rPr>
        <w:t>二、所提供的一切材料都是真实、有效、合法的；</w:t>
      </w:r>
    </w:p>
    <w:p w14:paraId="311DC1EC">
      <w:pPr>
        <w:spacing w:line="560" w:lineRule="exact"/>
        <w:ind w:firstLine="420" w:firstLineChars="200"/>
        <w:rPr>
          <w:color w:val="auto"/>
          <w:szCs w:val="21"/>
          <w:highlight w:val="none"/>
        </w:rPr>
      </w:pPr>
      <w:r>
        <w:rPr>
          <w:rFonts w:hint="eastAsia"/>
          <w:color w:val="auto"/>
          <w:szCs w:val="21"/>
          <w:highlight w:val="none"/>
        </w:rPr>
        <w:t>三、不出借、转让资质证书，不让他人挂靠投标，不以他人名义投标或者以其他方式弄虚作假，骗取中标；</w:t>
      </w:r>
    </w:p>
    <w:p w14:paraId="195A4EAB">
      <w:pPr>
        <w:spacing w:line="560" w:lineRule="exact"/>
        <w:ind w:firstLine="420" w:firstLineChars="200"/>
        <w:rPr>
          <w:color w:val="auto"/>
          <w:szCs w:val="21"/>
          <w:highlight w:val="none"/>
        </w:rPr>
      </w:pPr>
      <w:r>
        <w:rPr>
          <w:rFonts w:hint="eastAsia"/>
          <w:color w:val="auto"/>
          <w:szCs w:val="21"/>
          <w:highlight w:val="none"/>
        </w:rPr>
        <w:t>四、不与其他投标人相互串通投标报价，不排挤其他投标人的公平竞争、损害招标人的合法权益；</w:t>
      </w:r>
    </w:p>
    <w:p w14:paraId="03177C0E">
      <w:pPr>
        <w:spacing w:line="560" w:lineRule="exact"/>
        <w:ind w:firstLine="420" w:firstLineChars="200"/>
        <w:rPr>
          <w:rFonts w:hint="eastAsia"/>
          <w:color w:val="auto"/>
          <w:szCs w:val="21"/>
          <w:highlight w:val="none"/>
        </w:rPr>
      </w:pPr>
      <w:r>
        <w:rPr>
          <w:rFonts w:hint="eastAsia"/>
          <w:color w:val="auto"/>
          <w:szCs w:val="21"/>
          <w:highlight w:val="none"/>
        </w:rPr>
        <w:t>五、不与招标人、招标代理机构或其他投标人串通投标，损害国家利益、社会公共利益或者他人的合法权益；</w:t>
      </w:r>
    </w:p>
    <w:p w14:paraId="3D094A8B">
      <w:pPr>
        <w:spacing w:line="560" w:lineRule="exact"/>
        <w:ind w:firstLine="420" w:firstLineChars="200"/>
        <w:rPr>
          <w:rFonts w:hint="eastAsia" w:eastAsia="宋体"/>
          <w:color w:val="auto"/>
          <w:szCs w:val="21"/>
          <w:highlight w:val="none"/>
          <w:lang w:val="en-US" w:eastAsia="zh-CN"/>
        </w:rPr>
      </w:pPr>
      <w:r>
        <w:rPr>
          <w:rFonts w:hint="eastAsia" w:ascii="宋体" w:hAnsi="宋体" w:cs="宋体"/>
          <w:color w:val="auto"/>
          <w:szCs w:val="21"/>
          <w:highlight w:val="none"/>
        </w:rPr>
        <w:t>六、投标企业及其法定代表人、拟任项目负责人没有下列情形： 1、被人民法院列入失信被执行人的；2、近三年</w:t>
      </w:r>
      <w:r>
        <w:rPr>
          <w:rFonts w:hint="eastAsia" w:ascii="宋体" w:hAnsi="宋体" w:cs="宋体"/>
          <w:color w:val="auto"/>
          <w:szCs w:val="21"/>
          <w:highlight w:val="none"/>
          <w:lang w:val="en-US" w:eastAsia="zh-CN"/>
        </w:rPr>
        <w:t>有</w:t>
      </w:r>
      <w:r>
        <w:rPr>
          <w:rFonts w:hint="eastAsia" w:ascii="宋体" w:hAnsi="宋体" w:cs="宋体"/>
          <w:color w:val="auto"/>
          <w:szCs w:val="21"/>
          <w:highlight w:val="none"/>
        </w:rPr>
        <w:t>行贿犯罪</w:t>
      </w:r>
      <w:r>
        <w:rPr>
          <w:rFonts w:hint="eastAsia" w:ascii="宋体" w:hAnsi="宋体" w:cs="宋体"/>
          <w:color w:val="auto"/>
          <w:szCs w:val="21"/>
          <w:highlight w:val="none"/>
          <w:lang w:val="en-US" w:eastAsia="zh-CN"/>
        </w:rPr>
        <w:t>行为</w:t>
      </w:r>
      <w:r>
        <w:rPr>
          <w:rFonts w:hint="eastAsia" w:ascii="宋体" w:hAnsi="宋体" w:cs="宋体"/>
          <w:color w:val="auto"/>
          <w:szCs w:val="21"/>
          <w:highlight w:val="none"/>
        </w:rPr>
        <w:t>的；3、被市场监督管理部门列入经营异常名录或者严重违法企业名单的；4、被税收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w:t>
      </w:r>
      <w:r>
        <w:rPr>
          <w:rFonts w:hint="eastAsia" w:ascii="宋体" w:hAnsi="宋体" w:cs="宋体"/>
          <w:color w:val="auto"/>
          <w:szCs w:val="21"/>
          <w:highlight w:val="none"/>
          <w:lang w:val="en-US" w:eastAsia="zh-CN"/>
        </w:rPr>
        <w:t>8、被人力资源社会保障行政部门列入拖欠农民工工资“黑名单”或者近三年因拖欠农民工工资被县级及以上有关行政主管部门行政处理、行政处罚的。</w:t>
      </w:r>
    </w:p>
    <w:p w14:paraId="66514933">
      <w:pPr>
        <w:spacing w:line="56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七、投标人近三年无农民工工资拖欠情况，若发生相关质疑或投诉，则在五个工作日内提供相关项目所在地的县级以上有关行政主管部门出具的投标人无农民工工资拖欠情况的信用证明，否则取消中标资格；</w:t>
      </w:r>
    </w:p>
    <w:p w14:paraId="20855752">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八、严格遵守开标现场纪律，服从监管人员管理；</w:t>
      </w:r>
    </w:p>
    <w:p w14:paraId="1D6AD413">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九、保证中标后不转包及使用挂靠施工队伍，若有分包征得建设单位同意；</w:t>
      </w:r>
    </w:p>
    <w:p w14:paraId="160F15DE">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十、保证中标之后，按照投标文件承诺派驻管理人员及投入机械设备，如有违反，同意接受建设单位违约处罚；</w:t>
      </w:r>
    </w:p>
    <w:p w14:paraId="7052C6E6">
      <w:pPr>
        <w:spacing w:line="5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十一、保证企业及所属相关人员在本次投标中无行贿等犯罪行为；</w:t>
      </w:r>
    </w:p>
    <w:p w14:paraId="1C0F0FD0">
      <w:pPr>
        <w:spacing w:line="500" w:lineRule="exact"/>
        <w:ind w:firstLine="420" w:firstLineChars="200"/>
        <w:rPr>
          <w:rFonts w:ascii="宋体" w:hAnsi="宋体" w:cs="宋体"/>
          <w:color w:val="auto"/>
          <w:szCs w:val="21"/>
          <w:highlight w:val="none"/>
        </w:rPr>
      </w:pPr>
      <w:r>
        <w:rPr>
          <w:rFonts w:hint="eastAsia" w:ascii="宋体" w:hAnsi="宋体"/>
          <w:color w:val="auto"/>
          <w:szCs w:val="21"/>
          <w:highlight w:val="none"/>
        </w:rPr>
        <w:t>十二、如我公司中标，保证中标的建造师无在建工程；或如该建造师有在建工程，保证在确定中标候选人7日内办理完成原在建（中标）工程建造师的变更手续。</w:t>
      </w:r>
    </w:p>
    <w:p w14:paraId="40B5C5F6">
      <w:pPr>
        <w:spacing w:line="560" w:lineRule="exact"/>
        <w:ind w:firstLine="420" w:firstLineChars="200"/>
        <w:rPr>
          <w:rFonts w:hint="eastAsia"/>
          <w:color w:val="auto"/>
          <w:szCs w:val="21"/>
          <w:highlight w:val="none"/>
        </w:rPr>
      </w:pPr>
      <w:r>
        <w:rPr>
          <w:rFonts w:hint="eastAsia" w:ascii="宋体" w:hAnsi="宋体" w:cs="宋体"/>
          <w:color w:val="auto"/>
          <w:szCs w:val="21"/>
          <w:highlight w:val="none"/>
        </w:rPr>
        <w:t>十</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rPr>
        <w:t>、</w:t>
      </w:r>
      <w:r>
        <w:rPr>
          <w:rFonts w:hint="eastAsia"/>
          <w:color w:val="auto"/>
          <w:szCs w:val="21"/>
          <w:highlight w:val="none"/>
        </w:rPr>
        <w:t>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422D4084">
      <w:pPr>
        <w:spacing w:line="560" w:lineRule="exact"/>
        <w:ind w:firstLine="420" w:firstLineChars="200"/>
        <w:rPr>
          <w:rFonts w:hint="eastAsia"/>
          <w:color w:val="auto"/>
          <w:szCs w:val="21"/>
          <w:highlight w:val="none"/>
        </w:rPr>
      </w:pPr>
      <w:r>
        <w:rPr>
          <w:rFonts w:hint="eastAsia"/>
          <w:color w:val="auto"/>
          <w:szCs w:val="21"/>
          <w:highlight w:val="none"/>
        </w:rPr>
        <w:t>十</w:t>
      </w:r>
      <w:r>
        <w:rPr>
          <w:rFonts w:hint="eastAsia"/>
          <w:color w:val="auto"/>
          <w:szCs w:val="21"/>
          <w:highlight w:val="none"/>
          <w:lang w:val="en-US" w:eastAsia="zh-CN"/>
        </w:rPr>
        <w:t>四</w:t>
      </w:r>
      <w:r>
        <w:rPr>
          <w:rFonts w:hint="eastAsia"/>
          <w:color w:val="auto"/>
          <w:szCs w:val="21"/>
          <w:highlight w:val="none"/>
        </w:rPr>
        <w:t>、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40670809">
      <w:pPr>
        <w:spacing w:line="560" w:lineRule="exact"/>
        <w:ind w:firstLine="420" w:firstLineChars="200"/>
        <w:rPr>
          <w:rFonts w:hint="eastAsia"/>
          <w:color w:val="auto"/>
          <w:szCs w:val="21"/>
          <w:highlight w:val="none"/>
        </w:rPr>
      </w:pPr>
      <w:r>
        <w:rPr>
          <w:rFonts w:hint="eastAsia"/>
          <w:color w:val="auto"/>
          <w:szCs w:val="21"/>
          <w:highlight w:val="none"/>
        </w:rPr>
        <w:t xml:space="preserve"> 以上内容我已仔细阅读，本公司若有违反承诺内容的行为，自愿依法接受取消投标资格、记入信用档案、取消中标资格、没收投标保证金等有关处理，愿意承担法律责任，给招标人造成损失的，依法承担赔偿责任。</w:t>
      </w:r>
    </w:p>
    <w:p w14:paraId="5739BB03">
      <w:pPr>
        <w:pStyle w:val="49"/>
        <w:rPr>
          <w:rFonts w:hint="eastAsia"/>
          <w:color w:val="auto"/>
          <w:highlight w:val="none"/>
        </w:rPr>
      </w:pPr>
    </w:p>
    <w:p w14:paraId="25AD5382">
      <w:pPr>
        <w:pStyle w:val="49"/>
        <w:rPr>
          <w:rFonts w:hint="eastAsia"/>
          <w:color w:val="auto"/>
          <w:highlight w:val="none"/>
        </w:rPr>
      </w:pPr>
    </w:p>
    <w:p w14:paraId="17415416">
      <w:pPr>
        <w:spacing w:line="560" w:lineRule="exact"/>
        <w:ind w:firstLine="420" w:firstLineChars="200"/>
        <w:rPr>
          <w:rFonts w:hint="eastAsia"/>
          <w:color w:val="auto"/>
          <w:szCs w:val="21"/>
          <w:highlight w:val="none"/>
        </w:rPr>
      </w:pPr>
      <w:r>
        <w:rPr>
          <w:rFonts w:hint="eastAsia"/>
          <w:color w:val="auto"/>
          <w:szCs w:val="21"/>
          <w:highlight w:val="none"/>
        </w:rPr>
        <w:t>开户银行：                    基本账户：</w:t>
      </w:r>
    </w:p>
    <w:p w14:paraId="374676FA">
      <w:pPr>
        <w:pStyle w:val="49"/>
        <w:rPr>
          <w:color w:val="auto"/>
          <w:highlight w:val="none"/>
        </w:rPr>
      </w:pPr>
    </w:p>
    <w:p w14:paraId="2D95E8D7">
      <w:pPr>
        <w:spacing w:line="560" w:lineRule="exact"/>
        <w:ind w:firstLine="420" w:firstLineChars="200"/>
        <w:rPr>
          <w:rFonts w:hint="eastAsia"/>
          <w:color w:val="auto"/>
          <w:szCs w:val="21"/>
          <w:highlight w:val="none"/>
        </w:rPr>
      </w:pPr>
      <w:r>
        <w:rPr>
          <w:rFonts w:hint="eastAsia"/>
          <w:color w:val="auto"/>
          <w:szCs w:val="21"/>
          <w:highlight w:val="none"/>
        </w:rPr>
        <w:t>投标人（盖章）：              法定代表人或授权委托代理人（签字或盖章）：</w:t>
      </w:r>
    </w:p>
    <w:p w14:paraId="7263BDDB">
      <w:pPr>
        <w:spacing w:line="400" w:lineRule="exact"/>
        <w:ind w:firstLine="3360" w:firstLineChars="1600"/>
        <w:rPr>
          <w:rFonts w:hint="eastAsia" w:ascii="宋体" w:hAnsi="宋体"/>
          <w:color w:val="auto"/>
          <w:szCs w:val="21"/>
          <w:highlight w:val="none"/>
        </w:rPr>
      </w:pPr>
    </w:p>
    <w:p w14:paraId="48A298FC">
      <w:pPr>
        <w:spacing w:line="400" w:lineRule="exact"/>
        <w:ind w:firstLine="3570" w:firstLineChars="1700"/>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5B0DE7EF">
      <w:pPr>
        <w:rPr>
          <w:rFonts w:hint="eastAsia"/>
          <w:color w:val="auto"/>
          <w:highlight w:val="none"/>
        </w:rPr>
      </w:pPr>
    </w:p>
    <w:p w14:paraId="020943AD">
      <w:pPr>
        <w:spacing w:line="460" w:lineRule="exact"/>
        <w:jc w:val="center"/>
        <w:rPr>
          <w:rFonts w:hint="eastAsia"/>
          <w:b/>
          <w:bCs/>
          <w:color w:val="auto"/>
          <w:sz w:val="36"/>
          <w:highlight w:val="none"/>
        </w:rPr>
      </w:pPr>
    </w:p>
    <w:p w14:paraId="72653E7F">
      <w:pPr>
        <w:pStyle w:val="49"/>
        <w:rPr>
          <w:rFonts w:hint="eastAsia"/>
          <w:color w:val="auto"/>
          <w:highlight w:val="none"/>
        </w:rPr>
      </w:pPr>
    </w:p>
    <w:p w14:paraId="2F049811">
      <w:pPr>
        <w:pStyle w:val="49"/>
        <w:rPr>
          <w:rFonts w:hint="eastAsia"/>
          <w:color w:val="auto"/>
          <w:highlight w:val="none"/>
        </w:rPr>
      </w:pPr>
    </w:p>
    <w:p w14:paraId="31E7D355">
      <w:pPr>
        <w:pStyle w:val="49"/>
        <w:rPr>
          <w:rFonts w:hint="eastAsia"/>
          <w:color w:val="auto"/>
          <w:highlight w:val="none"/>
        </w:rPr>
      </w:pPr>
    </w:p>
    <w:p w14:paraId="2669C0F6">
      <w:pPr>
        <w:pStyle w:val="49"/>
        <w:rPr>
          <w:rFonts w:hint="eastAsia"/>
          <w:color w:val="auto"/>
          <w:highlight w:val="none"/>
        </w:rPr>
      </w:pPr>
    </w:p>
    <w:p w14:paraId="4FB99AEB">
      <w:pPr>
        <w:pStyle w:val="49"/>
        <w:rPr>
          <w:rFonts w:hint="eastAsia"/>
          <w:color w:val="auto"/>
          <w:highlight w:val="none"/>
        </w:rPr>
      </w:pPr>
    </w:p>
    <w:p w14:paraId="222FD93A">
      <w:pPr>
        <w:pStyle w:val="49"/>
        <w:rPr>
          <w:rFonts w:hint="eastAsia"/>
          <w:color w:val="auto"/>
          <w:highlight w:val="none"/>
        </w:rPr>
      </w:pPr>
    </w:p>
    <w:p w14:paraId="211FB71D">
      <w:pPr>
        <w:jc w:val="center"/>
        <w:rPr>
          <w:b/>
          <w:bCs/>
          <w:color w:val="auto"/>
          <w:sz w:val="28"/>
          <w:szCs w:val="28"/>
          <w:highlight w:val="none"/>
        </w:rPr>
        <w:sectPr>
          <w:headerReference r:id="rId8" w:type="first"/>
          <w:footerReference r:id="rId11" w:type="first"/>
          <w:headerReference r:id="rId6" w:type="default"/>
          <w:footerReference r:id="rId9" w:type="default"/>
          <w:headerReference r:id="rId7" w:type="even"/>
          <w:footerReference r:id="rId10" w:type="even"/>
          <w:pgSz w:w="11907" w:h="16840"/>
          <w:pgMar w:top="1134" w:right="1418" w:bottom="1134" w:left="1418" w:header="680" w:footer="680" w:gutter="0"/>
          <w:pgNumType w:fmt="decimal"/>
          <w:cols w:space="720" w:num="1"/>
          <w:titlePg/>
          <w:docGrid w:type="lines" w:linePitch="312" w:charSpace="0"/>
        </w:sectPr>
      </w:pPr>
    </w:p>
    <w:p w14:paraId="4EBE3ECE">
      <w:pPr>
        <w:pStyle w:val="37"/>
        <w:rPr>
          <w:rFonts w:hint="eastAsia"/>
          <w:color w:val="auto"/>
          <w:highlight w:val="none"/>
        </w:rPr>
      </w:pPr>
    </w:p>
    <w:p w14:paraId="61B73053">
      <w:pPr>
        <w:jc w:val="center"/>
        <w:rPr>
          <w:rFonts w:hint="eastAsia"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（项目名称）</w:t>
      </w:r>
    </w:p>
    <w:p w14:paraId="378BE5F3">
      <w:pPr>
        <w:jc w:val="center"/>
        <w:rPr>
          <w:rFonts w:hint="eastAsia" w:eastAsia="黑体"/>
          <w:color w:val="auto"/>
          <w:sz w:val="20"/>
          <w:szCs w:val="20"/>
          <w:highlight w:val="none"/>
        </w:rPr>
      </w:pPr>
    </w:p>
    <w:p w14:paraId="696B01C0">
      <w:pPr>
        <w:rPr>
          <w:rFonts w:hint="eastAsia" w:eastAsia="黑体"/>
          <w:color w:val="auto"/>
          <w:sz w:val="20"/>
          <w:szCs w:val="20"/>
          <w:highlight w:val="none"/>
        </w:rPr>
      </w:pPr>
    </w:p>
    <w:p w14:paraId="04DAD5F5">
      <w:pPr>
        <w:jc w:val="center"/>
        <w:rPr>
          <w:rFonts w:hint="eastAsia"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二</w:t>
      </w:r>
    </w:p>
    <w:p w14:paraId="603DBAE5">
      <w:pPr>
        <w:jc w:val="center"/>
        <w:rPr>
          <w:rFonts w:hint="eastAsia" w:eastAsia="黑体"/>
          <w:color w:val="auto"/>
          <w:sz w:val="44"/>
          <w:szCs w:val="44"/>
          <w:highlight w:val="none"/>
        </w:rPr>
      </w:pPr>
      <w:r>
        <w:rPr>
          <w:rFonts w:hint="eastAsia" w:eastAsia="黑体"/>
          <w:color w:val="auto"/>
          <w:sz w:val="44"/>
          <w:szCs w:val="44"/>
          <w:highlight w:val="none"/>
        </w:rPr>
        <w:t>（商务标文件）</w:t>
      </w:r>
    </w:p>
    <w:p w14:paraId="3E5CD94D">
      <w:pPr>
        <w:rPr>
          <w:rFonts w:eastAsia="黑体"/>
          <w:color w:val="auto"/>
          <w:sz w:val="28"/>
          <w:szCs w:val="28"/>
          <w:highlight w:val="none"/>
        </w:rPr>
      </w:pPr>
    </w:p>
    <w:p w14:paraId="0AFA8F7F">
      <w:pPr>
        <w:rPr>
          <w:rFonts w:eastAsia="黑体"/>
          <w:color w:val="auto"/>
          <w:sz w:val="28"/>
          <w:szCs w:val="28"/>
          <w:highlight w:val="none"/>
        </w:rPr>
      </w:pPr>
    </w:p>
    <w:p w14:paraId="4476BEAF">
      <w:pPr>
        <w:rPr>
          <w:rFonts w:eastAsia="黑体"/>
          <w:color w:val="auto"/>
          <w:sz w:val="28"/>
          <w:szCs w:val="28"/>
          <w:highlight w:val="none"/>
        </w:rPr>
      </w:pPr>
    </w:p>
    <w:p w14:paraId="6B753D77">
      <w:pPr>
        <w:rPr>
          <w:rFonts w:eastAsia="黑体"/>
          <w:color w:val="auto"/>
          <w:sz w:val="28"/>
          <w:szCs w:val="28"/>
          <w:highlight w:val="none"/>
        </w:rPr>
      </w:pPr>
    </w:p>
    <w:p w14:paraId="5ECC22AF">
      <w:pPr>
        <w:rPr>
          <w:rFonts w:eastAsia="黑体"/>
          <w:color w:val="auto"/>
          <w:sz w:val="28"/>
          <w:szCs w:val="28"/>
          <w:highlight w:val="none"/>
        </w:rPr>
      </w:pPr>
    </w:p>
    <w:p w14:paraId="097FCCFC">
      <w:pPr>
        <w:rPr>
          <w:rFonts w:eastAsia="黑体"/>
          <w:color w:val="auto"/>
          <w:sz w:val="28"/>
          <w:szCs w:val="28"/>
          <w:highlight w:val="none"/>
        </w:rPr>
      </w:pPr>
    </w:p>
    <w:p w14:paraId="61B44C1D">
      <w:pPr>
        <w:rPr>
          <w:rFonts w:eastAsia="黑体"/>
          <w:color w:val="auto"/>
          <w:sz w:val="28"/>
          <w:szCs w:val="28"/>
          <w:highlight w:val="none"/>
        </w:rPr>
      </w:pPr>
    </w:p>
    <w:p w14:paraId="5053C811">
      <w:pPr>
        <w:rPr>
          <w:rFonts w:eastAsia="黑体"/>
          <w:color w:val="auto"/>
          <w:sz w:val="28"/>
          <w:szCs w:val="28"/>
          <w:highlight w:val="none"/>
        </w:rPr>
      </w:pPr>
    </w:p>
    <w:p w14:paraId="3ECCAEF4">
      <w:pPr>
        <w:rPr>
          <w:rFonts w:eastAsia="黑体"/>
          <w:color w:val="auto"/>
          <w:sz w:val="28"/>
          <w:szCs w:val="28"/>
          <w:highlight w:val="none"/>
        </w:rPr>
      </w:pPr>
    </w:p>
    <w:p w14:paraId="553FBDA6">
      <w:pPr>
        <w:rPr>
          <w:rFonts w:hint="eastAsia" w:eastAsia="黑体"/>
          <w:color w:val="auto"/>
          <w:sz w:val="28"/>
          <w:szCs w:val="28"/>
          <w:highlight w:val="none"/>
        </w:rPr>
      </w:pPr>
    </w:p>
    <w:p w14:paraId="36FF20E1">
      <w:pPr>
        <w:rPr>
          <w:rFonts w:eastAsia="黑体"/>
          <w:color w:val="auto"/>
          <w:sz w:val="28"/>
          <w:szCs w:val="28"/>
          <w:highlight w:val="none"/>
        </w:rPr>
      </w:pPr>
    </w:p>
    <w:p w14:paraId="2788E4D0">
      <w:pPr>
        <w:rPr>
          <w:rFonts w:eastAsia="黑体"/>
          <w:color w:val="auto"/>
          <w:sz w:val="28"/>
          <w:szCs w:val="28"/>
          <w:highlight w:val="none"/>
        </w:rPr>
      </w:pPr>
    </w:p>
    <w:p w14:paraId="1967ECED">
      <w:pPr>
        <w:jc w:val="center"/>
        <w:rPr>
          <w:rFonts w:eastAsia="黑体"/>
          <w:color w:val="auto"/>
          <w:sz w:val="28"/>
          <w:szCs w:val="28"/>
          <w:highlight w:val="none"/>
          <w:u w:val="single"/>
        </w:rPr>
      </w:pPr>
      <w:r>
        <w:rPr>
          <w:rFonts w:eastAsia="黑体"/>
          <w:color w:val="auto"/>
          <w:sz w:val="28"/>
          <w:szCs w:val="28"/>
          <w:highlight w:val="none"/>
        </w:rPr>
        <w:t>投标人：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盖章</w:t>
      </w:r>
      <w:r>
        <w:rPr>
          <w:rFonts w:eastAsia="黑体"/>
          <w:color w:val="auto"/>
          <w:sz w:val="28"/>
          <w:szCs w:val="28"/>
          <w:highlight w:val="none"/>
        </w:rPr>
        <w:t>）</w:t>
      </w:r>
    </w:p>
    <w:p w14:paraId="62792C53">
      <w:pPr>
        <w:jc w:val="center"/>
        <w:rPr>
          <w:rFonts w:eastAsia="黑体"/>
          <w:color w:val="auto"/>
          <w:sz w:val="28"/>
          <w:szCs w:val="28"/>
          <w:highlight w:val="none"/>
        </w:rPr>
      </w:pPr>
      <w:r>
        <w:rPr>
          <w:rFonts w:eastAsia="黑体"/>
          <w:color w:val="auto"/>
          <w:sz w:val="28"/>
          <w:szCs w:val="28"/>
          <w:highlight w:val="none"/>
        </w:rPr>
        <w:t>法定代表人：</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签字或盖章</w:t>
      </w:r>
      <w:r>
        <w:rPr>
          <w:rFonts w:eastAsia="黑体"/>
          <w:color w:val="auto"/>
          <w:sz w:val="28"/>
          <w:szCs w:val="28"/>
          <w:highlight w:val="none"/>
        </w:rPr>
        <w:t>）</w:t>
      </w:r>
    </w:p>
    <w:p w14:paraId="5242ECC0">
      <w:pPr>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1817E1E7">
      <w:pPr>
        <w:spacing w:line="440" w:lineRule="exact"/>
        <w:rPr>
          <w:rFonts w:hint="eastAsia" w:eastAsia="黑体"/>
          <w:color w:val="auto"/>
          <w:sz w:val="20"/>
          <w:szCs w:val="20"/>
          <w:highlight w:val="none"/>
        </w:rPr>
      </w:pPr>
    </w:p>
    <w:p w14:paraId="1623F7C2">
      <w:pPr>
        <w:spacing w:line="440" w:lineRule="exact"/>
        <w:rPr>
          <w:rFonts w:hint="eastAsia"/>
          <w:b/>
          <w:bCs/>
          <w:color w:val="auto"/>
          <w:sz w:val="32"/>
          <w:szCs w:val="32"/>
          <w:highlight w:val="none"/>
        </w:rPr>
      </w:pPr>
      <w:bookmarkStart w:id="671" w:name="_Toc152042602"/>
      <w:bookmarkStart w:id="672" w:name="_Toc246996374"/>
      <w:bookmarkStart w:id="673" w:name="_Toc247085892"/>
      <w:bookmarkStart w:id="674" w:name="_Toc246997117"/>
      <w:bookmarkStart w:id="675" w:name="_Toc144974881"/>
      <w:bookmarkStart w:id="676" w:name="_Toc152045813"/>
      <w:bookmarkStart w:id="677" w:name="_Toc296602622"/>
      <w:bookmarkStart w:id="678" w:name="_Toc179632833"/>
    </w:p>
    <w:p w14:paraId="1BD8851F">
      <w:pPr>
        <w:spacing w:line="440" w:lineRule="exact"/>
        <w:rPr>
          <w:rFonts w:hint="eastAsia"/>
          <w:b/>
          <w:bCs/>
          <w:color w:val="auto"/>
          <w:sz w:val="32"/>
          <w:szCs w:val="32"/>
          <w:highlight w:val="none"/>
        </w:rPr>
      </w:pPr>
    </w:p>
    <w:p w14:paraId="4C7A71A1">
      <w:pPr>
        <w:pStyle w:val="49"/>
        <w:rPr>
          <w:rFonts w:hint="eastAsia"/>
          <w:color w:val="auto"/>
          <w:highlight w:val="none"/>
        </w:rPr>
      </w:pPr>
    </w:p>
    <w:p w14:paraId="6DE3FDA7">
      <w:pPr>
        <w:spacing w:line="440" w:lineRule="exact"/>
        <w:ind w:firstLine="562" w:firstLineChars="200"/>
        <w:rPr>
          <w:rFonts w:hint="eastAsia" w:ascii="宋体" w:hAnsi="宋体"/>
          <w:b/>
          <w:color w:val="auto"/>
          <w:sz w:val="28"/>
          <w:szCs w:val="28"/>
          <w:highlight w:val="none"/>
        </w:rPr>
      </w:pPr>
      <w:r>
        <w:rPr>
          <w:rFonts w:hint="eastAsia" w:ascii="宋体" w:hAnsi="宋体"/>
          <w:b/>
          <w:color w:val="auto"/>
          <w:sz w:val="28"/>
          <w:szCs w:val="28"/>
          <w:highlight w:val="none"/>
        </w:rPr>
        <w:t>商务标目录</w:t>
      </w:r>
    </w:p>
    <w:p w14:paraId="01B97555">
      <w:pPr>
        <w:spacing w:line="440" w:lineRule="exact"/>
        <w:ind w:firstLine="420" w:firstLineChars="200"/>
        <w:rPr>
          <w:rFonts w:hint="eastAsia" w:eastAsia="宋体"/>
          <w:color w:val="auto"/>
          <w:highlight w:val="none"/>
          <w:lang w:val="en-US" w:eastAsia="zh-CN"/>
        </w:rPr>
      </w:pPr>
      <w:r>
        <w:rPr>
          <w:rFonts w:hint="eastAsia"/>
          <w:color w:val="auto"/>
          <w:highlight w:val="none"/>
        </w:rPr>
        <w:t>（</w:t>
      </w:r>
      <w:r>
        <w:rPr>
          <w:rFonts w:hint="eastAsia"/>
          <w:color w:val="auto"/>
          <w:highlight w:val="none"/>
          <w:lang w:val="en-US" w:eastAsia="zh-CN"/>
        </w:rPr>
        <w:t>1</w:t>
      </w:r>
      <w:r>
        <w:rPr>
          <w:rFonts w:hint="eastAsia"/>
          <w:color w:val="auto"/>
          <w:highlight w:val="none"/>
        </w:rPr>
        <w:t xml:space="preserve">）投标函（格式见附件）；  </w:t>
      </w:r>
    </w:p>
    <w:p w14:paraId="10B6DD19">
      <w:pPr>
        <w:spacing w:line="440" w:lineRule="exact"/>
        <w:ind w:firstLine="420" w:firstLineChars="200"/>
        <w:rPr>
          <w:rFonts w:hint="eastAsia"/>
          <w:color w:val="auto"/>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分项报价清单</w:t>
      </w:r>
      <w:r>
        <w:rPr>
          <w:rFonts w:hint="eastAsia" w:ascii="宋体" w:hAnsi="宋体" w:cs="宋体"/>
          <w:color w:val="auto"/>
          <w:szCs w:val="21"/>
          <w:highlight w:val="none"/>
        </w:rPr>
        <w:t>；</w:t>
      </w:r>
    </w:p>
    <w:p w14:paraId="1918636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eastAsia="宋体"/>
          <w:color w:val="auto"/>
          <w:highlight w:val="none"/>
          <w:lang w:val="en-US" w:eastAsia="zh-CN"/>
        </w:rPr>
        <w:t>投标人认为</w:t>
      </w:r>
      <w:r>
        <w:rPr>
          <w:rFonts w:hint="eastAsia"/>
          <w:color w:val="auto"/>
          <w:highlight w:val="none"/>
        </w:rPr>
        <w:t>所需</w:t>
      </w:r>
      <w:r>
        <w:rPr>
          <w:rFonts w:hint="eastAsia"/>
          <w:color w:val="auto"/>
          <w:highlight w:val="none"/>
          <w:lang w:val="en-US" w:eastAsia="zh-CN"/>
        </w:rPr>
        <w:t>的</w:t>
      </w:r>
      <w:r>
        <w:rPr>
          <w:rFonts w:hint="eastAsia"/>
          <w:color w:val="auto"/>
          <w:highlight w:val="none"/>
        </w:rPr>
        <w:t>其他材料。</w:t>
      </w:r>
    </w:p>
    <w:p w14:paraId="79C943A2">
      <w:pPr>
        <w:spacing w:line="440" w:lineRule="exact"/>
        <w:ind w:firstLine="420" w:firstLineChars="200"/>
        <w:jc w:val="center"/>
        <w:rPr>
          <w:rFonts w:hint="eastAsia"/>
          <w:color w:val="auto"/>
          <w:highlight w:val="none"/>
        </w:rPr>
      </w:pPr>
    </w:p>
    <w:p w14:paraId="542FA92B">
      <w:pPr>
        <w:spacing w:line="440" w:lineRule="exact"/>
        <w:ind w:firstLine="420" w:firstLineChars="200"/>
        <w:jc w:val="center"/>
        <w:rPr>
          <w:rFonts w:hint="eastAsia"/>
          <w:color w:val="auto"/>
          <w:highlight w:val="none"/>
        </w:rPr>
      </w:pPr>
    </w:p>
    <w:p w14:paraId="27CECC7E">
      <w:pPr>
        <w:spacing w:line="440" w:lineRule="exact"/>
        <w:ind w:firstLine="420" w:firstLineChars="200"/>
        <w:jc w:val="center"/>
        <w:rPr>
          <w:rFonts w:hint="eastAsia" w:ascii="宋体"/>
          <w:color w:val="auto"/>
          <w:sz w:val="24"/>
          <w:highlight w:val="none"/>
        </w:rPr>
      </w:pPr>
      <w:r>
        <w:rPr>
          <w:rFonts w:hint="eastAsia"/>
          <w:color w:val="auto"/>
          <w:highlight w:val="none"/>
        </w:rPr>
        <w:br w:type="page"/>
      </w:r>
    </w:p>
    <w:p w14:paraId="19069AE0">
      <w:pPr>
        <w:spacing w:line="440" w:lineRule="exact"/>
        <w:jc w:val="both"/>
        <w:rPr>
          <w:rFonts w:hint="eastAsia" w:ascii="宋体"/>
          <w:color w:val="auto"/>
          <w:sz w:val="24"/>
          <w:highlight w:val="none"/>
        </w:rPr>
      </w:pPr>
    </w:p>
    <w:p w14:paraId="7E9065DD">
      <w:pPr>
        <w:spacing w:line="440" w:lineRule="exact"/>
        <w:ind w:firstLine="643" w:firstLineChars="200"/>
        <w:jc w:val="center"/>
        <w:outlineLvl w:val="1"/>
        <w:rPr>
          <w:rFonts w:hint="eastAsia" w:ascii="Times New Roman" w:hAnsi="Times New Roman" w:eastAsia="宋体" w:cs="Times New Roman"/>
          <w:b/>
          <w:color w:val="auto"/>
          <w:sz w:val="32"/>
          <w:szCs w:val="32"/>
          <w:highlight w:val="none"/>
        </w:rPr>
      </w:pPr>
      <w:bookmarkStart w:id="679" w:name="_Toc9574"/>
      <w:r>
        <w:rPr>
          <w:rFonts w:hint="eastAsia" w:ascii="Times New Roman" w:hAnsi="Times New Roman" w:eastAsia="宋体" w:cs="Times New Roman"/>
          <w:b/>
          <w:color w:val="auto"/>
          <w:sz w:val="32"/>
          <w:szCs w:val="32"/>
          <w:highlight w:val="none"/>
          <w:lang w:eastAsia="zh-CN"/>
        </w:rPr>
        <w:t>（</w:t>
      </w:r>
      <w:r>
        <w:rPr>
          <w:rFonts w:hint="eastAsia" w:cs="Times New Roman"/>
          <w:b/>
          <w:color w:val="auto"/>
          <w:sz w:val="32"/>
          <w:szCs w:val="32"/>
          <w:highlight w:val="none"/>
          <w:lang w:val="en-US" w:eastAsia="zh-CN"/>
        </w:rPr>
        <w:t>1</w:t>
      </w:r>
      <w:r>
        <w:rPr>
          <w:rFonts w:hint="eastAsia" w:ascii="Times New Roman" w:hAnsi="Times New Roman" w:eastAsia="宋体" w:cs="Times New Roman"/>
          <w:b/>
          <w:color w:val="auto"/>
          <w:sz w:val="32"/>
          <w:szCs w:val="32"/>
          <w:highlight w:val="none"/>
          <w:lang w:eastAsia="zh-CN"/>
        </w:rPr>
        <w:t>）</w:t>
      </w:r>
      <w:r>
        <w:rPr>
          <w:rFonts w:hint="eastAsia" w:ascii="Times New Roman" w:hAnsi="Times New Roman" w:eastAsia="宋体" w:cs="Times New Roman"/>
          <w:b/>
          <w:color w:val="auto"/>
          <w:sz w:val="32"/>
          <w:szCs w:val="32"/>
          <w:highlight w:val="none"/>
        </w:rPr>
        <w:t>投 标 函</w:t>
      </w:r>
      <w:bookmarkEnd w:id="679"/>
    </w:p>
    <w:p w14:paraId="21736ECE">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14:paraId="1284184E">
      <w:p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1、根据你方招标的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招标文件，遵照《中华人民共和国招标投标法》等有关规定，经踏勘项目现场和研究上述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 xml:space="preserve">开票类型：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开票税率：  %，</w:t>
      </w:r>
      <w:r>
        <w:rPr>
          <w:rFonts w:hint="eastAsia" w:ascii="宋体" w:hAnsi="宋体"/>
          <w:color w:val="auto"/>
          <w:sz w:val="21"/>
          <w:szCs w:val="21"/>
          <w:highlight w:val="none"/>
        </w:rPr>
        <w:t>的</w:t>
      </w:r>
      <w:r>
        <w:rPr>
          <w:rFonts w:hint="eastAsia" w:ascii="宋体" w:hAnsi="宋体"/>
          <w:color w:val="auto"/>
          <w:sz w:val="21"/>
          <w:szCs w:val="21"/>
          <w:highlight w:val="none"/>
          <w:lang w:val="en-US" w:eastAsia="zh-CN"/>
        </w:rPr>
        <w:t>总投标</w:t>
      </w:r>
      <w:r>
        <w:rPr>
          <w:rFonts w:hint="eastAsia" w:ascii="宋体" w:hAnsi="宋体"/>
          <w:color w:val="auto"/>
          <w:sz w:val="21"/>
          <w:szCs w:val="21"/>
          <w:highlight w:val="none"/>
        </w:rPr>
        <w:t>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lang w:eastAsia="zh-CN"/>
        </w:rPr>
        <w:t>。</w:t>
      </w:r>
      <w:r>
        <w:rPr>
          <w:rFonts w:hint="eastAsia" w:ascii="宋体" w:hAnsi="宋体" w:cs="Times New Roman"/>
          <w:color w:val="auto"/>
          <w:sz w:val="21"/>
          <w:szCs w:val="21"/>
          <w:highlight w:val="none"/>
          <w:lang w:eastAsia="zh-CN"/>
        </w:rPr>
        <w:t>（</w:t>
      </w:r>
      <w:r>
        <w:rPr>
          <w:rFonts w:hint="eastAsia" w:ascii="宋体" w:hAnsi="宋体" w:cs="Times New Roman"/>
          <w:color w:val="auto"/>
          <w:sz w:val="21"/>
          <w:szCs w:val="21"/>
          <w:highlight w:val="none"/>
          <w:lang w:val="en-US" w:eastAsia="zh-CN"/>
        </w:rPr>
        <w:t>投标人需注明开票类型和开票税率，开票类型为增值税专用发票或增值税普通发票</w:t>
      </w:r>
      <w:r>
        <w:rPr>
          <w:rFonts w:hint="eastAsia" w:ascii="宋体" w:hAnsi="宋体" w:cs="Times New Roman"/>
          <w:color w:val="auto"/>
          <w:sz w:val="21"/>
          <w:szCs w:val="21"/>
          <w:highlight w:val="none"/>
          <w:lang w:eastAsia="zh-CN"/>
        </w:rPr>
        <w:t>）</w:t>
      </w:r>
    </w:p>
    <w:p w14:paraId="2F87466F">
      <w:pPr>
        <w:numPr>
          <w:ilvl w:val="0"/>
          <w:numId w:val="3"/>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14:paraId="71B12FCF">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3、一旦我方中标，我方将派出</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为本</w:t>
      </w:r>
      <w:r>
        <w:rPr>
          <w:rFonts w:hint="eastAsia" w:ascii="宋体" w:hAnsi="宋体"/>
          <w:color w:val="auto"/>
          <w:sz w:val="21"/>
          <w:szCs w:val="21"/>
          <w:highlight w:val="none"/>
          <w:lang w:val="en-US" w:eastAsia="zh-CN"/>
        </w:rPr>
        <w:t>项目</w:t>
      </w:r>
      <w:r>
        <w:rPr>
          <w:rFonts w:hint="eastAsia" w:ascii="宋体" w:hAnsi="宋体"/>
          <w:color w:val="auto"/>
          <w:sz w:val="21"/>
          <w:szCs w:val="21"/>
          <w:highlight w:val="none"/>
        </w:rPr>
        <w:t>负责人</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供货期为：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个日历天内供货</w:t>
      </w:r>
      <w:r>
        <w:rPr>
          <w:rFonts w:hint="eastAsia" w:ascii="宋体" w:hAnsi="宋体" w:cs="宋体"/>
          <w:color w:val="auto"/>
          <w:szCs w:val="21"/>
          <w:highlight w:val="none"/>
        </w:rPr>
        <w:t>、安装完成。</w:t>
      </w:r>
    </w:p>
    <w:p w14:paraId="29957D28">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14:paraId="1A9110FD">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14:paraId="6F1BF99D">
      <w:pPr>
        <w:spacing w:line="500" w:lineRule="exact"/>
        <w:ind w:firstLine="420" w:firstLineChars="200"/>
        <w:rPr>
          <w:rFonts w:hint="eastAsia"/>
          <w:color w:val="auto"/>
          <w:szCs w:val="21"/>
          <w:highlight w:val="none"/>
        </w:rPr>
      </w:pPr>
    </w:p>
    <w:p w14:paraId="6157FFDF">
      <w:pPr>
        <w:spacing w:line="400" w:lineRule="exact"/>
        <w:ind w:firstLine="2310" w:firstLineChars="1100"/>
        <w:rPr>
          <w:color w:val="auto"/>
          <w:szCs w:val="21"/>
          <w:highlight w:val="none"/>
          <w:u w:val="single"/>
        </w:rPr>
      </w:pPr>
      <w:r>
        <w:rPr>
          <w:rFonts w:hint="eastAsia"/>
          <w:color w:val="auto"/>
          <w:szCs w:val="21"/>
          <w:highlight w:val="none"/>
        </w:rPr>
        <w:t>投标人：</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14:paraId="36A140D4">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14:paraId="37E5BC6A">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14:paraId="612E699D">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14:paraId="29686D8C">
      <w:pPr>
        <w:spacing w:line="400" w:lineRule="exact"/>
        <w:ind w:firstLine="2310" w:firstLineChars="1100"/>
        <w:rPr>
          <w:rFonts w:hint="eastAsia"/>
          <w:color w:val="auto"/>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14:paraId="3CED581B">
      <w:pPr>
        <w:ind w:right="-178" w:rightChars="-85"/>
        <w:jc w:val="center"/>
        <w:rPr>
          <w:rFonts w:hint="eastAsia"/>
          <w:b/>
          <w:color w:val="auto"/>
          <w:sz w:val="32"/>
          <w:szCs w:val="32"/>
          <w:highlight w:val="none"/>
        </w:rPr>
      </w:pPr>
    </w:p>
    <w:p w14:paraId="2D2937E1">
      <w:pPr>
        <w:ind w:right="-178" w:rightChars="-85"/>
        <w:jc w:val="center"/>
        <w:rPr>
          <w:rFonts w:hint="eastAsia"/>
          <w:b/>
          <w:color w:val="auto"/>
          <w:sz w:val="32"/>
          <w:szCs w:val="32"/>
          <w:highlight w:val="none"/>
        </w:rPr>
      </w:pPr>
    </w:p>
    <w:p w14:paraId="517A05BF">
      <w:pPr>
        <w:ind w:right="-178" w:rightChars="-85"/>
        <w:jc w:val="center"/>
        <w:rPr>
          <w:rFonts w:hint="eastAsia"/>
          <w:b/>
          <w:color w:val="auto"/>
          <w:sz w:val="32"/>
          <w:szCs w:val="32"/>
          <w:highlight w:val="none"/>
        </w:rPr>
        <w:sectPr>
          <w:footerReference r:id="rId14" w:type="first"/>
          <w:headerReference r:id="rId12" w:type="default"/>
          <w:footerReference r:id="rId13" w:type="default"/>
          <w:pgSz w:w="11906" w:h="16838"/>
          <w:pgMar w:top="1134" w:right="1361" w:bottom="1077" w:left="1361" w:header="680" w:footer="680" w:gutter="0"/>
          <w:pgNumType w:fmt="decimal"/>
          <w:cols w:space="720" w:num="1"/>
          <w:docGrid w:type="lines" w:linePitch="312" w:charSpace="0"/>
        </w:sectPr>
      </w:pPr>
    </w:p>
    <w:p w14:paraId="025C2B3C">
      <w:pPr>
        <w:keepNext w:val="0"/>
        <w:keepLines w:val="0"/>
        <w:pageBreakBefore w:val="0"/>
        <w:numPr>
          <w:ilvl w:val="0"/>
          <w:numId w:val="0"/>
        </w:numPr>
        <w:kinsoku/>
        <w:wordWrap/>
        <w:overflowPunct/>
        <w:topLinePunct w:val="0"/>
        <w:autoSpaceDE/>
        <w:autoSpaceDN/>
        <w:bidi w:val="0"/>
        <w:adjustRightInd/>
        <w:snapToGrid/>
        <w:spacing w:line="0" w:lineRule="atLeast"/>
        <w:ind w:right="-178" w:rightChars="-85"/>
        <w:jc w:val="center"/>
        <w:outlineLvl w:val="1"/>
        <w:rPr>
          <w:rFonts w:hint="eastAsia"/>
          <w:b/>
          <w:color w:val="auto"/>
          <w:sz w:val="32"/>
          <w:szCs w:val="32"/>
          <w:highlight w:val="none"/>
          <w:lang w:val="en-US" w:eastAsia="zh-CN"/>
        </w:rPr>
      </w:pPr>
      <w:bookmarkStart w:id="680" w:name="_Toc30349"/>
      <w:r>
        <w:rPr>
          <w:rFonts w:hint="eastAsia"/>
          <w:b/>
          <w:color w:val="auto"/>
          <w:sz w:val="32"/>
          <w:szCs w:val="32"/>
          <w:highlight w:val="none"/>
          <w:lang w:val="en-US" w:eastAsia="zh-CN"/>
        </w:rPr>
        <w:t>（2）分项报价清单</w:t>
      </w:r>
      <w:bookmarkEnd w:id="680"/>
    </w:p>
    <w:p w14:paraId="76B7AD8D">
      <w:pPr>
        <w:spacing w:line="560" w:lineRule="exact"/>
        <w:ind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致：滁州工投新能源开发有限公司</w:t>
      </w:r>
    </w:p>
    <w:p w14:paraId="2D37A21E">
      <w:pPr>
        <w:spacing w:line="560" w:lineRule="exact"/>
        <w:ind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根据贵方招标文件，我方已仔细研读贵司招标文件所有内容，我司完全符合并同意招标文件所有要求。</w:t>
      </w:r>
    </w:p>
    <w:tbl>
      <w:tblPr>
        <w:tblStyle w:val="51"/>
        <w:tblW w:w="9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337"/>
        <w:gridCol w:w="3404"/>
        <w:gridCol w:w="547"/>
        <w:gridCol w:w="547"/>
        <w:gridCol w:w="1815"/>
        <w:gridCol w:w="1596"/>
      </w:tblGrid>
      <w:tr w14:paraId="2CD4F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0" w:type="dxa"/>
            <w:noWrap w:val="0"/>
            <w:vAlign w:val="center"/>
          </w:tcPr>
          <w:p w14:paraId="1521688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序号</w:t>
            </w:r>
          </w:p>
        </w:tc>
        <w:tc>
          <w:tcPr>
            <w:tcW w:w="1337" w:type="dxa"/>
            <w:noWrap w:val="0"/>
            <w:vAlign w:val="center"/>
          </w:tcPr>
          <w:p w14:paraId="226DA0D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项目名称</w:t>
            </w:r>
          </w:p>
        </w:tc>
        <w:tc>
          <w:tcPr>
            <w:tcW w:w="3404" w:type="dxa"/>
            <w:noWrap w:val="0"/>
            <w:vAlign w:val="center"/>
          </w:tcPr>
          <w:p w14:paraId="3CA25CDF">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项目内容</w:t>
            </w:r>
          </w:p>
        </w:tc>
        <w:tc>
          <w:tcPr>
            <w:tcW w:w="0" w:type="auto"/>
            <w:noWrap w:val="0"/>
            <w:vAlign w:val="center"/>
          </w:tcPr>
          <w:p w14:paraId="06FE527B">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单位</w:t>
            </w:r>
          </w:p>
        </w:tc>
        <w:tc>
          <w:tcPr>
            <w:tcW w:w="0" w:type="auto"/>
            <w:noWrap w:val="0"/>
            <w:vAlign w:val="center"/>
          </w:tcPr>
          <w:p w14:paraId="216D6FEB">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数量</w:t>
            </w:r>
          </w:p>
        </w:tc>
        <w:tc>
          <w:tcPr>
            <w:tcW w:w="1815" w:type="dxa"/>
            <w:noWrap w:val="0"/>
            <w:vAlign w:val="center"/>
          </w:tcPr>
          <w:p w14:paraId="5392F91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综合单价（含税，元）</w:t>
            </w:r>
          </w:p>
        </w:tc>
        <w:tc>
          <w:tcPr>
            <w:tcW w:w="1596" w:type="dxa"/>
            <w:noWrap w:val="0"/>
            <w:vAlign w:val="center"/>
          </w:tcPr>
          <w:p w14:paraId="47505C48">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综合合计（含税，元）</w:t>
            </w:r>
          </w:p>
        </w:tc>
      </w:tr>
      <w:tr w14:paraId="50550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7B4AF54F">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w:t>
            </w:r>
          </w:p>
        </w:tc>
        <w:tc>
          <w:tcPr>
            <w:tcW w:w="1337" w:type="dxa"/>
            <w:noWrap w:val="0"/>
            <w:vAlign w:val="center"/>
          </w:tcPr>
          <w:p w14:paraId="0210A2B5">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电力电缆敷设</w:t>
            </w:r>
          </w:p>
        </w:tc>
        <w:tc>
          <w:tcPr>
            <w:tcW w:w="3404" w:type="dxa"/>
            <w:noWrap w:val="0"/>
            <w:vAlign w:val="center"/>
          </w:tcPr>
          <w:p w14:paraId="6497B755">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1、名称：低压电力电缆（利旧，含拆除及敷设）</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2、型号：YJV22-0.6/1kV-4*95+1*50mm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0" w:type="auto"/>
            <w:noWrap w:val="0"/>
            <w:vAlign w:val="center"/>
          </w:tcPr>
          <w:p w14:paraId="0ABEE99D">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m</w:t>
            </w:r>
          </w:p>
        </w:tc>
        <w:tc>
          <w:tcPr>
            <w:tcW w:w="0" w:type="auto"/>
            <w:noWrap w:val="0"/>
            <w:vAlign w:val="center"/>
          </w:tcPr>
          <w:p w14:paraId="482EA3F6">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80</w:t>
            </w:r>
          </w:p>
        </w:tc>
        <w:tc>
          <w:tcPr>
            <w:tcW w:w="1815" w:type="dxa"/>
            <w:noWrap w:val="0"/>
            <w:vAlign w:val="center"/>
          </w:tcPr>
          <w:p w14:paraId="28B22CCD">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p>
        </w:tc>
        <w:tc>
          <w:tcPr>
            <w:tcW w:w="1596" w:type="dxa"/>
            <w:noWrap w:val="0"/>
            <w:vAlign w:val="center"/>
          </w:tcPr>
          <w:p w14:paraId="64E819F5">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p>
        </w:tc>
      </w:tr>
      <w:tr w14:paraId="4AF90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6BA408C0">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w:t>
            </w:r>
          </w:p>
        </w:tc>
        <w:tc>
          <w:tcPr>
            <w:tcW w:w="1337" w:type="dxa"/>
            <w:noWrap w:val="0"/>
            <w:vAlign w:val="center"/>
          </w:tcPr>
          <w:p w14:paraId="5150DE46">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电力电缆中间头制作</w:t>
            </w:r>
          </w:p>
        </w:tc>
        <w:tc>
          <w:tcPr>
            <w:tcW w:w="3404" w:type="dxa"/>
            <w:noWrap w:val="0"/>
            <w:vAlign w:val="center"/>
          </w:tcPr>
          <w:p w14:paraId="0F011362">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1、名称：电缆中间接头</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2、型号：五芯 95mm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0" w:type="auto"/>
            <w:noWrap w:val="0"/>
            <w:vAlign w:val="center"/>
          </w:tcPr>
          <w:p w14:paraId="65FA2CF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套</w:t>
            </w:r>
          </w:p>
        </w:tc>
        <w:tc>
          <w:tcPr>
            <w:tcW w:w="0" w:type="auto"/>
            <w:noWrap w:val="0"/>
            <w:vAlign w:val="center"/>
          </w:tcPr>
          <w:p w14:paraId="0E2D14D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4FC0D8F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p>
        </w:tc>
        <w:tc>
          <w:tcPr>
            <w:tcW w:w="1596" w:type="dxa"/>
            <w:noWrap w:val="0"/>
            <w:vAlign w:val="center"/>
          </w:tcPr>
          <w:p w14:paraId="2E606273">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p>
        </w:tc>
      </w:tr>
      <w:tr w14:paraId="7078A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7D275596">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w:t>
            </w:r>
          </w:p>
        </w:tc>
        <w:tc>
          <w:tcPr>
            <w:tcW w:w="1337" w:type="dxa"/>
            <w:noWrap w:val="0"/>
            <w:vAlign w:val="center"/>
          </w:tcPr>
          <w:p w14:paraId="3F8C66A9">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电力电缆接线端子</w:t>
            </w:r>
          </w:p>
        </w:tc>
        <w:tc>
          <w:tcPr>
            <w:tcW w:w="3404" w:type="dxa"/>
            <w:noWrap w:val="0"/>
            <w:vAlign w:val="center"/>
          </w:tcPr>
          <w:p w14:paraId="516F67B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型号：4*95+1*50</w:t>
            </w:r>
          </w:p>
        </w:tc>
        <w:tc>
          <w:tcPr>
            <w:tcW w:w="547" w:type="dxa"/>
            <w:noWrap w:val="0"/>
            <w:vAlign w:val="center"/>
          </w:tcPr>
          <w:p w14:paraId="1C50748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547" w:type="dxa"/>
            <w:noWrap w:val="0"/>
            <w:vAlign w:val="center"/>
          </w:tcPr>
          <w:p w14:paraId="05A9AAA9">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w:t>
            </w:r>
          </w:p>
        </w:tc>
        <w:tc>
          <w:tcPr>
            <w:tcW w:w="1815" w:type="dxa"/>
            <w:noWrap w:val="0"/>
            <w:vAlign w:val="center"/>
          </w:tcPr>
          <w:p w14:paraId="17CF9EB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0262CF2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54B0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noWrap w:val="0"/>
            <w:vAlign w:val="center"/>
          </w:tcPr>
          <w:p w14:paraId="3D97960B">
            <w:pPr>
              <w:keepNext w:val="0"/>
              <w:keepLines w:val="0"/>
              <w:widowControl/>
              <w:suppressLineNumbers w:val="0"/>
              <w:jc w:val="center"/>
              <w:textAlignment w:val="center"/>
              <w:rPr>
                <w:rFonts w:hint="default" w:ascii="仿宋" w:hAnsi="仿宋" w:eastAsia="仿宋" w:cs="仿宋"/>
                <w:sz w:val="21"/>
                <w:szCs w:val="21"/>
                <w:highlight w:val="none"/>
                <w:u w:val="single"/>
                <w:lang w:val="en-US" w:eastAsia="zh-CN"/>
              </w:rPr>
            </w:pPr>
            <w:r>
              <w:rPr>
                <w:rFonts w:hint="eastAsia" w:ascii="仿宋" w:hAnsi="仿宋" w:eastAsia="仿宋" w:cs="仿宋"/>
                <w:sz w:val="21"/>
                <w:szCs w:val="21"/>
                <w:highlight w:val="none"/>
                <w:u w:val="none"/>
                <w:lang w:val="en-US" w:eastAsia="zh-CN"/>
              </w:rPr>
              <w:t>4</w:t>
            </w:r>
          </w:p>
        </w:tc>
        <w:tc>
          <w:tcPr>
            <w:tcW w:w="1337" w:type="dxa"/>
            <w:noWrap w:val="0"/>
            <w:vAlign w:val="center"/>
          </w:tcPr>
          <w:p w14:paraId="70C06472">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储能设备拆除及安装</w:t>
            </w:r>
          </w:p>
        </w:tc>
        <w:tc>
          <w:tcPr>
            <w:tcW w:w="3404" w:type="dxa"/>
            <w:noWrap w:val="0"/>
            <w:vAlign w:val="center"/>
          </w:tcPr>
          <w:p w14:paraId="559776DC">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1、名称：储能设备拆除及安装</w:t>
            </w:r>
          </w:p>
        </w:tc>
        <w:tc>
          <w:tcPr>
            <w:tcW w:w="0" w:type="auto"/>
            <w:noWrap w:val="0"/>
            <w:vAlign w:val="center"/>
          </w:tcPr>
          <w:p w14:paraId="7F6D9CF6">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台</w:t>
            </w:r>
          </w:p>
        </w:tc>
        <w:tc>
          <w:tcPr>
            <w:tcW w:w="0" w:type="auto"/>
            <w:noWrap w:val="0"/>
            <w:vAlign w:val="center"/>
          </w:tcPr>
          <w:p w14:paraId="4624F5F9">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5C420CE4">
            <w:pPr>
              <w:keepNext w:val="0"/>
              <w:keepLines w:val="0"/>
              <w:widowControl/>
              <w:suppressLineNumbers w:val="0"/>
              <w:jc w:val="center"/>
              <w:textAlignment w:val="center"/>
              <w:rPr>
                <w:rFonts w:hint="eastAsia" w:ascii="仿宋" w:hAnsi="仿宋" w:eastAsia="仿宋" w:cs="仿宋"/>
                <w:sz w:val="21"/>
                <w:szCs w:val="21"/>
                <w:highlight w:val="none"/>
              </w:rPr>
            </w:pPr>
          </w:p>
        </w:tc>
        <w:tc>
          <w:tcPr>
            <w:tcW w:w="1596" w:type="dxa"/>
            <w:noWrap w:val="0"/>
            <w:vAlign w:val="center"/>
          </w:tcPr>
          <w:p w14:paraId="479D6947">
            <w:pPr>
              <w:keepNext w:val="0"/>
              <w:keepLines w:val="0"/>
              <w:widowControl/>
              <w:suppressLineNumbers w:val="0"/>
              <w:jc w:val="center"/>
              <w:textAlignment w:val="center"/>
              <w:rPr>
                <w:rFonts w:hint="eastAsia" w:ascii="仿宋" w:hAnsi="仿宋" w:eastAsia="仿宋" w:cs="仿宋"/>
                <w:sz w:val="24"/>
                <w:szCs w:val="24"/>
                <w:highlight w:val="none"/>
              </w:rPr>
            </w:pPr>
          </w:p>
        </w:tc>
      </w:tr>
      <w:tr w14:paraId="2298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670" w:type="dxa"/>
            <w:noWrap w:val="0"/>
            <w:vAlign w:val="center"/>
          </w:tcPr>
          <w:p w14:paraId="77F5D683">
            <w:pPr>
              <w:keepNext w:val="0"/>
              <w:keepLines w:val="0"/>
              <w:widowControl/>
              <w:suppressLineNumbers w:val="0"/>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5</w:t>
            </w:r>
          </w:p>
        </w:tc>
        <w:tc>
          <w:tcPr>
            <w:tcW w:w="1337" w:type="dxa"/>
            <w:noWrap w:val="0"/>
            <w:vAlign w:val="center"/>
          </w:tcPr>
          <w:p w14:paraId="139EB723">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计量柜拆除及安装</w:t>
            </w:r>
          </w:p>
        </w:tc>
        <w:tc>
          <w:tcPr>
            <w:tcW w:w="3404" w:type="dxa"/>
            <w:noWrap w:val="0"/>
            <w:vAlign w:val="center"/>
          </w:tcPr>
          <w:p w14:paraId="31CDB377">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1、名称：计量柜拆除及安装</w:t>
            </w:r>
          </w:p>
        </w:tc>
        <w:tc>
          <w:tcPr>
            <w:tcW w:w="0" w:type="auto"/>
            <w:noWrap w:val="0"/>
            <w:vAlign w:val="center"/>
          </w:tcPr>
          <w:p w14:paraId="3AAA80F0">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台</w:t>
            </w:r>
          </w:p>
        </w:tc>
        <w:tc>
          <w:tcPr>
            <w:tcW w:w="0" w:type="auto"/>
            <w:noWrap w:val="0"/>
            <w:vAlign w:val="center"/>
          </w:tcPr>
          <w:p w14:paraId="6B7B6FEB">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5BACFD31">
            <w:pPr>
              <w:keepNext w:val="0"/>
              <w:keepLines w:val="0"/>
              <w:widowControl/>
              <w:suppressLineNumbers w:val="0"/>
              <w:jc w:val="center"/>
              <w:textAlignment w:val="center"/>
              <w:rPr>
                <w:rFonts w:hint="eastAsia" w:ascii="仿宋" w:hAnsi="仿宋" w:eastAsia="仿宋" w:cs="仿宋"/>
                <w:sz w:val="21"/>
                <w:szCs w:val="21"/>
                <w:highlight w:val="none"/>
              </w:rPr>
            </w:pPr>
          </w:p>
        </w:tc>
        <w:tc>
          <w:tcPr>
            <w:tcW w:w="1596" w:type="dxa"/>
            <w:noWrap w:val="0"/>
            <w:vAlign w:val="center"/>
          </w:tcPr>
          <w:p w14:paraId="22DECC9C">
            <w:pPr>
              <w:keepNext w:val="0"/>
              <w:keepLines w:val="0"/>
              <w:widowControl/>
              <w:suppressLineNumbers w:val="0"/>
              <w:jc w:val="center"/>
              <w:textAlignment w:val="center"/>
              <w:rPr>
                <w:rFonts w:hint="eastAsia" w:ascii="仿宋" w:hAnsi="仿宋" w:eastAsia="仿宋" w:cs="仿宋"/>
                <w:sz w:val="24"/>
                <w:szCs w:val="24"/>
                <w:highlight w:val="none"/>
              </w:rPr>
            </w:pPr>
          </w:p>
        </w:tc>
      </w:tr>
      <w:tr w14:paraId="6C292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670" w:type="dxa"/>
            <w:noWrap w:val="0"/>
            <w:vAlign w:val="center"/>
          </w:tcPr>
          <w:p w14:paraId="378FCBA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w:t>
            </w:r>
          </w:p>
        </w:tc>
        <w:tc>
          <w:tcPr>
            <w:tcW w:w="1337" w:type="dxa"/>
            <w:noWrap w:val="0"/>
            <w:vAlign w:val="center"/>
          </w:tcPr>
          <w:p w14:paraId="102BDF2B">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储能设备基础</w:t>
            </w:r>
          </w:p>
        </w:tc>
        <w:tc>
          <w:tcPr>
            <w:tcW w:w="3404" w:type="dxa"/>
            <w:noWrap w:val="0"/>
            <w:vAlign w:val="center"/>
          </w:tcPr>
          <w:p w14:paraId="1171A9B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1、名称：储能设备基础</w:t>
            </w:r>
          </w:p>
        </w:tc>
        <w:tc>
          <w:tcPr>
            <w:tcW w:w="0" w:type="auto"/>
            <w:noWrap w:val="0"/>
            <w:vAlign w:val="center"/>
          </w:tcPr>
          <w:p w14:paraId="08F2767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0" w:type="auto"/>
            <w:noWrap w:val="0"/>
            <w:vAlign w:val="center"/>
          </w:tcPr>
          <w:p w14:paraId="22C993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7935DAB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4F41C98B">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1D38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670" w:type="dxa"/>
            <w:noWrap w:val="0"/>
            <w:vAlign w:val="center"/>
          </w:tcPr>
          <w:p w14:paraId="7766F14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w:t>
            </w:r>
          </w:p>
        </w:tc>
        <w:tc>
          <w:tcPr>
            <w:tcW w:w="1337" w:type="dxa"/>
            <w:noWrap w:val="0"/>
            <w:vAlign w:val="center"/>
          </w:tcPr>
          <w:p w14:paraId="3A7E58D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计量柜基础</w:t>
            </w:r>
          </w:p>
        </w:tc>
        <w:tc>
          <w:tcPr>
            <w:tcW w:w="3404" w:type="dxa"/>
            <w:noWrap w:val="0"/>
            <w:vAlign w:val="center"/>
          </w:tcPr>
          <w:p w14:paraId="6CAB615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1、名称：分支箱基础</w:t>
            </w:r>
          </w:p>
        </w:tc>
        <w:tc>
          <w:tcPr>
            <w:tcW w:w="0" w:type="auto"/>
            <w:noWrap w:val="0"/>
            <w:vAlign w:val="center"/>
          </w:tcPr>
          <w:p w14:paraId="1CDF262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0" w:type="auto"/>
            <w:noWrap w:val="0"/>
            <w:vAlign w:val="center"/>
          </w:tcPr>
          <w:p w14:paraId="78B7BFC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6CB8428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12FDBC7B">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7FA36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670" w:type="dxa"/>
            <w:noWrap w:val="0"/>
            <w:vAlign w:val="center"/>
          </w:tcPr>
          <w:p w14:paraId="44A48B2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w:t>
            </w:r>
          </w:p>
        </w:tc>
        <w:tc>
          <w:tcPr>
            <w:tcW w:w="1337" w:type="dxa"/>
            <w:noWrap w:val="0"/>
            <w:vAlign w:val="center"/>
          </w:tcPr>
          <w:p w14:paraId="70E49F8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电缆保护管敷设</w:t>
            </w:r>
          </w:p>
        </w:tc>
        <w:tc>
          <w:tcPr>
            <w:tcW w:w="3404" w:type="dxa"/>
            <w:noWrap w:val="0"/>
            <w:vAlign w:val="center"/>
          </w:tcPr>
          <w:p w14:paraId="3DC1787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1、名称：电缆保护管</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2、型号：CPVC-110</w:t>
            </w:r>
          </w:p>
        </w:tc>
        <w:tc>
          <w:tcPr>
            <w:tcW w:w="0" w:type="auto"/>
            <w:noWrap w:val="0"/>
            <w:vAlign w:val="center"/>
          </w:tcPr>
          <w:p w14:paraId="43D0B48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0" w:type="auto"/>
            <w:noWrap w:val="0"/>
            <w:vAlign w:val="center"/>
          </w:tcPr>
          <w:p w14:paraId="153A5CF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c>
          <w:tcPr>
            <w:tcW w:w="1815" w:type="dxa"/>
            <w:noWrap w:val="0"/>
            <w:vAlign w:val="center"/>
          </w:tcPr>
          <w:p w14:paraId="273C1C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20DC7D89">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71DF7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restart"/>
            <w:noWrap w:val="0"/>
            <w:vAlign w:val="center"/>
          </w:tcPr>
          <w:p w14:paraId="1868183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w:t>
            </w:r>
          </w:p>
        </w:tc>
        <w:tc>
          <w:tcPr>
            <w:tcW w:w="1337" w:type="dxa"/>
            <w:vMerge w:val="restart"/>
            <w:noWrap w:val="0"/>
            <w:vAlign w:val="center"/>
          </w:tcPr>
          <w:p w14:paraId="5BFD262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路面开挖及恢复</w:t>
            </w:r>
          </w:p>
        </w:tc>
        <w:tc>
          <w:tcPr>
            <w:tcW w:w="3404" w:type="dxa"/>
            <w:noWrap w:val="0"/>
            <w:vAlign w:val="center"/>
          </w:tcPr>
          <w:p w14:paraId="5260EB5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1、嵌草砖路面</w:t>
            </w:r>
          </w:p>
        </w:tc>
        <w:tc>
          <w:tcPr>
            <w:tcW w:w="547" w:type="dxa"/>
            <w:noWrap w:val="0"/>
            <w:vAlign w:val="center"/>
          </w:tcPr>
          <w:p w14:paraId="61A86FA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15836D1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w:t>
            </w:r>
          </w:p>
        </w:tc>
        <w:tc>
          <w:tcPr>
            <w:tcW w:w="1815" w:type="dxa"/>
            <w:noWrap w:val="0"/>
            <w:vAlign w:val="center"/>
          </w:tcPr>
          <w:p w14:paraId="3C83385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20BCBAED">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5B0C7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continue"/>
            <w:noWrap w:val="0"/>
            <w:vAlign w:val="center"/>
          </w:tcPr>
          <w:p w14:paraId="59D9080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337" w:type="dxa"/>
            <w:vMerge w:val="continue"/>
            <w:noWrap w:val="0"/>
            <w:vAlign w:val="center"/>
          </w:tcPr>
          <w:p w14:paraId="1171803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3404" w:type="dxa"/>
            <w:noWrap w:val="0"/>
            <w:vAlign w:val="center"/>
          </w:tcPr>
          <w:p w14:paraId="178C0F3A">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2、沥青路面</w:t>
            </w:r>
          </w:p>
        </w:tc>
        <w:tc>
          <w:tcPr>
            <w:tcW w:w="547" w:type="dxa"/>
            <w:noWrap w:val="0"/>
            <w:vAlign w:val="center"/>
          </w:tcPr>
          <w:p w14:paraId="0F2463F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6E53276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c>
          <w:tcPr>
            <w:tcW w:w="1815" w:type="dxa"/>
            <w:noWrap w:val="0"/>
            <w:vAlign w:val="center"/>
          </w:tcPr>
          <w:p w14:paraId="5BA210C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562D6C87">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59767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continue"/>
            <w:noWrap w:val="0"/>
            <w:vAlign w:val="center"/>
          </w:tcPr>
          <w:p w14:paraId="0B0B292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337" w:type="dxa"/>
            <w:vMerge w:val="continue"/>
            <w:noWrap w:val="0"/>
            <w:vAlign w:val="center"/>
          </w:tcPr>
          <w:p w14:paraId="0710D80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3404" w:type="dxa"/>
            <w:noWrap w:val="0"/>
            <w:vAlign w:val="center"/>
          </w:tcPr>
          <w:p w14:paraId="652B2D55">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3、绿化带</w:t>
            </w:r>
          </w:p>
        </w:tc>
        <w:tc>
          <w:tcPr>
            <w:tcW w:w="547" w:type="dxa"/>
            <w:noWrap w:val="0"/>
            <w:vAlign w:val="center"/>
          </w:tcPr>
          <w:p w14:paraId="03108CD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4960A10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w:t>
            </w:r>
          </w:p>
        </w:tc>
        <w:tc>
          <w:tcPr>
            <w:tcW w:w="1815" w:type="dxa"/>
            <w:noWrap w:val="0"/>
            <w:vAlign w:val="center"/>
          </w:tcPr>
          <w:p w14:paraId="35EEEBB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021D4BE1">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359AF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8320" w:type="dxa"/>
            <w:gridSpan w:val="6"/>
            <w:noWrap w:val="0"/>
            <w:vAlign w:val="center"/>
          </w:tcPr>
          <w:p w14:paraId="3D5C248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合计</w:t>
            </w:r>
          </w:p>
        </w:tc>
        <w:tc>
          <w:tcPr>
            <w:tcW w:w="1596" w:type="dxa"/>
            <w:noWrap w:val="0"/>
            <w:vAlign w:val="center"/>
          </w:tcPr>
          <w:p w14:paraId="7F790D16">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bl>
    <w:p w14:paraId="113995E3">
      <w:pPr>
        <w:spacing w:line="360" w:lineRule="auto"/>
        <w:jc w:val="left"/>
        <w:rPr>
          <w:rFonts w:hint="default" w:eastAsia="宋体"/>
          <w:color w:val="auto"/>
          <w:spacing w:val="-6"/>
          <w:szCs w:val="21"/>
          <w:highlight w:val="none"/>
          <w:lang w:val="en-US" w:eastAsia="zh-CN"/>
        </w:rPr>
      </w:pPr>
      <w:r>
        <w:rPr>
          <w:rFonts w:hint="eastAsia"/>
          <w:color w:val="auto"/>
          <w:spacing w:val="-6"/>
          <w:szCs w:val="21"/>
          <w:highlight w:val="none"/>
          <w:lang w:val="en-US" w:eastAsia="zh-CN"/>
        </w:rPr>
        <w:t>报价为人民币大写</w:t>
      </w:r>
      <w:r>
        <w:rPr>
          <w:rFonts w:hint="eastAsia"/>
          <w:color w:val="auto"/>
          <w:spacing w:val="-6"/>
          <w:szCs w:val="21"/>
          <w:highlight w:val="none"/>
          <w:u w:val="single"/>
          <w:lang w:val="en-US" w:eastAsia="zh-CN"/>
        </w:rPr>
        <w:t xml:space="preserve">        元</w:t>
      </w:r>
      <w:r>
        <w:rPr>
          <w:rFonts w:hint="eastAsia"/>
          <w:color w:val="auto"/>
          <w:spacing w:val="-6"/>
          <w:szCs w:val="21"/>
          <w:highlight w:val="none"/>
          <w:lang w:val="en-US" w:eastAsia="zh-CN"/>
        </w:rPr>
        <w:t>（人民币小写</w:t>
      </w:r>
      <w:r>
        <w:rPr>
          <w:rFonts w:hint="eastAsia"/>
          <w:color w:val="auto"/>
          <w:spacing w:val="-6"/>
          <w:szCs w:val="21"/>
          <w:highlight w:val="none"/>
          <w:u w:val="single"/>
          <w:lang w:val="en-US" w:eastAsia="zh-CN"/>
        </w:rPr>
        <w:t xml:space="preserve">      元 </w:t>
      </w:r>
      <w:r>
        <w:rPr>
          <w:rFonts w:hint="eastAsia"/>
          <w:color w:val="auto"/>
          <w:spacing w:val="-6"/>
          <w:szCs w:val="21"/>
          <w:highlight w:val="none"/>
          <w:lang w:val="en-US" w:eastAsia="zh-CN"/>
        </w:rPr>
        <w:t>）；</w:t>
      </w:r>
    </w:p>
    <w:p w14:paraId="4621A362">
      <w:pPr>
        <w:spacing w:line="360" w:lineRule="auto"/>
        <w:jc w:val="left"/>
        <w:rPr>
          <w:rFonts w:hint="eastAsia" w:ascii="宋体" w:hAnsi="宋体" w:eastAsia="宋体" w:cs="宋体"/>
          <w:b/>
          <w:bCs/>
          <w:color w:val="auto"/>
          <w:sz w:val="21"/>
          <w:szCs w:val="21"/>
          <w:highlight w:val="none"/>
        </w:rPr>
      </w:pPr>
      <w:r>
        <w:rPr>
          <w:rFonts w:hint="eastAsia"/>
          <w:color w:val="auto"/>
          <w:spacing w:val="-6"/>
          <w:szCs w:val="21"/>
          <w:highlight w:val="none"/>
        </w:rPr>
        <w:t>备注：详见第三章采购需求及技术参数要求</w:t>
      </w:r>
      <w:r>
        <w:rPr>
          <w:rFonts w:hint="eastAsia"/>
          <w:color w:val="auto"/>
          <w:spacing w:val="-6"/>
          <w:szCs w:val="21"/>
          <w:highlight w:val="none"/>
          <w:lang w:eastAsia="zh-CN"/>
        </w:rPr>
        <w:t>；</w:t>
      </w:r>
      <w:r>
        <w:rPr>
          <w:rFonts w:hint="eastAsia" w:ascii="宋体" w:hAnsi="宋体" w:eastAsia="宋体" w:cs="宋体"/>
          <w:color w:val="auto"/>
          <w:szCs w:val="21"/>
          <w:highlight w:val="none"/>
          <w:lang w:val="zh-CN"/>
        </w:rPr>
        <w:t>投标报价采用综合单价法，</w:t>
      </w:r>
      <w:r>
        <w:rPr>
          <w:rFonts w:hint="eastAsia" w:ascii="宋体" w:hAnsi="宋体" w:eastAsia="宋体" w:cs="宋体"/>
          <w:b/>
          <w:bCs/>
          <w:color w:val="auto"/>
          <w:sz w:val="21"/>
          <w:szCs w:val="21"/>
          <w:highlight w:val="none"/>
        </w:rPr>
        <w:t>综合单价包括：</w:t>
      </w:r>
      <w:r>
        <w:rPr>
          <w:rFonts w:hint="eastAsia" w:ascii="宋体" w:hAnsi="宋体" w:eastAsia="宋体" w:cs="宋体"/>
          <w:b/>
          <w:bCs/>
          <w:color w:val="auto"/>
          <w:sz w:val="21"/>
          <w:szCs w:val="21"/>
          <w:highlight w:val="none"/>
          <w:lang w:val="en-US" w:eastAsia="zh-CN"/>
        </w:rPr>
        <w:t>设备费、</w:t>
      </w:r>
      <w:r>
        <w:rPr>
          <w:rFonts w:hint="eastAsia" w:ascii="宋体" w:hAnsi="宋体" w:eastAsia="宋体" w:cs="宋体"/>
          <w:b/>
          <w:bCs/>
          <w:color w:val="auto"/>
          <w:sz w:val="21"/>
          <w:szCs w:val="21"/>
          <w:highlight w:val="none"/>
        </w:rPr>
        <w:t>材料费</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主材和辅材）</w:t>
      </w:r>
      <w:r>
        <w:rPr>
          <w:rFonts w:hint="eastAsia" w:ascii="宋体" w:hAnsi="宋体" w:eastAsia="宋体" w:cs="宋体"/>
          <w:b/>
          <w:bCs/>
          <w:color w:val="auto"/>
          <w:sz w:val="21"/>
          <w:szCs w:val="21"/>
          <w:highlight w:val="none"/>
        </w:rPr>
        <w:t>、装卸费、运输费、</w:t>
      </w:r>
      <w:r>
        <w:rPr>
          <w:rFonts w:hint="eastAsia" w:ascii="宋体" w:hAnsi="宋体" w:eastAsia="宋体" w:cs="宋体"/>
          <w:b/>
          <w:bCs/>
          <w:color w:val="auto"/>
          <w:sz w:val="21"/>
          <w:szCs w:val="21"/>
          <w:highlight w:val="none"/>
          <w:lang w:val="en-US" w:eastAsia="zh-CN"/>
        </w:rPr>
        <w:t>安装费、</w:t>
      </w:r>
      <w:r>
        <w:rPr>
          <w:rFonts w:hint="eastAsia" w:ascii="宋体" w:hAnsi="宋体" w:eastAsia="宋体" w:cs="宋体"/>
          <w:b/>
          <w:bCs/>
          <w:color w:val="auto"/>
          <w:sz w:val="21"/>
          <w:szCs w:val="21"/>
          <w:highlight w:val="none"/>
        </w:rPr>
        <w:t>管理费、利润、风险费用、招标代理费、</w:t>
      </w:r>
      <w:r>
        <w:rPr>
          <w:rFonts w:hint="eastAsia" w:ascii="宋体" w:hAnsi="宋体" w:eastAsia="宋体" w:cs="宋体"/>
          <w:b/>
          <w:bCs/>
          <w:color w:val="auto"/>
          <w:sz w:val="21"/>
          <w:szCs w:val="21"/>
          <w:highlight w:val="none"/>
          <w:lang w:eastAsia="zh-CN"/>
        </w:rPr>
        <w:t>检测费、</w:t>
      </w:r>
      <w:r>
        <w:rPr>
          <w:rFonts w:hint="eastAsia" w:ascii="宋体" w:hAnsi="宋体" w:eastAsia="宋体" w:cs="宋体"/>
          <w:b/>
          <w:bCs/>
          <w:color w:val="auto"/>
          <w:sz w:val="21"/>
          <w:szCs w:val="21"/>
          <w:highlight w:val="none"/>
        </w:rPr>
        <w:t>调试、验收、</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培训及后期服务及国家对中标单位征收的各种税费等所有一切费用，综合单价今后将不作任何调整。</w:t>
      </w:r>
    </w:p>
    <w:p w14:paraId="341DF6F1">
      <w:pPr>
        <w:spacing w:line="560" w:lineRule="exact"/>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投标人：</w:t>
      </w:r>
      <w:r>
        <w:rPr>
          <w:rFonts w:hint="eastAsia" w:ascii="宋体" w:hAnsi="宋体" w:eastAsia="宋体" w:cs="Times New Roman"/>
          <w:color w:val="auto"/>
          <w:sz w:val="21"/>
          <w:szCs w:val="21"/>
          <w:highlight w:val="none"/>
          <w:u w:val="single"/>
        </w:rPr>
        <w:t xml:space="preserve">                       （</w:t>
      </w:r>
      <w:r>
        <w:rPr>
          <w:rFonts w:hint="eastAsia" w:ascii="宋体" w:hAnsi="宋体" w:eastAsia="宋体" w:cs="Times New Roman"/>
          <w:color w:val="auto"/>
          <w:sz w:val="21"/>
          <w:szCs w:val="21"/>
          <w:highlight w:val="none"/>
          <w:u w:val="single"/>
          <w:lang w:val="en-US" w:eastAsia="zh-CN"/>
        </w:rPr>
        <w:t>盖章</w:t>
      </w:r>
      <w:r>
        <w:rPr>
          <w:rFonts w:hint="eastAsia" w:ascii="宋体" w:hAnsi="宋体" w:eastAsia="宋体" w:cs="Times New Roman"/>
          <w:color w:val="auto"/>
          <w:sz w:val="21"/>
          <w:szCs w:val="21"/>
          <w:highlight w:val="none"/>
          <w:u w:val="single"/>
        </w:rPr>
        <w:t>）</w:t>
      </w:r>
      <w:r>
        <w:rPr>
          <w:rFonts w:hint="eastAsia" w:ascii="宋体" w:hAnsi="宋体" w:eastAsia="宋体" w:cs="Times New Roman"/>
          <w:color w:val="auto"/>
          <w:sz w:val="21"/>
          <w:szCs w:val="21"/>
          <w:highlight w:val="none"/>
        </w:rPr>
        <w:t xml:space="preserve">  </w:t>
      </w:r>
    </w:p>
    <w:p w14:paraId="199730E0">
      <w:pPr>
        <w:spacing w:line="560" w:lineRule="exact"/>
        <w:rPr>
          <w:rFonts w:hint="eastAsia" w:ascii="宋体" w:hAnsi="宋体" w:eastAsia="宋体" w:cs="Times New Roman"/>
          <w:color w:val="auto"/>
          <w:sz w:val="21"/>
          <w:szCs w:val="21"/>
          <w:highlight w:val="none"/>
          <w:u w:val="single"/>
          <w:lang w:eastAsia="zh-CN"/>
        </w:rPr>
      </w:pPr>
      <w:r>
        <w:rPr>
          <w:rFonts w:hint="eastAsia" w:ascii="宋体" w:hAnsi="宋体" w:eastAsia="宋体" w:cs="Times New Roman"/>
          <w:color w:val="auto"/>
          <w:sz w:val="21"/>
          <w:szCs w:val="21"/>
          <w:highlight w:val="none"/>
        </w:rPr>
        <w:t>法定代表人（或委托代理人）：</w:t>
      </w:r>
      <w:r>
        <w:rPr>
          <w:rFonts w:hint="eastAsia" w:ascii="宋体" w:hAnsi="宋体" w:eastAsia="宋体" w:cs="Times New Roman"/>
          <w:color w:val="auto"/>
          <w:sz w:val="21"/>
          <w:szCs w:val="21"/>
          <w:highlight w:val="none"/>
          <w:u w:val="single"/>
        </w:rPr>
        <w:t xml:space="preserve">                       （</w:t>
      </w:r>
      <w:r>
        <w:rPr>
          <w:rFonts w:hint="eastAsia" w:ascii="宋体" w:hAnsi="宋体" w:eastAsia="宋体" w:cs="Times New Roman"/>
          <w:color w:val="auto"/>
          <w:sz w:val="21"/>
          <w:szCs w:val="21"/>
          <w:highlight w:val="none"/>
          <w:u w:val="single"/>
          <w:lang w:val="en-US" w:eastAsia="zh-CN"/>
        </w:rPr>
        <w:t>签字或盖章</w:t>
      </w:r>
      <w:r>
        <w:rPr>
          <w:rFonts w:hint="eastAsia" w:ascii="宋体" w:hAnsi="宋体" w:eastAsia="宋体" w:cs="Times New Roman"/>
          <w:color w:val="auto"/>
          <w:sz w:val="21"/>
          <w:szCs w:val="21"/>
          <w:highlight w:val="none"/>
          <w:u w:val="single"/>
        </w:rPr>
        <w:t>）</w:t>
      </w:r>
      <w:bookmarkEnd w:id="671"/>
      <w:bookmarkEnd w:id="672"/>
      <w:bookmarkEnd w:id="673"/>
      <w:bookmarkEnd w:id="674"/>
      <w:bookmarkEnd w:id="675"/>
      <w:bookmarkEnd w:id="676"/>
      <w:bookmarkEnd w:id="677"/>
      <w:bookmarkEnd w:id="678"/>
    </w:p>
    <w:sectPr>
      <w:headerReference r:id="rId15" w:type="default"/>
      <w:pgSz w:w="11906" w:h="16838"/>
      <w:pgMar w:top="1134" w:right="1361" w:bottom="1077" w:left="1361" w:header="680" w:footer="68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微软雅黑.〇.">
    <w:altName w:val="黑体"/>
    <w:panose1 w:val="00000000000000000000"/>
    <w:charset w:val="86"/>
    <w:family w:val="swiss"/>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MS Sans 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6BEA9">
    <w:pPr>
      <w:pStyle w:val="33"/>
      <w:tabs>
        <w:tab w:val="center" w:pos="4536"/>
        <w:tab w:val="clear" w:pos="4153"/>
      </w:tabs>
      <w:rPr>
        <w:rStyle w:val="54"/>
        <w:rFonts w:hint="default"/>
        <w:lang w:val="en-US" w:eastAsia="zh-CN"/>
      </w:rPr>
    </w:pPr>
    <w:r>
      <w:rPr>
        <w:rStyle w:val="54"/>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D880B">
    <w:pPr>
      <w:pStyle w:val="3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2841F9E">
                          <w:pPr>
                            <w:pStyle w:val="3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32841F9E">
                    <w:pPr>
                      <w:pStyle w:val="3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B0460">
    <w:pPr>
      <w:pStyle w:val="3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D36B40">
                          <w:pPr>
                            <w:pStyle w:val="33"/>
                          </w:pPr>
                          <w:r>
                            <w:fldChar w:fldCharType="begin"/>
                          </w:r>
                          <w:r>
                            <w:instrText xml:space="preserve"> PAGE  \* MERGEFORMAT </w:instrText>
                          </w:r>
                          <w:r>
                            <w:fldChar w:fldCharType="separate"/>
                          </w:r>
                          <w:r>
                            <w:t>31</w:t>
                          </w:r>
                          <w:r>
                            <w:fldChar w:fldCharType="end"/>
                          </w:r>
                        </w:p>
                      </w:txbxContent>
                    </wps:txbx>
                    <wps:bodyPr vert="horz" wrap="none" lIns="0" tIns="0" rIns="0" bIns="0" anchor="t" anchorCtr="0" upright="0">
                      <a:spAutoFit/>
                    </wps:bodyPr>
                  </wps:wsp>
                </a:graphicData>
              </a:graphic>
            </wp:anchor>
          </w:drawing>
        </mc:Choice>
        <mc:Fallback>
          <w:pict>
            <v:shape id="文本框 2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ANajut8BAAC/AwAADgAAAAAA&#10;AAABACAAAAAeAQAAZHJzL2Uyb0RvYy54bWxQSwUGAAAAAAYABgBZAQAAbwUAAAAA&#10;">
              <v:fill on="f" focussize="0,0"/>
              <v:stroke on="f"/>
              <v:imagedata o:title=""/>
              <o:lock v:ext="edit" aspectratio="f"/>
              <v:textbox inset="0mm,0mm,0mm,0mm" style="mso-fit-shape-to-text:t;">
                <w:txbxContent>
                  <w:p w14:paraId="40D36B40">
                    <w:pPr>
                      <w:pStyle w:val="3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85B37">
    <w:pPr>
      <w:pStyle w:val="3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F029F">
    <w:pPr>
      <w:pStyle w:val="3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100A8F">
                          <w:pPr>
                            <w:pStyle w:val="33"/>
                          </w:pPr>
                          <w:r>
                            <w:fldChar w:fldCharType="begin"/>
                          </w:r>
                          <w:r>
                            <w:instrText xml:space="preserve"> PAGE  \* MERGEFORMAT </w:instrText>
                          </w:r>
                          <w:r>
                            <w:fldChar w:fldCharType="separate"/>
                          </w:r>
                          <w:r>
                            <w:t>30</w:t>
                          </w:r>
                          <w:r>
                            <w:fldChar w:fldCharType="end"/>
                          </w:r>
                        </w:p>
                      </w:txbxContent>
                    </wps:txbx>
                    <wps:bodyPr vert="horz" wrap="none" lIns="0" tIns="0" rIns="0" bIns="0" anchor="t" anchorCtr="0" upright="0">
                      <a:spAutoFit/>
                    </wps:bodyPr>
                  </wps:wsp>
                </a:graphicData>
              </a:graphic>
            </wp:anchor>
          </w:drawing>
        </mc:Choice>
        <mc:Fallback>
          <w:pict>
            <v:shape id="文本框 30"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uVbho3gEAAL8DAAAOAAAAAAAA&#10;AAEAIAAAAB4BAABkcnMvZTJvRG9jLnhtbFBLBQYAAAAABgAGAFkBAABuBQAAAAA=&#10;">
              <v:fill on="f" focussize="0,0"/>
              <v:stroke on="f"/>
              <v:imagedata o:title=""/>
              <o:lock v:ext="edit" aspectratio="f"/>
              <v:textbox inset="0mm,0mm,0mm,0mm" style="mso-fit-shape-to-text:t;">
                <w:txbxContent>
                  <w:p w14:paraId="32100A8F">
                    <w:pPr>
                      <w:pStyle w:val="3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86AFD">
    <w:pPr>
      <w:pStyle w:val="33"/>
      <w:ind w:right="360"/>
      <w:rPr>
        <w:rFonts w:hint="eastAsia"/>
        <w:kern w:val="0"/>
        <w:szCs w:val="21"/>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7CE43A">
                          <w:pPr>
                            <w:pStyle w:val="33"/>
                          </w:pPr>
                          <w:r>
                            <w:fldChar w:fldCharType="begin"/>
                          </w:r>
                          <w:r>
                            <w:instrText xml:space="preserve"> PAGE  \* MERGEFORMAT </w:instrText>
                          </w:r>
                          <w:r>
                            <w:fldChar w:fldCharType="separate"/>
                          </w:r>
                          <w:r>
                            <w:t>36</w:t>
                          </w:r>
                          <w:r>
                            <w:fldChar w:fldCharType="end"/>
                          </w:r>
                        </w:p>
                      </w:txbxContent>
                    </wps:txbx>
                    <wps:bodyPr vert="horz" wrap="none" lIns="0" tIns="0" rIns="0" bIns="0" anchor="t" anchorCtr="0" upright="0">
                      <a:spAutoFit/>
                    </wps:bodyPr>
                  </wps:wsp>
                </a:graphicData>
              </a:graphic>
            </wp:anchor>
          </w:drawing>
        </mc:Choice>
        <mc:Fallback>
          <w:pict>
            <v:shape id="文本框 31"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lp8Nwt8BAAC/AwAADgAAAAAA&#10;AAABACAAAAAeAQAAZHJzL2Uyb0RvYy54bWxQSwUGAAAAAAYABgBZAQAAbwUAAAAA&#10;">
              <v:fill on="f" focussize="0,0"/>
              <v:stroke on="f"/>
              <v:imagedata o:title=""/>
              <o:lock v:ext="edit" aspectratio="f"/>
              <v:textbox inset="0mm,0mm,0mm,0mm" style="mso-fit-shape-to-text:t;">
                <w:txbxContent>
                  <w:p w14:paraId="197CE43A">
                    <w:pPr>
                      <w:pStyle w:val="33"/>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20AE52"/>
                      </w:txbxContent>
                    </wps:txbx>
                    <wps:bodyPr wrap="none" lIns="0" tIns="0" rIns="0" bIns="0" upright="0">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I26KMsBAACcAwAADgAAAGRycy9lMm9Eb2MueG1srVNLbtswEN0XyB0I&#10;7mPKLlA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DW4CJZYbHPj5+7fzj1/nn1/J&#10;snhbJoV6DxUmPnlMjcOdG1L25Ad0JuJDG0z6IiWCcdT3dNFXDpGI9KhclWWBIYGx+YI47Pm5DxDf&#10;S2dIMmoacIBZV358hDimzimpmnX3Smv080rbvxyImTws9T72mKw47Iap8Z1rTsinx9nX1OKqU6If&#10;LEqb1mQ2wmzsZuPgg9p3eY9SPfC3h4hN5N5ShRF2KoxDy+ymBUtb8ec9Zz3/VJ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SNuijLAQAAnAMAAA4AAAAAAAAAAQAgAAAAHgEAAGRycy9lMm9E&#10;b2MueG1sUEsFBgAAAAAGAAYAWQEAAFsFAAAAAA==&#10;">
              <v:fill on="f" focussize="0,0"/>
              <v:stroke on="f"/>
              <v:imagedata o:title=""/>
              <o:lock v:ext="edit" aspectratio="f"/>
              <v:textbox inset="0mm,0mm,0mm,0mm" style="mso-fit-shape-to-text:t;">
                <w:txbxContent>
                  <w:p w14:paraId="6B20AE52"/>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12355">
    <w:pPr>
      <w:pStyle w:val="3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8FE7A8">
                          <w:pPr>
                            <w:pStyle w:val="33"/>
                          </w:pPr>
                          <w:r>
                            <w:fldChar w:fldCharType="begin"/>
                          </w:r>
                          <w:r>
                            <w:instrText xml:space="preserve"> PAGE  \* MERGEFORMAT </w:instrText>
                          </w:r>
                          <w:r>
                            <w:fldChar w:fldCharType="separate"/>
                          </w:r>
                          <w:r>
                            <w:t>- 139 -</w:t>
                          </w:r>
                          <w: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RfAHsoBAACcAwAADgAAAGRycy9lMm9Eb2MueG1srVPNjtMwEL4j8Q6W&#10;79RpkVCJ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rihx3OLAL9+/XX78uvz8SpbV&#10;y9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RfAHsoBAACcAwAADgAAAAAAAAABACAAAAAeAQAAZHJzL2Uyb0Rv&#10;Yy54bWxQSwUGAAAAAAYABgBZAQAAWgUAAAAA&#10;">
              <v:fill on="f" focussize="0,0"/>
              <v:stroke on="f"/>
              <v:imagedata o:title=""/>
              <o:lock v:ext="edit" aspectratio="f"/>
              <v:textbox inset="0mm,0mm,0mm,0mm" style="mso-fit-shape-to-text:t;">
                <w:txbxContent>
                  <w:p w14:paraId="488FE7A8">
                    <w:pPr>
                      <w:pStyle w:val="33"/>
                    </w:pPr>
                    <w:r>
                      <w:fldChar w:fldCharType="begin"/>
                    </w:r>
                    <w:r>
                      <w:instrText xml:space="preserve"> PAGE  \* MERGEFORMAT </w:instrText>
                    </w:r>
                    <w:r>
                      <w:fldChar w:fldCharType="separate"/>
                    </w:r>
                    <w:r>
                      <w:t>- 139 -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09374">
    <w:pPr>
      <w:pStyle w:val="34"/>
      <w:pBdr>
        <w:bottom w:val="none" w:color="auto" w:sz="0" w:space="0"/>
      </w:pBdr>
      <w:jc w:val="right"/>
      <w:rPr>
        <w:b/>
        <w:bC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6EB52">
    <w:pPr>
      <w:pStyle w:val="3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DB1B1">
    <w:pPr>
      <w:pStyle w:val="3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C7905">
    <w:pPr>
      <w:pStyle w:val="3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9D3C6">
    <w:pPr>
      <w:pStyle w:val="34"/>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3667D">
    <w:pPr>
      <w:pStyle w:val="3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F374EA"/>
    <w:multiLevelType w:val="singleLevel"/>
    <w:tmpl w:val="D3F374EA"/>
    <w:lvl w:ilvl="0" w:tentative="0">
      <w:start w:val="4"/>
      <w:numFmt w:val="chineseCounting"/>
      <w:suff w:val="space"/>
      <w:lvlText w:val="第%1章"/>
      <w:lvlJc w:val="left"/>
      <w:rPr>
        <w:rFonts w:hint="eastAsia"/>
      </w:rPr>
    </w:lvl>
  </w:abstractNum>
  <w:abstractNum w:abstractNumId="1">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0F5A86A3"/>
    <w:multiLevelType w:val="singleLevel"/>
    <w:tmpl w:val="0F5A86A3"/>
    <w:lvl w:ilvl="0" w:tentative="0">
      <w:start w:val="3"/>
      <w:numFmt w:val="chineseCounting"/>
      <w:suff w:val="space"/>
      <w:lvlText w:val="第%1章"/>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ZjhkZTNiNmNkZGZjMDIzYmYyYzIyNGRmNjM4NjgifQ=="/>
  </w:docVars>
  <w:rsids>
    <w:rsidRoot w:val="00172A27"/>
    <w:rsid w:val="00000F03"/>
    <w:rsid w:val="0000102C"/>
    <w:rsid w:val="00002296"/>
    <w:rsid w:val="00003341"/>
    <w:rsid w:val="00006820"/>
    <w:rsid w:val="0000765B"/>
    <w:rsid w:val="000133FD"/>
    <w:rsid w:val="00013CDB"/>
    <w:rsid w:val="000149CE"/>
    <w:rsid w:val="00014BE3"/>
    <w:rsid w:val="000152EF"/>
    <w:rsid w:val="00015E33"/>
    <w:rsid w:val="000163F2"/>
    <w:rsid w:val="0002000D"/>
    <w:rsid w:val="000210A3"/>
    <w:rsid w:val="00021731"/>
    <w:rsid w:val="0002303F"/>
    <w:rsid w:val="00025652"/>
    <w:rsid w:val="00027350"/>
    <w:rsid w:val="000275A3"/>
    <w:rsid w:val="00027B66"/>
    <w:rsid w:val="000301A2"/>
    <w:rsid w:val="0003022F"/>
    <w:rsid w:val="00030431"/>
    <w:rsid w:val="00031287"/>
    <w:rsid w:val="000346D8"/>
    <w:rsid w:val="00034D00"/>
    <w:rsid w:val="000369B9"/>
    <w:rsid w:val="00036E1B"/>
    <w:rsid w:val="00037222"/>
    <w:rsid w:val="00041DC0"/>
    <w:rsid w:val="00043152"/>
    <w:rsid w:val="000455A4"/>
    <w:rsid w:val="00045A6A"/>
    <w:rsid w:val="000466F8"/>
    <w:rsid w:val="0004671B"/>
    <w:rsid w:val="00047776"/>
    <w:rsid w:val="000520E9"/>
    <w:rsid w:val="000534C0"/>
    <w:rsid w:val="0005658A"/>
    <w:rsid w:val="00056830"/>
    <w:rsid w:val="00056A2D"/>
    <w:rsid w:val="00056E3D"/>
    <w:rsid w:val="00061677"/>
    <w:rsid w:val="00063BED"/>
    <w:rsid w:val="00063C44"/>
    <w:rsid w:val="0006566F"/>
    <w:rsid w:val="0006584B"/>
    <w:rsid w:val="00065940"/>
    <w:rsid w:val="00065AAB"/>
    <w:rsid w:val="00070B50"/>
    <w:rsid w:val="00071845"/>
    <w:rsid w:val="000738CE"/>
    <w:rsid w:val="00077AAD"/>
    <w:rsid w:val="00080440"/>
    <w:rsid w:val="00080971"/>
    <w:rsid w:val="000818D5"/>
    <w:rsid w:val="000826E7"/>
    <w:rsid w:val="0008469B"/>
    <w:rsid w:val="0008521D"/>
    <w:rsid w:val="00085D26"/>
    <w:rsid w:val="00086AF9"/>
    <w:rsid w:val="00087577"/>
    <w:rsid w:val="00090F13"/>
    <w:rsid w:val="0009199E"/>
    <w:rsid w:val="00091D2B"/>
    <w:rsid w:val="0009306E"/>
    <w:rsid w:val="000944D8"/>
    <w:rsid w:val="00094759"/>
    <w:rsid w:val="00096398"/>
    <w:rsid w:val="00096946"/>
    <w:rsid w:val="000A0086"/>
    <w:rsid w:val="000A1B93"/>
    <w:rsid w:val="000A2A89"/>
    <w:rsid w:val="000A3A88"/>
    <w:rsid w:val="000A4579"/>
    <w:rsid w:val="000A48D0"/>
    <w:rsid w:val="000A7358"/>
    <w:rsid w:val="000A77AA"/>
    <w:rsid w:val="000B026F"/>
    <w:rsid w:val="000B02B3"/>
    <w:rsid w:val="000B41C7"/>
    <w:rsid w:val="000B4E0B"/>
    <w:rsid w:val="000B5789"/>
    <w:rsid w:val="000B5D69"/>
    <w:rsid w:val="000B609D"/>
    <w:rsid w:val="000B734D"/>
    <w:rsid w:val="000B767F"/>
    <w:rsid w:val="000B7C36"/>
    <w:rsid w:val="000C2ACE"/>
    <w:rsid w:val="000C3844"/>
    <w:rsid w:val="000C423F"/>
    <w:rsid w:val="000C4FA9"/>
    <w:rsid w:val="000C5DC5"/>
    <w:rsid w:val="000C7A2C"/>
    <w:rsid w:val="000D069B"/>
    <w:rsid w:val="000D15D2"/>
    <w:rsid w:val="000D18C0"/>
    <w:rsid w:val="000D1BC7"/>
    <w:rsid w:val="000D2370"/>
    <w:rsid w:val="000D2998"/>
    <w:rsid w:val="000D2DEB"/>
    <w:rsid w:val="000D4F76"/>
    <w:rsid w:val="000D5B18"/>
    <w:rsid w:val="000E1E50"/>
    <w:rsid w:val="000E47C8"/>
    <w:rsid w:val="000E521D"/>
    <w:rsid w:val="000E6FF8"/>
    <w:rsid w:val="000F069A"/>
    <w:rsid w:val="000F0C54"/>
    <w:rsid w:val="000F1705"/>
    <w:rsid w:val="000F195C"/>
    <w:rsid w:val="000F1B02"/>
    <w:rsid w:val="000F294F"/>
    <w:rsid w:val="000F2FFA"/>
    <w:rsid w:val="000F309A"/>
    <w:rsid w:val="000F3685"/>
    <w:rsid w:val="000F36ED"/>
    <w:rsid w:val="000F3D46"/>
    <w:rsid w:val="000F5817"/>
    <w:rsid w:val="000F6B36"/>
    <w:rsid w:val="000F6D52"/>
    <w:rsid w:val="0010017C"/>
    <w:rsid w:val="00102075"/>
    <w:rsid w:val="00102231"/>
    <w:rsid w:val="00102B71"/>
    <w:rsid w:val="0010493B"/>
    <w:rsid w:val="00104F30"/>
    <w:rsid w:val="0010777D"/>
    <w:rsid w:val="001106F4"/>
    <w:rsid w:val="00113041"/>
    <w:rsid w:val="0011328D"/>
    <w:rsid w:val="0011593A"/>
    <w:rsid w:val="00116B46"/>
    <w:rsid w:val="00117639"/>
    <w:rsid w:val="001204FF"/>
    <w:rsid w:val="001205BC"/>
    <w:rsid w:val="00120BCE"/>
    <w:rsid w:val="00121F96"/>
    <w:rsid w:val="00124902"/>
    <w:rsid w:val="00124A35"/>
    <w:rsid w:val="001262D5"/>
    <w:rsid w:val="00126B13"/>
    <w:rsid w:val="00132AAF"/>
    <w:rsid w:val="0013331F"/>
    <w:rsid w:val="0013358F"/>
    <w:rsid w:val="001335D9"/>
    <w:rsid w:val="00133BE1"/>
    <w:rsid w:val="001347A9"/>
    <w:rsid w:val="00136C6C"/>
    <w:rsid w:val="001377FE"/>
    <w:rsid w:val="00140703"/>
    <w:rsid w:val="0014118D"/>
    <w:rsid w:val="001423BD"/>
    <w:rsid w:val="0014526A"/>
    <w:rsid w:val="00146FE8"/>
    <w:rsid w:val="00147D4A"/>
    <w:rsid w:val="00152C59"/>
    <w:rsid w:val="00153023"/>
    <w:rsid w:val="00153877"/>
    <w:rsid w:val="00153D68"/>
    <w:rsid w:val="00154767"/>
    <w:rsid w:val="00155483"/>
    <w:rsid w:val="0015793D"/>
    <w:rsid w:val="00161FAA"/>
    <w:rsid w:val="00164B9C"/>
    <w:rsid w:val="001653B4"/>
    <w:rsid w:val="001669A2"/>
    <w:rsid w:val="00166E69"/>
    <w:rsid w:val="00167272"/>
    <w:rsid w:val="00167E01"/>
    <w:rsid w:val="00167FF5"/>
    <w:rsid w:val="00170CC2"/>
    <w:rsid w:val="0017116A"/>
    <w:rsid w:val="00171479"/>
    <w:rsid w:val="00171A33"/>
    <w:rsid w:val="00172644"/>
    <w:rsid w:val="00176EEA"/>
    <w:rsid w:val="00177929"/>
    <w:rsid w:val="00177A7A"/>
    <w:rsid w:val="00177B8F"/>
    <w:rsid w:val="00182E57"/>
    <w:rsid w:val="00184289"/>
    <w:rsid w:val="00184ABA"/>
    <w:rsid w:val="001858BE"/>
    <w:rsid w:val="00185A56"/>
    <w:rsid w:val="001864BC"/>
    <w:rsid w:val="00187590"/>
    <w:rsid w:val="00190C31"/>
    <w:rsid w:val="00191140"/>
    <w:rsid w:val="0019139D"/>
    <w:rsid w:val="001918E9"/>
    <w:rsid w:val="00192BDE"/>
    <w:rsid w:val="00193CE6"/>
    <w:rsid w:val="00194B8E"/>
    <w:rsid w:val="00195E66"/>
    <w:rsid w:val="001961BA"/>
    <w:rsid w:val="001975C9"/>
    <w:rsid w:val="001A0716"/>
    <w:rsid w:val="001A343D"/>
    <w:rsid w:val="001A435B"/>
    <w:rsid w:val="001A4465"/>
    <w:rsid w:val="001A5FB8"/>
    <w:rsid w:val="001A6F91"/>
    <w:rsid w:val="001B1526"/>
    <w:rsid w:val="001B1BD2"/>
    <w:rsid w:val="001B3012"/>
    <w:rsid w:val="001B520E"/>
    <w:rsid w:val="001B5BEF"/>
    <w:rsid w:val="001B6816"/>
    <w:rsid w:val="001B7766"/>
    <w:rsid w:val="001C5534"/>
    <w:rsid w:val="001C6CAF"/>
    <w:rsid w:val="001C7C71"/>
    <w:rsid w:val="001D06AD"/>
    <w:rsid w:val="001D2114"/>
    <w:rsid w:val="001D318D"/>
    <w:rsid w:val="001D693B"/>
    <w:rsid w:val="001D70EE"/>
    <w:rsid w:val="001D7320"/>
    <w:rsid w:val="001D73C1"/>
    <w:rsid w:val="001D7424"/>
    <w:rsid w:val="001D750D"/>
    <w:rsid w:val="001E00E0"/>
    <w:rsid w:val="001E0EF7"/>
    <w:rsid w:val="001E191A"/>
    <w:rsid w:val="001E33F3"/>
    <w:rsid w:val="001E3C44"/>
    <w:rsid w:val="001E3DE5"/>
    <w:rsid w:val="001E452F"/>
    <w:rsid w:val="001E4B4F"/>
    <w:rsid w:val="001E535B"/>
    <w:rsid w:val="001E56A2"/>
    <w:rsid w:val="001E6B1C"/>
    <w:rsid w:val="001E6CD4"/>
    <w:rsid w:val="001E6FE6"/>
    <w:rsid w:val="001E6FFF"/>
    <w:rsid w:val="001F0084"/>
    <w:rsid w:val="001F064B"/>
    <w:rsid w:val="001F1335"/>
    <w:rsid w:val="001F16F3"/>
    <w:rsid w:val="001F1743"/>
    <w:rsid w:val="001F1CE0"/>
    <w:rsid w:val="001F2980"/>
    <w:rsid w:val="001F3B7C"/>
    <w:rsid w:val="001F403F"/>
    <w:rsid w:val="001F4495"/>
    <w:rsid w:val="001F471C"/>
    <w:rsid w:val="001F5059"/>
    <w:rsid w:val="001F50BB"/>
    <w:rsid w:val="001F7A46"/>
    <w:rsid w:val="0020030D"/>
    <w:rsid w:val="00202078"/>
    <w:rsid w:val="00202131"/>
    <w:rsid w:val="0020229E"/>
    <w:rsid w:val="002026A6"/>
    <w:rsid w:val="00203622"/>
    <w:rsid w:val="00203E74"/>
    <w:rsid w:val="002069FA"/>
    <w:rsid w:val="00207055"/>
    <w:rsid w:val="002075D4"/>
    <w:rsid w:val="00207958"/>
    <w:rsid w:val="002103CB"/>
    <w:rsid w:val="00210CEC"/>
    <w:rsid w:val="00211704"/>
    <w:rsid w:val="002125CB"/>
    <w:rsid w:val="0021262F"/>
    <w:rsid w:val="00217547"/>
    <w:rsid w:val="00220B91"/>
    <w:rsid w:val="002217F8"/>
    <w:rsid w:val="00225D3C"/>
    <w:rsid w:val="00227089"/>
    <w:rsid w:val="002306F3"/>
    <w:rsid w:val="00230AE3"/>
    <w:rsid w:val="00230C04"/>
    <w:rsid w:val="002314D2"/>
    <w:rsid w:val="0023165F"/>
    <w:rsid w:val="0023272C"/>
    <w:rsid w:val="00233E6F"/>
    <w:rsid w:val="00234A29"/>
    <w:rsid w:val="002361C8"/>
    <w:rsid w:val="002364B7"/>
    <w:rsid w:val="0023659C"/>
    <w:rsid w:val="00237147"/>
    <w:rsid w:val="00237352"/>
    <w:rsid w:val="002374BB"/>
    <w:rsid w:val="00237506"/>
    <w:rsid w:val="00240600"/>
    <w:rsid w:val="002417C1"/>
    <w:rsid w:val="00242BA3"/>
    <w:rsid w:val="00243C2B"/>
    <w:rsid w:val="00244312"/>
    <w:rsid w:val="00247A47"/>
    <w:rsid w:val="00247C5C"/>
    <w:rsid w:val="00250167"/>
    <w:rsid w:val="00251029"/>
    <w:rsid w:val="0025449E"/>
    <w:rsid w:val="0025467B"/>
    <w:rsid w:val="002551F6"/>
    <w:rsid w:val="002554CE"/>
    <w:rsid w:val="00255771"/>
    <w:rsid w:val="00255A95"/>
    <w:rsid w:val="002572D8"/>
    <w:rsid w:val="00260EB0"/>
    <w:rsid w:val="00262F82"/>
    <w:rsid w:val="00264BBB"/>
    <w:rsid w:val="002667A5"/>
    <w:rsid w:val="00266FC3"/>
    <w:rsid w:val="002676DA"/>
    <w:rsid w:val="00270D00"/>
    <w:rsid w:val="00271288"/>
    <w:rsid w:val="00272A64"/>
    <w:rsid w:val="002731BD"/>
    <w:rsid w:val="0027387D"/>
    <w:rsid w:val="0027549B"/>
    <w:rsid w:val="00276C5E"/>
    <w:rsid w:val="00277233"/>
    <w:rsid w:val="002776CD"/>
    <w:rsid w:val="002803FA"/>
    <w:rsid w:val="00281D13"/>
    <w:rsid w:val="002827C7"/>
    <w:rsid w:val="00283A63"/>
    <w:rsid w:val="0028592E"/>
    <w:rsid w:val="002859F8"/>
    <w:rsid w:val="0028605D"/>
    <w:rsid w:val="00286788"/>
    <w:rsid w:val="0028772F"/>
    <w:rsid w:val="002905A9"/>
    <w:rsid w:val="002929A8"/>
    <w:rsid w:val="00293E15"/>
    <w:rsid w:val="00295785"/>
    <w:rsid w:val="00295C9B"/>
    <w:rsid w:val="00297553"/>
    <w:rsid w:val="00297DCF"/>
    <w:rsid w:val="002A0361"/>
    <w:rsid w:val="002A046B"/>
    <w:rsid w:val="002A3922"/>
    <w:rsid w:val="002A4679"/>
    <w:rsid w:val="002A47B5"/>
    <w:rsid w:val="002A47BA"/>
    <w:rsid w:val="002A65E6"/>
    <w:rsid w:val="002A7F0C"/>
    <w:rsid w:val="002B1205"/>
    <w:rsid w:val="002B16F4"/>
    <w:rsid w:val="002B1B17"/>
    <w:rsid w:val="002B3094"/>
    <w:rsid w:val="002B4D0B"/>
    <w:rsid w:val="002B651F"/>
    <w:rsid w:val="002C40AB"/>
    <w:rsid w:val="002C5707"/>
    <w:rsid w:val="002C6355"/>
    <w:rsid w:val="002D0466"/>
    <w:rsid w:val="002D21A0"/>
    <w:rsid w:val="002D3B50"/>
    <w:rsid w:val="002D500A"/>
    <w:rsid w:val="002D619C"/>
    <w:rsid w:val="002D7D16"/>
    <w:rsid w:val="002E0AA9"/>
    <w:rsid w:val="002E2295"/>
    <w:rsid w:val="002E31E3"/>
    <w:rsid w:val="002E349E"/>
    <w:rsid w:val="002E5DF0"/>
    <w:rsid w:val="002E6A21"/>
    <w:rsid w:val="002E6C2C"/>
    <w:rsid w:val="002E6EA9"/>
    <w:rsid w:val="002E74CD"/>
    <w:rsid w:val="002F04F4"/>
    <w:rsid w:val="002F0F7B"/>
    <w:rsid w:val="002F1AD0"/>
    <w:rsid w:val="002F1B12"/>
    <w:rsid w:val="002F2ADD"/>
    <w:rsid w:val="002F3CA0"/>
    <w:rsid w:val="002F4C7B"/>
    <w:rsid w:val="002F5F35"/>
    <w:rsid w:val="0030036D"/>
    <w:rsid w:val="00301E56"/>
    <w:rsid w:val="00302DA4"/>
    <w:rsid w:val="00303C49"/>
    <w:rsid w:val="003043D3"/>
    <w:rsid w:val="00304853"/>
    <w:rsid w:val="00305612"/>
    <w:rsid w:val="00306E36"/>
    <w:rsid w:val="00310228"/>
    <w:rsid w:val="00310232"/>
    <w:rsid w:val="00311D50"/>
    <w:rsid w:val="003138BA"/>
    <w:rsid w:val="003141E9"/>
    <w:rsid w:val="003158DD"/>
    <w:rsid w:val="003169B1"/>
    <w:rsid w:val="0031701A"/>
    <w:rsid w:val="0031777C"/>
    <w:rsid w:val="00320EB5"/>
    <w:rsid w:val="00321760"/>
    <w:rsid w:val="00321CF0"/>
    <w:rsid w:val="003222D9"/>
    <w:rsid w:val="00323DA3"/>
    <w:rsid w:val="00323F93"/>
    <w:rsid w:val="00324A98"/>
    <w:rsid w:val="00324C0D"/>
    <w:rsid w:val="00324D18"/>
    <w:rsid w:val="0032587D"/>
    <w:rsid w:val="00326B4A"/>
    <w:rsid w:val="003302B5"/>
    <w:rsid w:val="003302C4"/>
    <w:rsid w:val="0033132E"/>
    <w:rsid w:val="0033158A"/>
    <w:rsid w:val="00331F03"/>
    <w:rsid w:val="003342B7"/>
    <w:rsid w:val="00335113"/>
    <w:rsid w:val="0033662A"/>
    <w:rsid w:val="00337E67"/>
    <w:rsid w:val="003401B5"/>
    <w:rsid w:val="00342330"/>
    <w:rsid w:val="00344118"/>
    <w:rsid w:val="003443AF"/>
    <w:rsid w:val="0034546A"/>
    <w:rsid w:val="00346627"/>
    <w:rsid w:val="00346C50"/>
    <w:rsid w:val="00346EA4"/>
    <w:rsid w:val="003475EF"/>
    <w:rsid w:val="00347664"/>
    <w:rsid w:val="003511A6"/>
    <w:rsid w:val="00351636"/>
    <w:rsid w:val="003524FA"/>
    <w:rsid w:val="003536AA"/>
    <w:rsid w:val="00355A17"/>
    <w:rsid w:val="0035744E"/>
    <w:rsid w:val="00360343"/>
    <w:rsid w:val="00364C68"/>
    <w:rsid w:val="00364E31"/>
    <w:rsid w:val="00365426"/>
    <w:rsid w:val="003663FF"/>
    <w:rsid w:val="0036743A"/>
    <w:rsid w:val="00371602"/>
    <w:rsid w:val="00371A69"/>
    <w:rsid w:val="00371DCC"/>
    <w:rsid w:val="00372DA3"/>
    <w:rsid w:val="00372FCD"/>
    <w:rsid w:val="0037516A"/>
    <w:rsid w:val="00375399"/>
    <w:rsid w:val="003761A0"/>
    <w:rsid w:val="003761C3"/>
    <w:rsid w:val="0037637D"/>
    <w:rsid w:val="00376403"/>
    <w:rsid w:val="0038095F"/>
    <w:rsid w:val="00382134"/>
    <w:rsid w:val="00383809"/>
    <w:rsid w:val="0038572D"/>
    <w:rsid w:val="00390F55"/>
    <w:rsid w:val="003937D5"/>
    <w:rsid w:val="003943F6"/>
    <w:rsid w:val="00395BBA"/>
    <w:rsid w:val="0039655F"/>
    <w:rsid w:val="00397438"/>
    <w:rsid w:val="003975C9"/>
    <w:rsid w:val="003A0B6C"/>
    <w:rsid w:val="003A0C50"/>
    <w:rsid w:val="003A1E88"/>
    <w:rsid w:val="003A20C8"/>
    <w:rsid w:val="003A262E"/>
    <w:rsid w:val="003A2D98"/>
    <w:rsid w:val="003A3492"/>
    <w:rsid w:val="003A644A"/>
    <w:rsid w:val="003A7366"/>
    <w:rsid w:val="003B0EB7"/>
    <w:rsid w:val="003B2002"/>
    <w:rsid w:val="003B2911"/>
    <w:rsid w:val="003B4EF8"/>
    <w:rsid w:val="003B5149"/>
    <w:rsid w:val="003C03B5"/>
    <w:rsid w:val="003C22A2"/>
    <w:rsid w:val="003C2A63"/>
    <w:rsid w:val="003C5296"/>
    <w:rsid w:val="003C59FB"/>
    <w:rsid w:val="003C5D63"/>
    <w:rsid w:val="003D17A0"/>
    <w:rsid w:val="003D26E9"/>
    <w:rsid w:val="003D4696"/>
    <w:rsid w:val="003D7DB9"/>
    <w:rsid w:val="003E2E02"/>
    <w:rsid w:val="003E2FF1"/>
    <w:rsid w:val="003E373D"/>
    <w:rsid w:val="003E68BB"/>
    <w:rsid w:val="003E6AC9"/>
    <w:rsid w:val="003E6F9D"/>
    <w:rsid w:val="003E74A0"/>
    <w:rsid w:val="003F0472"/>
    <w:rsid w:val="003F09CD"/>
    <w:rsid w:val="003F0FFD"/>
    <w:rsid w:val="003F17A7"/>
    <w:rsid w:val="003F20F4"/>
    <w:rsid w:val="003F41C1"/>
    <w:rsid w:val="003F79A3"/>
    <w:rsid w:val="0040223B"/>
    <w:rsid w:val="004031CE"/>
    <w:rsid w:val="00403273"/>
    <w:rsid w:val="00403850"/>
    <w:rsid w:val="004041B9"/>
    <w:rsid w:val="00405D43"/>
    <w:rsid w:val="00406D2A"/>
    <w:rsid w:val="00407710"/>
    <w:rsid w:val="00410283"/>
    <w:rsid w:val="004105DD"/>
    <w:rsid w:val="00411467"/>
    <w:rsid w:val="0041233E"/>
    <w:rsid w:val="00412398"/>
    <w:rsid w:val="0041327B"/>
    <w:rsid w:val="00414D10"/>
    <w:rsid w:val="004157B9"/>
    <w:rsid w:val="00415B46"/>
    <w:rsid w:val="00416ABA"/>
    <w:rsid w:val="0041712A"/>
    <w:rsid w:val="00420B93"/>
    <w:rsid w:val="00420C62"/>
    <w:rsid w:val="00421651"/>
    <w:rsid w:val="004225D0"/>
    <w:rsid w:val="00424D5D"/>
    <w:rsid w:val="004253E4"/>
    <w:rsid w:val="00426BDD"/>
    <w:rsid w:val="00427693"/>
    <w:rsid w:val="00427A07"/>
    <w:rsid w:val="004302AF"/>
    <w:rsid w:val="00430BDB"/>
    <w:rsid w:val="00432ABD"/>
    <w:rsid w:val="0043366A"/>
    <w:rsid w:val="0043376F"/>
    <w:rsid w:val="00435256"/>
    <w:rsid w:val="004353DC"/>
    <w:rsid w:val="00435B05"/>
    <w:rsid w:val="0043732A"/>
    <w:rsid w:val="004400DA"/>
    <w:rsid w:val="004416C1"/>
    <w:rsid w:val="00444AD0"/>
    <w:rsid w:val="00446296"/>
    <w:rsid w:val="004468C6"/>
    <w:rsid w:val="004468CB"/>
    <w:rsid w:val="00447841"/>
    <w:rsid w:val="00447AAA"/>
    <w:rsid w:val="0045023F"/>
    <w:rsid w:val="0045025A"/>
    <w:rsid w:val="00455DDC"/>
    <w:rsid w:val="004600E6"/>
    <w:rsid w:val="004603B0"/>
    <w:rsid w:val="0046040E"/>
    <w:rsid w:val="0046061F"/>
    <w:rsid w:val="00460DDB"/>
    <w:rsid w:val="00461843"/>
    <w:rsid w:val="00461BA1"/>
    <w:rsid w:val="00464B9D"/>
    <w:rsid w:val="004656AF"/>
    <w:rsid w:val="0046571A"/>
    <w:rsid w:val="00465895"/>
    <w:rsid w:val="0046617E"/>
    <w:rsid w:val="00466BBB"/>
    <w:rsid w:val="0047080E"/>
    <w:rsid w:val="004713DB"/>
    <w:rsid w:val="0047228F"/>
    <w:rsid w:val="00472BAD"/>
    <w:rsid w:val="004736CC"/>
    <w:rsid w:val="00474761"/>
    <w:rsid w:val="00476C92"/>
    <w:rsid w:val="00476DDE"/>
    <w:rsid w:val="00480FD2"/>
    <w:rsid w:val="004855C6"/>
    <w:rsid w:val="0048589A"/>
    <w:rsid w:val="00487CA1"/>
    <w:rsid w:val="004901BC"/>
    <w:rsid w:val="00490C17"/>
    <w:rsid w:val="00496A03"/>
    <w:rsid w:val="00496EA9"/>
    <w:rsid w:val="0049719D"/>
    <w:rsid w:val="004975BD"/>
    <w:rsid w:val="004977AC"/>
    <w:rsid w:val="00497D2A"/>
    <w:rsid w:val="004A0266"/>
    <w:rsid w:val="004A107E"/>
    <w:rsid w:val="004A14BB"/>
    <w:rsid w:val="004A19A5"/>
    <w:rsid w:val="004A2C79"/>
    <w:rsid w:val="004A4A83"/>
    <w:rsid w:val="004A59B8"/>
    <w:rsid w:val="004A6F04"/>
    <w:rsid w:val="004A701E"/>
    <w:rsid w:val="004A7435"/>
    <w:rsid w:val="004B08FF"/>
    <w:rsid w:val="004B0D22"/>
    <w:rsid w:val="004B2353"/>
    <w:rsid w:val="004B275B"/>
    <w:rsid w:val="004B3355"/>
    <w:rsid w:val="004B5590"/>
    <w:rsid w:val="004B5FC4"/>
    <w:rsid w:val="004B7C6E"/>
    <w:rsid w:val="004C09BE"/>
    <w:rsid w:val="004C10CE"/>
    <w:rsid w:val="004C22BD"/>
    <w:rsid w:val="004C244A"/>
    <w:rsid w:val="004C2E4C"/>
    <w:rsid w:val="004C37DC"/>
    <w:rsid w:val="004C4475"/>
    <w:rsid w:val="004C4B61"/>
    <w:rsid w:val="004C507C"/>
    <w:rsid w:val="004C5142"/>
    <w:rsid w:val="004D08FC"/>
    <w:rsid w:val="004D1A10"/>
    <w:rsid w:val="004D2711"/>
    <w:rsid w:val="004D3DC9"/>
    <w:rsid w:val="004D404C"/>
    <w:rsid w:val="004D42D2"/>
    <w:rsid w:val="004D4592"/>
    <w:rsid w:val="004D4B74"/>
    <w:rsid w:val="004D64ED"/>
    <w:rsid w:val="004D77BA"/>
    <w:rsid w:val="004E2450"/>
    <w:rsid w:val="004E28A4"/>
    <w:rsid w:val="004E4F3A"/>
    <w:rsid w:val="004E62B4"/>
    <w:rsid w:val="004E6950"/>
    <w:rsid w:val="004F1398"/>
    <w:rsid w:val="004F18A1"/>
    <w:rsid w:val="004F37DA"/>
    <w:rsid w:val="004F4318"/>
    <w:rsid w:val="004F449E"/>
    <w:rsid w:val="004F5D47"/>
    <w:rsid w:val="004F623E"/>
    <w:rsid w:val="004F642B"/>
    <w:rsid w:val="004F6987"/>
    <w:rsid w:val="004F6A86"/>
    <w:rsid w:val="004F7068"/>
    <w:rsid w:val="004F7369"/>
    <w:rsid w:val="004F7AC3"/>
    <w:rsid w:val="004F7E98"/>
    <w:rsid w:val="00500C1C"/>
    <w:rsid w:val="00502495"/>
    <w:rsid w:val="00502A52"/>
    <w:rsid w:val="005032B2"/>
    <w:rsid w:val="00503834"/>
    <w:rsid w:val="00503E36"/>
    <w:rsid w:val="00504163"/>
    <w:rsid w:val="005072D6"/>
    <w:rsid w:val="00510889"/>
    <w:rsid w:val="00510D92"/>
    <w:rsid w:val="005135C5"/>
    <w:rsid w:val="005150CB"/>
    <w:rsid w:val="005151EE"/>
    <w:rsid w:val="00515BB3"/>
    <w:rsid w:val="00516B05"/>
    <w:rsid w:val="00517F92"/>
    <w:rsid w:val="0052099E"/>
    <w:rsid w:val="00521401"/>
    <w:rsid w:val="005239B8"/>
    <w:rsid w:val="005242A3"/>
    <w:rsid w:val="00525A4E"/>
    <w:rsid w:val="00525F54"/>
    <w:rsid w:val="005262D5"/>
    <w:rsid w:val="005301F8"/>
    <w:rsid w:val="005309C6"/>
    <w:rsid w:val="00530D02"/>
    <w:rsid w:val="00531AF8"/>
    <w:rsid w:val="00531D68"/>
    <w:rsid w:val="00535CD7"/>
    <w:rsid w:val="00535D1E"/>
    <w:rsid w:val="00536151"/>
    <w:rsid w:val="00537E97"/>
    <w:rsid w:val="00541866"/>
    <w:rsid w:val="0054274E"/>
    <w:rsid w:val="005430D1"/>
    <w:rsid w:val="0054452A"/>
    <w:rsid w:val="00545C7C"/>
    <w:rsid w:val="00546D32"/>
    <w:rsid w:val="00547C0D"/>
    <w:rsid w:val="005509E2"/>
    <w:rsid w:val="00551EEF"/>
    <w:rsid w:val="00552084"/>
    <w:rsid w:val="00552AC0"/>
    <w:rsid w:val="0055306C"/>
    <w:rsid w:val="00553DAD"/>
    <w:rsid w:val="00554E3C"/>
    <w:rsid w:val="005552E6"/>
    <w:rsid w:val="0055588D"/>
    <w:rsid w:val="005565B5"/>
    <w:rsid w:val="00557CFD"/>
    <w:rsid w:val="00557E1B"/>
    <w:rsid w:val="00561D45"/>
    <w:rsid w:val="00562961"/>
    <w:rsid w:val="00562AA3"/>
    <w:rsid w:val="00564171"/>
    <w:rsid w:val="00564373"/>
    <w:rsid w:val="0056463A"/>
    <w:rsid w:val="00566D7A"/>
    <w:rsid w:val="0056759A"/>
    <w:rsid w:val="00567DAC"/>
    <w:rsid w:val="005708B7"/>
    <w:rsid w:val="00571B93"/>
    <w:rsid w:val="00571E2A"/>
    <w:rsid w:val="00572BEE"/>
    <w:rsid w:val="00574020"/>
    <w:rsid w:val="005741F7"/>
    <w:rsid w:val="005744A3"/>
    <w:rsid w:val="005749B6"/>
    <w:rsid w:val="0057517D"/>
    <w:rsid w:val="00575403"/>
    <w:rsid w:val="00577AA3"/>
    <w:rsid w:val="00581688"/>
    <w:rsid w:val="0058258E"/>
    <w:rsid w:val="0058263E"/>
    <w:rsid w:val="00583264"/>
    <w:rsid w:val="00583B5A"/>
    <w:rsid w:val="00584D4C"/>
    <w:rsid w:val="00584F8C"/>
    <w:rsid w:val="0058512E"/>
    <w:rsid w:val="00585A64"/>
    <w:rsid w:val="00585CA5"/>
    <w:rsid w:val="00586A21"/>
    <w:rsid w:val="00587C36"/>
    <w:rsid w:val="00591589"/>
    <w:rsid w:val="00593083"/>
    <w:rsid w:val="00597F8B"/>
    <w:rsid w:val="005A00B3"/>
    <w:rsid w:val="005A12A2"/>
    <w:rsid w:val="005A1DAD"/>
    <w:rsid w:val="005A29EF"/>
    <w:rsid w:val="005A2FE4"/>
    <w:rsid w:val="005A3BBC"/>
    <w:rsid w:val="005A46D0"/>
    <w:rsid w:val="005A5510"/>
    <w:rsid w:val="005A6DD8"/>
    <w:rsid w:val="005A756A"/>
    <w:rsid w:val="005A769F"/>
    <w:rsid w:val="005A796D"/>
    <w:rsid w:val="005B0436"/>
    <w:rsid w:val="005B18CB"/>
    <w:rsid w:val="005B29BA"/>
    <w:rsid w:val="005B376A"/>
    <w:rsid w:val="005B38AF"/>
    <w:rsid w:val="005B5E46"/>
    <w:rsid w:val="005B6E96"/>
    <w:rsid w:val="005B7245"/>
    <w:rsid w:val="005C0379"/>
    <w:rsid w:val="005C0BA9"/>
    <w:rsid w:val="005C0CEA"/>
    <w:rsid w:val="005C12B1"/>
    <w:rsid w:val="005C191F"/>
    <w:rsid w:val="005C35BD"/>
    <w:rsid w:val="005C3ECE"/>
    <w:rsid w:val="005C73E4"/>
    <w:rsid w:val="005D2D33"/>
    <w:rsid w:val="005D3A6E"/>
    <w:rsid w:val="005D47B3"/>
    <w:rsid w:val="005D4810"/>
    <w:rsid w:val="005D4EC1"/>
    <w:rsid w:val="005D5680"/>
    <w:rsid w:val="005E15BA"/>
    <w:rsid w:val="005E21F1"/>
    <w:rsid w:val="005E2E7D"/>
    <w:rsid w:val="005E3F07"/>
    <w:rsid w:val="005E548C"/>
    <w:rsid w:val="005E7AEA"/>
    <w:rsid w:val="005E7B30"/>
    <w:rsid w:val="005F0F4B"/>
    <w:rsid w:val="005F5D7E"/>
    <w:rsid w:val="005F66CB"/>
    <w:rsid w:val="00600161"/>
    <w:rsid w:val="00601BDC"/>
    <w:rsid w:val="00601E1B"/>
    <w:rsid w:val="00602ADB"/>
    <w:rsid w:val="00603E5B"/>
    <w:rsid w:val="006042BB"/>
    <w:rsid w:val="00604878"/>
    <w:rsid w:val="006057D0"/>
    <w:rsid w:val="006072F8"/>
    <w:rsid w:val="0060732C"/>
    <w:rsid w:val="00612246"/>
    <w:rsid w:val="006152B5"/>
    <w:rsid w:val="00615703"/>
    <w:rsid w:val="00615BCD"/>
    <w:rsid w:val="00617513"/>
    <w:rsid w:val="00620484"/>
    <w:rsid w:val="00622E88"/>
    <w:rsid w:val="00623183"/>
    <w:rsid w:val="0062395D"/>
    <w:rsid w:val="00624573"/>
    <w:rsid w:val="006268A1"/>
    <w:rsid w:val="00626ADD"/>
    <w:rsid w:val="00626DE0"/>
    <w:rsid w:val="00626F74"/>
    <w:rsid w:val="00630A6B"/>
    <w:rsid w:val="00634896"/>
    <w:rsid w:val="00634D10"/>
    <w:rsid w:val="00637ADC"/>
    <w:rsid w:val="0064323F"/>
    <w:rsid w:val="006436C9"/>
    <w:rsid w:val="006453A0"/>
    <w:rsid w:val="00645845"/>
    <w:rsid w:val="006464E3"/>
    <w:rsid w:val="006468BE"/>
    <w:rsid w:val="006532AF"/>
    <w:rsid w:val="00654C94"/>
    <w:rsid w:val="00656435"/>
    <w:rsid w:val="0065645F"/>
    <w:rsid w:val="00656C0D"/>
    <w:rsid w:val="00656C74"/>
    <w:rsid w:val="00657718"/>
    <w:rsid w:val="00660BBB"/>
    <w:rsid w:val="006615E0"/>
    <w:rsid w:val="00661709"/>
    <w:rsid w:val="006634B6"/>
    <w:rsid w:val="00664644"/>
    <w:rsid w:val="00664836"/>
    <w:rsid w:val="006651EA"/>
    <w:rsid w:val="0067051E"/>
    <w:rsid w:val="00670558"/>
    <w:rsid w:val="00671228"/>
    <w:rsid w:val="00671FDF"/>
    <w:rsid w:val="00673439"/>
    <w:rsid w:val="00673900"/>
    <w:rsid w:val="006749F3"/>
    <w:rsid w:val="00674EFD"/>
    <w:rsid w:val="0067543E"/>
    <w:rsid w:val="006757BA"/>
    <w:rsid w:val="00675E3C"/>
    <w:rsid w:val="00677085"/>
    <w:rsid w:val="00680234"/>
    <w:rsid w:val="006807DE"/>
    <w:rsid w:val="00680AD3"/>
    <w:rsid w:val="00680FFC"/>
    <w:rsid w:val="006812B6"/>
    <w:rsid w:val="00681ED3"/>
    <w:rsid w:val="006846D8"/>
    <w:rsid w:val="0068518B"/>
    <w:rsid w:val="00685705"/>
    <w:rsid w:val="00685A38"/>
    <w:rsid w:val="0068633D"/>
    <w:rsid w:val="00694297"/>
    <w:rsid w:val="006953DF"/>
    <w:rsid w:val="0069570F"/>
    <w:rsid w:val="00697625"/>
    <w:rsid w:val="00697A1E"/>
    <w:rsid w:val="00697A7A"/>
    <w:rsid w:val="006A0EDC"/>
    <w:rsid w:val="006A135B"/>
    <w:rsid w:val="006A19BE"/>
    <w:rsid w:val="006A1D37"/>
    <w:rsid w:val="006A2999"/>
    <w:rsid w:val="006A3699"/>
    <w:rsid w:val="006A520E"/>
    <w:rsid w:val="006A5DC3"/>
    <w:rsid w:val="006A621D"/>
    <w:rsid w:val="006A6696"/>
    <w:rsid w:val="006A7072"/>
    <w:rsid w:val="006A768A"/>
    <w:rsid w:val="006A7898"/>
    <w:rsid w:val="006B1F6A"/>
    <w:rsid w:val="006B2CDB"/>
    <w:rsid w:val="006B2D22"/>
    <w:rsid w:val="006B5C9D"/>
    <w:rsid w:val="006B5F07"/>
    <w:rsid w:val="006B611B"/>
    <w:rsid w:val="006B79ED"/>
    <w:rsid w:val="006C095F"/>
    <w:rsid w:val="006C1D99"/>
    <w:rsid w:val="006C1E14"/>
    <w:rsid w:val="006C1F48"/>
    <w:rsid w:val="006C2335"/>
    <w:rsid w:val="006C2D83"/>
    <w:rsid w:val="006C40BB"/>
    <w:rsid w:val="006C40D2"/>
    <w:rsid w:val="006C41C4"/>
    <w:rsid w:val="006C465B"/>
    <w:rsid w:val="006C5436"/>
    <w:rsid w:val="006C5A59"/>
    <w:rsid w:val="006C7CE3"/>
    <w:rsid w:val="006D0E50"/>
    <w:rsid w:val="006D30AB"/>
    <w:rsid w:val="006D6654"/>
    <w:rsid w:val="006D6DEC"/>
    <w:rsid w:val="006E0E73"/>
    <w:rsid w:val="006E3A98"/>
    <w:rsid w:val="006E465D"/>
    <w:rsid w:val="006E504F"/>
    <w:rsid w:val="006E59DA"/>
    <w:rsid w:val="006E76C8"/>
    <w:rsid w:val="006F2FE8"/>
    <w:rsid w:val="006F3628"/>
    <w:rsid w:val="006F3D66"/>
    <w:rsid w:val="006F45F4"/>
    <w:rsid w:val="006F4F0D"/>
    <w:rsid w:val="006F580F"/>
    <w:rsid w:val="006F74C9"/>
    <w:rsid w:val="007001C2"/>
    <w:rsid w:val="00700D62"/>
    <w:rsid w:val="00701808"/>
    <w:rsid w:val="00701D18"/>
    <w:rsid w:val="007070E8"/>
    <w:rsid w:val="00710D04"/>
    <w:rsid w:val="00711BDE"/>
    <w:rsid w:val="0071205D"/>
    <w:rsid w:val="00714616"/>
    <w:rsid w:val="007153D8"/>
    <w:rsid w:val="00717703"/>
    <w:rsid w:val="00717AC6"/>
    <w:rsid w:val="00717C59"/>
    <w:rsid w:val="00717E25"/>
    <w:rsid w:val="007200A1"/>
    <w:rsid w:val="00720EE1"/>
    <w:rsid w:val="00721824"/>
    <w:rsid w:val="00721D94"/>
    <w:rsid w:val="0072291C"/>
    <w:rsid w:val="00723AC9"/>
    <w:rsid w:val="00724184"/>
    <w:rsid w:val="00724FC3"/>
    <w:rsid w:val="0072542E"/>
    <w:rsid w:val="00725A14"/>
    <w:rsid w:val="00725BA1"/>
    <w:rsid w:val="00725C03"/>
    <w:rsid w:val="007266A4"/>
    <w:rsid w:val="007268AE"/>
    <w:rsid w:val="00727733"/>
    <w:rsid w:val="00731E06"/>
    <w:rsid w:val="00733098"/>
    <w:rsid w:val="00735067"/>
    <w:rsid w:val="00735690"/>
    <w:rsid w:val="007405BD"/>
    <w:rsid w:val="0074065A"/>
    <w:rsid w:val="007418BD"/>
    <w:rsid w:val="007418DD"/>
    <w:rsid w:val="00742073"/>
    <w:rsid w:val="007438BB"/>
    <w:rsid w:val="007439CB"/>
    <w:rsid w:val="0074472C"/>
    <w:rsid w:val="007457FD"/>
    <w:rsid w:val="007461C9"/>
    <w:rsid w:val="0074662A"/>
    <w:rsid w:val="0074673E"/>
    <w:rsid w:val="00746A2E"/>
    <w:rsid w:val="00746B88"/>
    <w:rsid w:val="00751074"/>
    <w:rsid w:val="0075204F"/>
    <w:rsid w:val="00753614"/>
    <w:rsid w:val="007539EB"/>
    <w:rsid w:val="00753CB2"/>
    <w:rsid w:val="00755446"/>
    <w:rsid w:val="0075655D"/>
    <w:rsid w:val="00756723"/>
    <w:rsid w:val="00756EE8"/>
    <w:rsid w:val="00757D67"/>
    <w:rsid w:val="007608CF"/>
    <w:rsid w:val="007617AB"/>
    <w:rsid w:val="00761D59"/>
    <w:rsid w:val="00761E3D"/>
    <w:rsid w:val="00762A00"/>
    <w:rsid w:val="00763F41"/>
    <w:rsid w:val="00764279"/>
    <w:rsid w:val="007645CE"/>
    <w:rsid w:val="007718D9"/>
    <w:rsid w:val="00771C55"/>
    <w:rsid w:val="007727DC"/>
    <w:rsid w:val="00772924"/>
    <w:rsid w:val="007740E7"/>
    <w:rsid w:val="007742F2"/>
    <w:rsid w:val="0077509A"/>
    <w:rsid w:val="00775258"/>
    <w:rsid w:val="007760E4"/>
    <w:rsid w:val="00777707"/>
    <w:rsid w:val="00777E42"/>
    <w:rsid w:val="00780362"/>
    <w:rsid w:val="007804C2"/>
    <w:rsid w:val="007822F8"/>
    <w:rsid w:val="00782692"/>
    <w:rsid w:val="00782E4C"/>
    <w:rsid w:val="00783A74"/>
    <w:rsid w:val="00783ED4"/>
    <w:rsid w:val="00786863"/>
    <w:rsid w:val="007879B7"/>
    <w:rsid w:val="007904D3"/>
    <w:rsid w:val="00790EF3"/>
    <w:rsid w:val="00791C31"/>
    <w:rsid w:val="00793378"/>
    <w:rsid w:val="00793B2F"/>
    <w:rsid w:val="0079540A"/>
    <w:rsid w:val="00796AA5"/>
    <w:rsid w:val="00797AC5"/>
    <w:rsid w:val="007A0590"/>
    <w:rsid w:val="007A1353"/>
    <w:rsid w:val="007A1D36"/>
    <w:rsid w:val="007A2739"/>
    <w:rsid w:val="007A446C"/>
    <w:rsid w:val="007A479A"/>
    <w:rsid w:val="007A699A"/>
    <w:rsid w:val="007A7280"/>
    <w:rsid w:val="007A7600"/>
    <w:rsid w:val="007A7B59"/>
    <w:rsid w:val="007B0591"/>
    <w:rsid w:val="007B070B"/>
    <w:rsid w:val="007B1597"/>
    <w:rsid w:val="007B16B9"/>
    <w:rsid w:val="007B1C08"/>
    <w:rsid w:val="007B21B3"/>
    <w:rsid w:val="007B3869"/>
    <w:rsid w:val="007B5297"/>
    <w:rsid w:val="007B5E1E"/>
    <w:rsid w:val="007B6240"/>
    <w:rsid w:val="007B6AF6"/>
    <w:rsid w:val="007C100C"/>
    <w:rsid w:val="007C3517"/>
    <w:rsid w:val="007C40C9"/>
    <w:rsid w:val="007C5870"/>
    <w:rsid w:val="007C6B82"/>
    <w:rsid w:val="007C6CA1"/>
    <w:rsid w:val="007C7D44"/>
    <w:rsid w:val="007D19D5"/>
    <w:rsid w:val="007D353E"/>
    <w:rsid w:val="007D5307"/>
    <w:rsid w:val="007D642B"/>
    <w:rsid w:val="007D6827"/>
    <w:rsid w:val="007D6A3D"/>
    <w:rsid w:val="007D6E9F"/>
    <w:rsid w:val="007D75A3"/>
    <w:rsid w:val="007D7750"/>
    <w:rsid w:val="007D7CC1"/>
    <w:rsid w:val="007E115D"/>
    <w:rsid w:val="007E195E"/>
    <w:rsid w:val="007E45BC"/>
    <w:rsid w:val="007E7C3A"/>
    <w:rsid w:val="007F0B8F"/>
    <w:rsid w:val="007F0CDB"/>
    <w:rsid w:val="007F0FEE"/>
    <w:rsid w:val="007F16BE"/>
    <w:rsid w:val="007F2CB0"/>
    <w:rsid w:val="007F4D77"/>
    <w:rsid w:val="007F68FA"/>
    <w:rsid w:val="00800AA5"/>
    <w:rsid w:val="008019A2"/>
    <w:rsid w:val="008025AA"/>
    <w:rsid w:val="00802AA3"/>
    <w:rsid w:val="00803D69"/>
    <w:rsid w:val="00803F30"/>
    <w:rsid w:val="00803F4D"/>
    <w:rsid w:val="00804BB8"/>
    <w:rsid w:val="00805D51"/>
    <w:rsid w:val="00806ED0"/>
    <w:rsid w:val="008072C4"/>
    <w:rsid w:val="00807816"/>
    <w:rsid w:val="008102F1"/>
    <w:rsid w:val="00810845"/>
    <w:rsid w:val="00811A4E"/>
    <w:rsid w:val="00811B14"/>
    <w:rsid w:val="00812C6B"/>
    <w:rsid w:val="0081302E"/>
    <w:rsid w:val="00813B68"/>
    <w:rsid w:val="008152F4"/>
    <w:rsid w:val="00815D46"/>
    <w:rsid w:val="0082132C"/>
    <w:rsid w:val="00822ADF"/>
    <w:rsid w:val="00824EBF"/>
    <w:rsid w:val="00830C08"/>
    <w:rsid w:val="00832103"/>
    <w:rsid w:val="008346D4"/>
    <w:rsid w:val="008360AA"/>
    <w:rsid w:val="0083752C"/>
    <w:rsid w:val="00841390"/>
    <w:rsid w:val="008427BE"/>
    <w:rsid w:val="00842E23"/>
    <w:rsid w:val="00843DD3"/>
    <w:rsid w:val="00846315"/>
    <w:rsid w:val="00847A35"/>
    <w:rsid w:val="00847E3C"/>
    <w:rsid w:val="008502E3"/>
    <w:rsid w:val="008513E1"/>
    <w:rsid w:val="00852177"/>
    <w:rsid w:val="00852490"/>
    <w:rsid w:val="00853388"/>
    <w:rsid w:val="008540F4"/>
    <w:rsid w:val="0085435A"/>
    <w:rsid w:val="0085436C"/>
    <w:rsid w:val="0085479A"/>
    <w:rsid w:val="00855726"/>
    <w:rsid w:val="008571DA"/>
    <w:rsid w:val="008608B9"/>
    <w:rsid w:val="00861E2A"/>
    <w:rsid w:val="008649AA"/>
    <w:rsid w:val="008657A8"/>
    <w:rsid w:val="008662E0"/>
    <w:rsid w:val="008670EB"/>
    <w:rsid w:val="00867B45"/>
    <w:rsid w:val="008701D6"/>
    <w:rsid w:val="00870C16"/>
    <w:rsid w:val="00872B85"/>
    <w:rsid w:val="00874E64"/>
    <w:rsid w:val="008772D8"/>
    <w:rsid w:val="0087734D"/>
    <w:rsid w:val="00877A42"/>
    <w:rsid w:val="00880451"/>
    <w:rsid w:val="008828FA"/>
    <w:rsid w:val="00883ECC"/>
    <w:rsid w:val="008850BA"/>
    <w:rsid w:val="00885DBC"/>
    <w:rsid w:val="00886656"/>
    <w:rsid w:val="008868B6"/>
    <w:rsid w:val="00886F05"/>
    <w:rsid w:val="0088726B"/>
    <w:rsid w:val="00887B47"/>
    <w:rsid w:val="00890AC6"/>
    <w:rsid w:val="00890FDA"/>
    <w:rsid w:val="00891D2C"/>
    <w:rsid w:val="008935BC"/>
    <w:rsid w:val="00893C10"/>
    <w:rsid w:val="00893CD8"/>
    <w:rsid w:val="00894DED"/>
    <w:rsid w:val="00895BD6"/>
    <w:rsid w:val="00895CDD"/>
    <w:rsid w:val="008A004B"/>
    <w:rsid w:val="008A19E4"/>
    <w:rsid w:val="008A25C5"/>
    <w:rsid w:val="008A3234"/>
    <w:rsid w:val="008A4655"/>
    <w:rsid w:val="008A4B33"/>
    <w:rsid w:val="008A4CCA"/>
    <w:rsid w:val="008A5BE8"/>
    <w:rsid w:val="008A6556"/>
    <w:rsid w:val="008A6672"/>
    <w:rsid w:val="008A6EB3"/>
    <w:rsid w:val="008A7342"/>
    <w:rsid w:val="008A7D31"/>
    <w:rsid w:val="008A7EC1"/>
    <w:rsid w:val="008B05E0"/>
    <w:rsid w:val="008B272F"/>
    <w:rsid w:val="008B3F10"/>
    <w:rsid w:val="008B45F0"/>
    <w:rsid w:val="008B4C41"/>
    <w:rsid w:val="008B5A51"/>
    <w:rsid w:val="008B5DD4"/>
    <w:rsid w:val="008B5DD5"/>
    <w:rsid w:val="008B6DCB"/>
    <w:rsid w:val="008B7144"/>
    <w:rsid w:val="008C04D4"/>
    <w:rsid w:val="008C1894"/>
    <w:rsid w:val="008C6033"/>
    <w:rsid w:val="008D0A4B"/>
    <w:rsid w:val="008D1071"/>
    <w:rsid w:val="008D11A5"/>
    <w:rsid w:val="008D1A13"/>
    <w:rsid w:val="008D31E5"/>
    <w:rsid w:val="008D4A0B"/>
    <w:rsid w:val="008D5DEB"/>
    <w:rsid w:val="008D6B33"/>
    <w:rsid w:val="008D7835"/>
    <w:rsid w:val="008E0064"/>
    <w:rsid w:val="008E0448"/>
    <w:rsid w:val="008E0818"/>
    <w:rsid w:val="008E12A4"/>
    <w:rsid w:val="008E2413"/>
    <w:rsid w:val="008E2D08"/>
    <w:rsid w:val="008E3227"/>
    <w:rsid w:val="008E38E2"/>
    <w:rsid w:val="008E4876"/>
    <w:rsid w:val="008E51D1"/>
    <w:rsid w:val="008F39E4"/>
    <w:rsid w:val="008F4224"/>
    <w:rsid w:val="008F6A8A"/>
    <w:rsid w:val="008F7C44"/>
    <w:rsid w:val="009012C8"/>
    <w:rsid w:val="009015F6"/>
    <w:rsid w:val="0090539D"/>
    <w:rsid w:val="00910F20"/>
    <w:rsid w:val="00911704"/>
    <w:rsid w:val="0091363E"/>
    <w:rsid w:val="00914016"/>
    <w:rsid w:val="0091660C"/>
    <w:rsid w:val="0092108B"/>
    <w:rsid w:val="009211B2"/>
    <w:rsid w:val="00921A5C"/>
    <w:rsid w:val="00922315"/>
    <w:rsid w:val="00923218"/>
    <w:rsid w:val="00923F57"/>
    <w:rsid w:val="00924180"/>
    <w:rsid w:val="009245FC"/>
    <w:rsid w:val="00925375"/>
    <w:rsid w:val="00925887"/>
    <w:rsid w:val="00927312"/>
    <w:rsid w:val="009330A4"/>
    <w:rsid w:val="009340B8"/>
    <w:rsid w:val="00934534"/>
    <w:rsid w:val="00934732"/>
    <w:rsid w:val="00934E35"/>
    <w:rsid w:val="009373EB"/>
    <w:rsid w:val="0094209E"/>
    <w:rsid w:val="00942C94"/>
    <w:rsid w:val="00944548"/>
    <w:rsid w:val="00945CD8"/>
    <w:rsid w:val="00946731"/>
    <w:rsid w:val="009471E0"/>
    <w:rsid w:val="00950140"/>
    <w:rsid w:val="009513E7"/>
    <w:rsid w:val="00951517"/>
    <w:rsid w:val="00951775"/>
    <w:rsid w:val="00951E68"/>
    <w:rsid w:val="0095200B"/>
    <w:rsid w:val="009544E5"/>
    <w:rsid w:val="009549EF"/>
    <w:rsid w:val="009558C2"/>
    <w:rsid w:val="00955B49"/>
    <w:rsid w:val="00955DBA"/>
    <w:rsid w:val="009560FD"/>
    <w:rsid w:val="009561AF"/>
    <w:rsid w:val="00960639"/>
    <w:rsid w:val="00960DAB"/>
    <w:rsid w:val="00961EDE"/>
    <w:rsid w:val="009626CF"/>
    <w:rsid w:val="00962AC0"/>
    <w:rsid w:val="0097231C"/>
    <w:rsid w:val="00972519"/>
    <w:rsid w:val="00972835"/>
    <w:rsid w:val="00973169"/>
    <w:rsid w:val="0097364E"/>
    <w:rsid w:val="009736C5"/>
    <w:rsid w:val="00974260"/>
    <w:rsid w:val="00974598"/>
    <w:rsid w:val="00975072"/>
    <w:rsid w:val="009764EE"/>
    <w:rsid w:val="009775D6"/>
    <w:rsid w:val="009808AD"/>
    <w:rsid w:val="00980C18"/>
    <w:rsid w:val="00981CEE"/>
    <w:rsid w:val="009824BD"/>
    <w:rsid w:val="00982BA1"/>
    <w:rsid w:val="00983575"/>
    <w:rsid w:val="009849EF"/>
    <w:rsid w:val="00985176"/>
    <w:rsid w:val="00986703"/>
    <w:rsid w:val="00986D91"/>
    <w:rsid w:val="00990A46"/>
    <w:rsid w:val="009913A5"/>
    <w:rsid w:val="00991678"/>
    <w:rsid w:val="00992639"/>
    <w:rsid w:val="00993654"/>
    <w:rsid w:val="00994B6F"/>
    <w:rsid w:val="009958C4"/>
    <w:rsid w:val="00995D95"/>
    <w:rsid w:val="00997965"/>
    <w:rsid w:val="00997EA3"/>
    <w:rsid w:val="009A05F4"/>
    <w:rsid w:val="009A1197"/>
    <w:rsid w:val="009A22FE"/>
    <w:rsid w:val="009A2492"/>
    <w:rsid w:val="009A27D1"/>
    <w:rsid w:val="009A3F43"/>
    <w:rsid w:val="009A4237"/>
    <w:rsid w:val="009A4671"/>
    <w:rsid w:val="009A514D"/>
    <w:rsid w:val="009A55E9"/>
    <w:rsid w:val="009A666A"/>
    <w:rsid w:val="009A6B7D"/>
    <w:rsid w:val="009A6BA0"/>
    <w:rsid w:val="009A6F8A"/>
    <w:rsid w:val="009B06F4"/>
    <w:rsid w:val="009B427C"/>
    <w:rsid w:val="009B5FC2"/>
    <w:rsid w:val="009C0917"/>
    <w:rsid w:val="009C282C"/>
    <w:rsid w:val="009C2FFD"/>
    <w:rsid w:val="009C3B97"/>
    <w:rsid w:val="009C3FEE"/>
    <w:rsid w:val="009C6E20"/>
    <w:rsid w:val="009C79B7"/>
    <w:rsid w:val="009D0C76"/>
    <w:rsid w:val="009D0E0C"/>
    <w:rsid w:val="009D1121"/>
    <w:rsid w:val="009D1440"/>
    <w:rsid w:val="009D1F58"/>
    <w:rsid w:val="009D5584"/>
    <w:rsid w:val="009D623A"/>
    <w:rsid w:val="009D6A23"/>
    <w:rsid w:val="009E26A3"/>
    <w:rsid w:val="009E34E0"/>
    <w:rsid w:val="009E6222"/>
    <w:rsid w:val="009F020D"/>
    <w:rsid w:val="009F3B47"/>
    <w:rsid w:val="009F45E1"/>
    <w:rsid w:val="009F4A7F"/>
    <w:rsid w:val="009F4CC3"/>
    <w:rsid w:val="00A020A3"/>
    <w:rsid w:val="00A02D76"/>
    <w:rsid w:val="00A03E16"/>
    <w:rsid w:val="00A050AF"/>
    <w:rsid w:val="00A05700"/>
    <w:rsid w:val="00A06DE8"/>
    <w:rsid w:val="00A06FF2"/>
    <w:rsid w:val="00A07105"/>
    <w:rsid w:val="00A07B99"/>
    <w:rsid w:val="00A07E93"/>
    <w:rsid w:val="00A1003F"/>
    <w:rsid w:val="00A10FA2"/>
    <w:rsid w:val="00A11377"/>
    <w:rsid w:val="00A114D8"/>
    <w:rsid w:val="00A11932"/>
    <w:rsid w:val="00A11A83"/>
    <w:rsid w:val="00A12983"/>
    <w:rsid w:val="00A12BFA"/>
    <w:rsid w:val="00A12F46"/>
    <w:rsid w:val="00A134B6"/>
    <w:rsid w:val="00A13737"/>
    <w:rsid w:val="00A139A6"/>
    <w:rsid w:val="00A13BF1"/>
    <w:rsid w:val="00A1596A"/>
    <w:rsid w:val="00A20282"/>
    <w:rsid w:val="00A21F13"/>
    <w:rsid w:val="00A22342"/>
    <w:rsid w:val="00A23E8C"/>
    <w:rsid w:val="00A24378"/>
    <w:rsid w:val="00A249BC"/>
    <w:rsid w:val="00A250B0"/>
    <w:rsid w:val="00A269BA"/>
    <w:rsid w:val="00A26AF6"/>
    <w:rsid w:val="00A26E06"/>
    <w:rsid w:val="00A27338"/>
    <w:rsid w:val="00A334D3"/>
    <w:rsid w:val="00A340DC"/>
    <w:rsid w:val="00A34BF7"/>
    <w:rsid w:val="00A34D15"/>
    <w:rsid w:val="00A3583F"/>
    <w:rsid w:val="00A35BE1"/>
    <w:rsid w:val="00A36839"/>
    <w:rsid w:val="00A36B32"/>
    <w:rsid w:val="00A37FC0"/>
    <w:rsid w:val="00A407DB"/>
    <w:rsid w:val="00A40CCD"/>
    <w:rsid w:val="00A41417"/>
    <w:rsid w:val="00A42EB2"/>
    <w:rsid w:val="00A44F0B"/>
    <w:rsid w:val="00A4507F"/>
    <w:rsid w:val="00A45877"/>
    <w:rsid w:val="00A46D49"/>
    <w:rsid w:val="00A478CF"/>
    <w:rsid w:val="00A5059B"/>
    <w:rsid w:val="00A539BF"/>
    <w:rsid w:val="00A54E02"/>
    <w:rsid w:val="00A564AB"/>
    <w:rsid w:val="00A57619"/>
    <w:rsid w:val="00A57735"/>
    <w:rsid w:val="00A57EFA"/>
    <w:rsid w:val="00A60914"/>
    <w:rsid w:val="00A60E71"/>
    <w:rsid w:val="00A63045"/>
    <w:rsid w:val="00A63E8E"/>
    <w:rsid w:val="00A65558"/>
    <w:rsid w:val="00A65EB0"/>
    <w:rsid w:val="00A670D5"/>
    <w:rsid w:val="00A67664"/>
    <w:rsid w:val="00A67ADE"/>
    <w:rsid w:val="00A67EBC"/>
    <w:rsid w:val="00A70F16"/>
    <w:rsid w:val="00A72750"/>
    <w:rsid w:val="00A7795C"/>
    <w:rsid w:val="00A81FF0"/>
    <w:rsid w:val="00A8302D"/>
    <w:rsid w:val="00A8408D"/>
    <w:rsid w:val="00A8471F"/>
    <w:rsid w:val="00A85218"/>
    <w:rsid w:val="00A858C1"/>
    <w:rsid w:val="00A901AC"/>
    <w:rsid w:val="00A921B3"/>
    <w:rsid w:val="00A92FAA"/>
    <w:rsid w:val="00A93FFA"/>
    <w:rsid w:val="00A94C6F"/>
    <w:rsid w:val="00A958A5"/>
    <w:rsid w:val="00A963F3"/>
    <w:rsid w:val="00A96438"/>
    <w:rsid w:val="00A97618"/>
    <w:rsid w:val="00A9794D"/>
    <w:rsid w:val="00AA232C"/>
    <w:rsid w:val="00AA26AA"/>
    <w:rsid w:val="00AA431E"/>
    <w:rsid w:val="00AA511A"/>
    <w:rsid w:val="00AA58FF"/>
    <w:rsid w:val="00AA5FE1"/>
    <w:rsid w:val="00AA61A1"/>
    <w:rsid w:val="00AA7100"/>
    <w:rsid w:val="00AB13AE"/>
    <w:rsid w:val="00AB2E6C"/>
    <w:rsid w:val="00AB3523"/>
    <w:rsid w:val="00AB475F"/>
    <w:rsid w:val="00AB518C"/>
    <w:rsid w:val="00AB69B8"/>
    <w:rsid w:val="00AB7CE0"/>
    <w:rsid w:val="00AB7E8A"/>
    <w:rsid w:val="00AC0FA4"/>
    <w:rsid w:val="00AC1D8B"/>
    <w:rsid w:val="00AC3AC0"/>
    <w:rsid w:val="00AC589C"/>
    <w:rsid w:val="00AC661F"/>
    <w:rsid w:val="00AC6A21"/>
    <w:rsid w:val="00AC7295"/>
    <w:rsid w:val="00AC7F66"/>
    <w:rsid w:val="00AD124B"/>
    <w:rsid w:val="00AD1B2A"/>
    <w:rsid w:val="00AD1B43"/>
    <w:rsid w:val="00AD2630"/>
    <w:rsid w:val="00AD2F5A"/>
    <w:rsid w:val="00AD70A0"/>
    <w:rsid w:val="00AD7E77"/>
    <w:rsid w:val="00AD7FFD"/>
    <w:rsid w:val="00AE072C"/>
    <w:rsid w:val="00AE0734"/>
    <w:rsid w:val="00AE1018"/>
    <w:rsid w:val="00AE2E50"/>
    <w:rsid w:val="00AE31AF"/>
    <w:rsid w:val="00AE58B8"/>
    <w:rsid w:val="00AE5948"/>
    <w:rsid w:val="00AF00C1"/>
    <w:rsid w:val="00AF0B91"/>
    <w:rsid w:val="00AF0B93"/>
    <w:rsid w:val="00AF0E09"/>
    <w:rsid w:val="00AF381F"/>
    <w:rsid w:val="00AF38BF"/>
    <w:rsid w:val="00AF522C"/>
    <w:rsid w:val="00AF5297"/>
    <w:rsid w:val="00AF584E"/>
    <w:rsid w:val="00AF6B87"/>
    <w:rsid w:val="00AF6D59"/>
    <w:rsid w:val="00B00230"/>
    <w:rsid w:val="00B00AF0"/>
    <w:rsid w:val="00B01FDC"/>
    <w:rsid w:val="00B02546"/>
    <w:rsid w:val="00B0400E"/>
    <w:rsid w:val="00B053D1"/>
    <w:rsid w:val="00B11306"/>
    <w:rsid w:val="00B11FE9"/>
    <w:rsid w:val="00B12433"/>
    <w:rsid w:val="00B1287F"/>
    <w:rsid w:val="00B13C03"/>
    <w:rsid w:val="00B14B4F"/>
    <w:rsid w:val="00B14C46"/>
    <w:rsid w:val="00B14D75"/>
    <w:rsid w:val="00B15FA8"/>
    <w:rsid w:val="00B16067"/>
    <w:rsid w:val="00B16AD8"/>
    <w:rsid w:val="00B17516"/>
    <w:rsid w:val="00B20265"/>
    <w:rsid w:val="00B20E9B"/>
    <w:rsid w:val="00B220D1"/>
    <w:rsid w:val="00B22550"/>
    <w:rsid w:val="00B23830"/>
    <w:rsid w:val="00B24BA3"/>
    <w:rsid w:val="00B252DB"/>
    <w:rsid w:val="00B3008F"/>
    <w:rsid w:val="00B304CC"/>
    <w:rsid w:val="00B309E5"/>
    <w:rsid w:val="00B311AF"/>
    <w:rsid w:val="00B31322"/>
    <w:rsid w:val="00B32963"/>
    <w:rsid w:val="00B32B8F"/>
    <w:rsid w:val="00B338D0"/>
    <w:rsid w:val="00B34748"/>
    <w:rsid w:val="00B347CD"/>
    <w:rsid w:val="00B35D1E"/>
    <w:rsid w:val="00B364C5"/>
    <w:rsid w:val="00B37B56"/>
    <w:rsid w:val="00B37C5E"/>
    <w:rsid w:val="00B407FF"/>
    <w:rsid w:val="00B43532"/>
    <w:rsid w:val="00B44B34"/>
    <w:rsid w:val="00B4665F"/>
    <w:rsid w:val="00B46F06"/>
    <w:rsid w:val="00B52115"/>
    <w:rsid w:val="00B52806"/>
    <w:rsid w:val="00B566BD"/>
    <w:rsid w:val="00B57605"/>
    <w:rsid w:val="00B600F4"/>
    <w:rsid w:val="00B60F2F"/>
    <w:rsid w:val="00B61818"/>
    <w:rsid w:val="00B61F22"/>
    <w:rsid w:val="00B632B1"/>
    <w:rsid w:val="00B64656"/>
    <w:rsid w:val="00B64B16"/>
    <w:rsid w:val="00B65881"/>
    <w:rsid w:val="00B65B5E"/>
    <w:rsid w:val="00B67FF5"/>
    <w:rsid w:val="00B704E1"/>
    <w:rsid w:val="00B7098D"/>
    <w:rsid w:val="00B7138B"/>
    <w:rsid w:val="00B720BF"/>
    <w:rsid w:val="00B735A7"/>
    <w:rsid w:val="00B735D1"/>
    <w:rsid w:val="00B744C7"/>
    <w:rsid w:val="00B74B7B"/>
    <w:rsid w:val="00B76106"/>
    <w:rsid w:val="00B765D5"/>
    <w:rsid w:val="00B769C1"/>
    <w:rsid w:val="00B76B5E"/>
    <w:rsid w:val="00B77F5D"/>
    <w:rsid w:val="00B806C9"/>
    <w:rsid w:val="00B81D85"/>
    <w:rsid w:val="00B81F66"/>
    <w:rsid w:val="00B8388E"/>
    <w:rsid w:val="00B85724"/>
    <w:rsid w:val="00B86867"/>
    <w:rsid w:val="00B86FCE"/>
    <w:rsid w:val="00B87F94"/>
    <w:rsid w:val="00B901EB"/>
    <w:rsid w:val="00B907CA"/>
    <w:rsid w:val="00B9208B"/>
    <w:rsid w:val="00B9221A"/>
    <w:rsid w:val="00B936C1"/>
    <w:rsid w:val="00B946B3"/>
    <w:rsid w:val="00B94B45"/>
    <w:rsid w:val="00B9502E"/>
    <w:rsid w:val="00B95527"/>
    <w:rsid w:val="00B9599F"/>
    <w:rsid w:val="00B96673"/>
    <w:rsid w:val="00B97999"/>
    <w:rsid w:val="00BA0936"/>
    <w:rsid w:val="00BA217D"/>
    <w:rsid w:val="00BA26EA"/>
    <w:rsid w:val="00BA3CD4"/>
    <w:rsid w:val="00BA4277"/>
    <w:rsid w:val="00BB61AA"/>
    <w:rsid w:val="00BB692C"/>
    <w:rsid w:val="00BC0A51"/>
    <w:rsid w:val="00BC0A55"/>
    <w:rsid w:val="00BC0B0C"/>
    <w:rsid w:val="00BC1696"/>
    <w:rsid w:val="00BC2D37"/>
    <w:rsid w:val="00BC3B48"/>
    <w:rsid w:val="00BC3E38"/>
    <w:rsid w:val="00BC5473"/>
    <w:rsid w:val="00BC549F"/>
    <w:rsid w:val="00BC5B03"/>
    <w:rsid w:val="00BC7AFC"/>
    <w:rsid w:val="00BD00E8"/>
    <w:rsid w:val="00BD130F"/>
    <w:rsid w:val="00BD182B"/>
    <w:rsid w:val="00BD1A2F"/>
    <w:rsid w:val="00BD2493"/>
    <w:rsid w:val="00BD43DE"/>
    <w:rsid w:val="00BD4FD4"/>
    <w:rsid w:val="00BD5575"/>
    <w:rsid w:val="00BD5969"/>
    <w:rsid w:val="00BE0A69"/>
    <w:rsid w:val="00BE2F1C"/>
    <w:rsid w:val="00BE3470"/>
    <w:rsid w:val="00BE348A"/>
    <w:rsid w:val="00BE487F"/>
    <w:rsid w:val="00BE6850"/>
    <w:rsid w:val="00BF5431"/>
    <w:rsid w:val="00BF5702"/>
    <w:rsid w:val="00BF6DD9"/>
    <w:rsid w:val="00C001DE"/>
    <w:rsid w:val="00C00309"/>
    <w:rsid w:val="00C00BCC"/>
    <w:rsid w:val="00C00F80"/>
    <w:rsid w:val="00C01552"/>
    <w:rsid w:val="00C0308C"/>
    <w:rsid w:val="00C0439B"/>
    <w:rsid w:val="00C04EC9"/>
    <w:rsid w:val="00C052E4"/>
    <w:rsid w:val="00C06E39"/>
    <w:rsid w:val="00C07541"/>
    <w:rsid w:val="00C12619"/>
    <w:rsid w:val="00C1338E"/>
    <w:rsid w:val="00C15742"/>
    <w:rsid w:val="00C16C62"/>
    <w:rsid w:val="00C20032"/>
    <w:rsid w:val="00C20121"/>
    <w:rsid w:val="00C21E98"/>
    <w:rsid w:val="00C22DC2"/>
    <w:rsid w:val="00C23A19"/>
    <w:rsid w:val="00C23B0D"/>
    <w:rsid w:val="00C2496D"/>
    <w:rsid w:val="00C26D09"/>
    <w:rsid w:val="00C30A43"/>
    <w:rsid w:val="00C3247F"/>
    <w:rsid w:val="00C324C4"/>
    <w:rsid w:val="00C3289D"/>
    <w:rsid w:val="00C332C5"/>
    <w:rsid w:val="00C378A4"/>
    <w:rsid w:val="00C406FE"/>
    <w:rsid w:val="00C43A24"/>
    <w:rsid w:val="00C445B3"/>
    <w:rsid w:val="00C46637"/>
    <w:rsid w:val="00C47389"/>
    <w:rsid w:val="00C50A40"/>
    <w:rsid w:val="00C524FD"/>
    <w:rsid w:val="00C533EC"/>
    <w:rsid w:val="00C53DA6"/>
    <w:rsid w:val="00C54861"/>
    <w:rsid w:val="00C5498D"/>
    <w:rsid w:val="00C564A2"/>
    <w:rsid w:val="00C577BF"/>
    <w:rsid w:val="00C57B3C"/>
    <w:rsid w:val="00C6036A"/>
    <w:rsid w:val="00C60A5B"/>
    <w:rsid w:val="00C60F14"/>
    <w:rsid w:val="00C61EEF"/>
    <w:rsid w:val="00C629EB"/>
    <w:rsid w:val="00C63F46"/>
    <w:rsid w:val="00C64375"/>
    <w:rsid w:val="00C64E69"/>
    <w:rsid w:val="00C65102"/>
    <w:rsid w:val="00C65198"/>
    <w:rsid w:val="00C65B17"/>
    <w:rsid w:val="00C66142"/>
    <w:rsid w:val="00C6635A"/>
    <w:rsid w:val="00C66693"/>
    <w:rsid w:val="00C6683B"/>
    <w:rsid w:val="00C67E7C"/>
    <w:rsid w:val="00C70069"/>
    <w:rsid w:val="00C7185C"/>
    <w:rsid w:val="00C74F31"/>
    <w:rsid w:val="00C76EB7"/>
    <w:rsid w:val="00C77353"/>
    <w:rsid w:val="00C77854"/>
    <w:rsid w:val="00C82016"/>
    <w:rsid w:val="00C8212B"/>
    <w:rsid w:val="00C85BA0"/>
    <w:rsid w:val="00C87CEA"/>
    <w:rsid w:val="00C90067"/>
    <w:rsid w:val="00C90F61"/>
    <w:rsid w:val="00C9183F"/>
    <w:rsid w:val="00C92203"/>
    <w:rsid w:val="00C94759"/>
    <w:rsid w:val="00C95E13"/>
    <w:rsid w:val="00C96C6F"/>
    <w:rsid w:val="00CA0D47"/>
    <w:rsid w:val="00CA0FAB"/>
    <w:rsid w:val="00CA1800"/>
    <w:rsid w:val="00CA19E5"/>
    <w:rsid w:val="00CA24C1"/>
    <w:rsid w:val="00CA26C4"/>
    <w:rsid w:val="00CA29E3"/>
    <w:rsid w:val="00CA40E1"/>
    <w:rsid w:val="00CA4566"/>
    <w:rsid w:val="00CA4C96"/>
    <w:rsid w:val="00CA58FC"/>
    <w:rsid w:val="00CA6EB7"/>
    <w:rsid w:val="00CA757A"/>
    <w:rsid w:val="00CB0075"/>
    <w:rsid w:val="00CB4CC7"/>
    <w:rsid w:val="00CB6A55"/>
    <w:rsid w:val="00CB7BB7"/>
    <w:rsid w:val="00CB7BCE"/>
    <w:rsid w:val="00CC2B0B"/>
    <w:rsid w:val="00CC2C50"/>
    <w:rsid w:val="00CC2C94"/>
    <w:rsid w:val="00CC2F60"/>
    <w:rsid w:val="00CC3983"/>
    <w:rsid w:val="00CC67A1"/>
    <w:rsid w:val="00CC78BD"/>
    <w:rsid w:val="00CD0EE9"/>
    <w:rsid w:val="00CD22E8"/>
    <w:rsid w:val="00CD3365"/>
    <w:rsid w:val="00CD44EF"/>
    <w:rsid w:val="00CD5BC4"/>
    <w:rsid w:val="00CD731A"/>
    <w:rsid w:val="00CE2941"/>
    <w:rsid w:val="00CE294E"/>
    <w:rsid w:val="00CE4107"/>
    <w:rsid w:val="00CE61F1"/>
    <w:rsid w:val="00CE6B67"/>
    <w:rsid w:val="00CF0DE0"/>
    <w:rsid w:val="00CF11AD"/>
    <w:rsid w:val="00CF3E31"/>
    <w:rsid w:val="00CF4E88"/>
    <w:rsid w:val="00CF4E8D"/>
    <w:rsid w:val="00CF56A3"/>
    <w:rsid w:val="00CF6E08"/>
    <w:rsid w:val="00CF6F02"/>
    <w:rsid w:val="00D02681"/>
    <w:rsid w:val="00D04FD6"/>
    <w:rsid w:val="00D051C2"/>
    <w:rsid w:val="00D06276"/>
    <w:rsid w:val="00D07243"/>
    <w:rsid w:val="00D123BA"/>
    <w:rsid w:val="00D1278F"/>
    <w:rsid w:val="00D14DAA"/>
    <w:rsid w:val="00D1644D"/>
    <w:rsid w:val="00D165A4"/>
    <w:rsid w:val="00D16D23"/>
    <w:rsid w:val="00D16DDF"/>
    <w:rsid w:val="00D1783B"/>
    <w:rsid w:val="00D206AF"/>
    <w:rsid w:val="00D20CE4"/>
    <w:rsid w:val="00D21F8C"/>
    <w:rsid w:val="00D221AC"/>
    <w:rsid w:val="00D22ACA"/>
    <w:rsid w:val="00D26070"/>
    <w:rsid w:val="00D26489"/>
    <w:rsid w:val="00D27353"/>
    <w:rsid w:val="00D30D0F"/>
    <w:rsid w:val="00D3177B"/>
    <w:rsid w:val="00D31D54"/>
    <w:rsid w:val="00D33F73"/>
    <w:rsid w:val="00D35A5C"/>
    <w:rsid w:val="00D36F8F"/>
    <w:rsid w:val="00D37AF5"/>
    <w:rsid w:val="00D40E0F"/>
    <w:rsid w:val="00D421B3"/>
    <w:rsid w:val="00D42CC9"/>
    <w:rsid w:val="00D42E35"/>
    <w:rsid w:val="00D4319C"/>
    <w:rsid w:val="00D446D6"/>
    <w:rsid w:val="00D47964"/>
    <w:rsid w:val="00D47CD9"/>
    <w:rsid w:val="00D50DDE"/>
    <w:rsid w:val="00D514D0"/>
    <w:rsid w:val="00D515BF"/>
    <w:rsid w:val="00D51B52"/>
    <w:rsid w:val="00D53BF3"/>
    <w:rsid w:val="00D53FD3"/>
    <w:rsid w:val="00D54716"/>
    <w:rsid w:val="00D60174"/>
    <w:rsid w:val="00D624DF"/>
    <w:rsid w:val="00D634E7"/>
    <w:rsid w:val="00D662C0"/>
    <w:rsid w:val="00D70B66"/>
    <w:rsid w:val="00D70F97"/>
    <w:rsid w:val="00D72D4B"/>
    <w:rsid w:val="00D73A0B"/>
    <w:rsid w:val="00D758E9"/>
    <w:rsid w:val="00D762A4"/>
    <w:rsid w:val="00D762ED"/>
    <w:rsid w:val="00D800CA"/>
    <w:rsid w:val="00D80D20"/>
    <w:rsid w:val="00D81620"/>
    <w:rsid w:val="00D830A1"/>
    <w:rsid w:val="00D8340E"/>
    <w:rsid w:val="00D84752"/>
    <w:rsid w:val="00D84A5A"/>
    <w:rsid w:val="00D902CF"/>
    <w:rsid w:val="00D9040C"/>
    <w:rsid w:val="00D90D51"/>
    <w:rsid w:val="00D91806"/>
    <w:rsid w:val="00D91980"/>
    <w:rsid w:val="00D92E99"/>
    <w:rsid w:val="00D948E5"/>
    <w:rsid w:val="00D959CF"/>
    <w:rsid w:val="00D95D51"/>
    <w:rsid w:val="00D97CB7"/>
    <w:rsid w:val="00DA0812"/>
    <w:rsid w:val="00DA328F"/>
    <w:rsid w:val="00DA449E"/>
    <w:rsid w:val="00DA4A4F"/>
    <w:rsid w:val="00DA5983"/>
    <w:rsid w:val="00DA6556"/>
    <w:rsid w:val="00DA680B"/>
    <w:rsid w:val="00DB37DC"/>
    <w:rsid w:val="00DB59D0"/>
    <w:rsid w:val="00DB7A14"/>
    <w:rsid w:val="00DB7ADD"/>
    <w:rsid w:val="00DC072B"/>
    <w:rsid w:val="00DC1D6A"/>
    <w:rsid w:val="00DC253B"/>
    <w:rsid w:val="00DC4F8B"/>
    <w:rsid w:val="00DC686D"/>
    <w:rsid w:val="00DC7659"/>
    <w:rsid w:val="00DC7C5F"/>
    <w:rsid w:val="00DD031B"/>
    <w:rsid w:val="00DD178F"/>
    <w:rsid w:val="00DD1ED5"/>
    <w:rsid w:val="00DD34A2"/>
    <w:rsid w:val="00DD3637"/>
    <w:rsid w:val="00DD3CDA"/>
    <w:rsid w:val="00DD535A"/>
    <w:rsid w:val="00DD67A7"/>
    <w:rsid w:val="00DD6D38"/>
    <w:rsid w:val="00DD6E3C"/>
    <w:rsid w:val="00DE19B8"/>
    <w:rsid w:val="00DE481C"/>
    <w:rsid w:val="00DE4C3C"/>
    <w:rsid w:val="00DE4CF6"/>
    <w:rsid w:val="00DE5AA5"/>
    <w:rsid w:val="00DE688E"/>
    <w:rsid w:val="00DE6A86"/>
    <w:rsid w:val="00DE78D2"/>
    <w:rsid w:val="00DF0F61"/>
    <w:rsid w:val="00DF1A76"/>
    <w:rsid w:val="00DF3479"/>
    <w:rsid w:val="00DF4358"/>
    <w:rsid w:val="00DF4E1A"/>
    <w:rsid w:val="00DF53C7"/>
    <w:rsid w:val="00DF53EA"/>
    <w:rsid w:val="00E000D7"/>
    <w:rsid w:val="00E04C64"/>
    <w:rsid w:val="00E04D56"/>
    <w:rsid w:val="00E060BD"/>
    <w:rsid w:val="00E06C02"/>
    <w:rsid w:val="00E07352"/>
    <w:rsid w:val="00E10365"/>
    <w:rsid w:val="00E14B85"/>
    <w:rsid w:val="00E1586A"/>
    <w:rsid w:val="00E159F0"/>
    <w:rsid w:val="00E15E84"/>
    <w:rsid w:val="00E16351"/>
    <w:rsid w:val="00E21ABC"/>
    <w:rsid w:val="00E21F40"/>
    <w:rsid w:val="00E22186"/>
    <w:rsid w:val="00E246A0"/>
    <w:rsid w:val="00E24CB6"/>
    <w:rsid w:val="00E2735F"/>
    <w:rsid w:val="00E30181"/>
    <w:rsid w:val="00E306C5"/>
    <w:rsid w:val="00E32D1C"/>
    <w:rsid w:val="00E3345C"/>
    <w:rsid w:val="00E335F6"/>
    <w:rsid w:val="00E33F8A"/>
    <w:rsid w:val="00E37512"/>
    <w:rsid w:val="00E37693"/>
    <w:rsid w:val="00E377EA"/>
    <w:rsid w:val="00E408CC"/>
    <w:rsid w:val="00E41463"/>
    <w:rsid w:val="00E42826"/>
    <w:rsid w:val="00E4564A"/>
    <w:rsid w:val="00E46487"/>
    <w:rsid w:val="00E47285"/>
    <w:rsid w:val="00E47771"/>
    <w:rsid w:val="00E51A68"/>
    <w:rsid w:val="00E52DE6"/>
    <w:rsid w:val="00E52FC4"/>
    <w:rsid w:val="00E55A8D"/>
    <w:rsid w:val="00E6097D"/>
    <w:rsid w:val="00E6239F"/>
    <w:rsid w:val="00E6393B"/>
    <w:rsid w:val="00E64131"/>
    <w:rsid w:val="00E648EF"/>
    <w:rsid w:val="00E6572E"/>
    <w:rsid w:val="00E65AA3"/>
    <w:rsid w:val="00E6755C"/>
    <w:rsid w:val="00E7257B"/>
    <w:rsid w:val="00E72FAF"/>
    <w:rsid w:val="00E74001"/>
    <w:rsid w:val="00E74676"/>
    <w:rsid w:val="00E75C4C"/>
    <w:rsid w:val="00E801F3"/>
    <w:rsid w:val="00E80666"/>
    <w:rsid w:val="00E8070D"/>
    <w:rsid w:val="00E830EC"/>
    <w:rsid w:val="00E832D8"/>
    <w:rsid w:val="00E8348D"/>
    <w:rsid w:val="00E83955"/>
    <w:rsid w:val="00E83A56"/>
    <w:rsid w:val="00E84E4C"/>
    <w:rsid w:val="00E8500D"/>
    <w:rsid w:val="00E86F2F"/>
    <w:rsid w:val="00E8705D"/>
    <w:rsid w:val="00E90FEF"/>
    <w:rsid w:val="00E9105E"/>
    <w:rsid w:val="00E91DC7"/>
    <w:rsid w:val="00E9314B"/>
    <w:rsid w:val="00E95131"/>
    <w:rsid w:val="00E960B9"/>
    <w:rsid w:val="00E969F7"/>
    <w:rsid w:val="00E97A33"/>
    <w:rsid w:val="00EA0544"/>
    <w:rsid w:val="00EA140D"/>
    <w:rsid w:val="00EA6C98"/>
    <w:rsid w:val="00EA6D69"/>
    <w:rsid w:val="00EA7143"/>
    <w:rsid w:val="00EA7F03"/>
    <w:rsid w:val="00EB0EE0"/>
    <w:rsid w:val="00EB1062"/>
    <w:rsid w:val="00EB1AC9"/>
    <w:rsid w:val="00EB2342"/>
    <w:rsid w:val="00EB26F0"/>
    <w:rsid w:val="00EB2BD0"/>
    <w:rsid w:val="00EB2FAF"/>
    <w:rsid w:val="00EB6F83"/>
    <w:rsid w:val="00EB7127"/>
    <w:rsid w:val="00EC068F"/>
    <w:rsid w:val="00EC0972"/>
    <w:rsid w:val="00EC140B"/>
    <w:rsid w:val="00EC44FB"/>
    <w:rsid w:val="00EC53F2"/>
    <w:rsid w:val="00EC6CA0"/>
    <w:rsid w:val="00EC6E8B"/>
    <w:rsid w:val="00ED0AF3"/>
    <w:rsid w:val="00ED0F36"/>
    <w:rsid w:val="00ED182A"/>
    <w:rsid w:val="00ED2323"/>
    <w:rsid w:val="00ED4080"/>
    <w:rsid w:val="00ED40D6"/>
    <w:rsid w:val="00ED4275"/>
    <w:rsid w:val="00ED4306"/>
    <w:rsid w:val="00ED43B5"/>
    <w:rsid w:val="00ED448F"/>
    <w:rsid w:val="00ED4745"/>
    <w:rsid w:val="00ED5533"/>
    <w:rsid w:val="00ED6597"/>
    <w:rsid w:val="00ED7D7E"/>
    <w:rsid w:val="00EE067B"/>
    <w:rsid w:val="00EE0C2F"/>
    <w:rsid w:val="00EE200B"/>
    <w:rsid w:val="00EE24DA"/>
    <w:rsid w:val="00EE3A5C"/>
    <w:rsid w:val="00EE4B94"/>
    <w:rsid w:val="00EE5689"/>
    <w:rsid w:val="00EE7BF6"/>
    <w:rsid w:val="00EF0311"/>
    <w:rsid w:val="00EF1968"/>
    <w:rsid w:val="00EF227E"/>
    <w:rsid w:val="00EF240C"/>
    <w:rsid w:val="00EF2532"/>
    <w:rsid w:val="00EF2E18"/>
    <w:rsid w:val="00EF2FEB"/>
    <w:rsid w:val="00EF38B9"/>
    <w:rsid w:val="00EF4B29"/>
    <w:rsid w:val="00EF530A"/>
    <w:rsid w:val="00EF6843"/>
    <w:rsid w:val="00EF71C6"/>
    <w:rsid w:val="00EF79FC"/>
    <w:rsid w:val="00F00840"/>
    <w:rsid w:val="00F025EB"/>
    <w:rsid w:val="00F02E2D"/>
    <w:rsid w:val="00F034D5"/>
    <w:rsid w:val="00F03F26"/>
    <w:rsid w:val="00F0423B"/>
    <w:rsid w:val="00F07D3C"/>
    <w:rsid w:val="00F07DD0"/>
    <w:rsid w:val="00F07DD5"/>
    <w:rsid w:val="00F10368"/>
    <w:rsid w:val="00F10C9E"/>
    <w:rsid w:val="00F10D63"/>
    <w:rsid w:val="00F118EF"/>
    <w:rsid w:val="00F13025"/>
    <w:rsid w:val="00F1356E"/>
    <w:rsid w:val="00F15515"/>
    <w:rsid w:val="00F15693"/>
    <w:rsid w:val="00F16B58"/>
    <w:rsid w:val="00F2103B"/>
    <w:rsid w:val="00F22708"/>
    <w:rsid w:val="00F230D9"/>
    <w:rsid w:val="00F24639"/>
    <w:rsid w:val="00F26A74"/>
    <w:rsid w:val="00F26DB7"/>
    <w:rsid w:val="00F31863"/>
    <w:rsid w:val="00F31E13"/>
    <w:rsid w:val="00F33145"/>
    <w:rsid w:val="00F33CAF"/>
    <w:rsid w:val="00F35EF7"/>
    <w:rsid w:val="00F35F57"/>
    <w:rsid w:val="00F40A80"/>
    <w:rsid w:val="00F42100"/>
    <w:rsid w:val="00F42449"/>
    <w:rsid w:val="00F45003"/>
    <w:rsid w:val="00F5160C"/>
    <w:rsid w:val="00F51A5C"/>
    <w:rsid w:val="00F528B5"/>
    <w:rsid w:val="00F5481A"/>
    <w:rsid w:val="00F54823"/>
    <w:rsid w:val="00F554F4"/>
    <w:rsid w:val="00F568A1"/>
    <w:rsid w:val="00F56DA1"/>
    <w:rsid w:val="00F57516"/>
    <w:rsid w:val="00F61C85"/>
    <w:rsid w:val="00F62699"/>
    <w:rsid w:val="00F63FD6"/>
    <w:rsid w:val="00F64494"/>
    <w:rsid w:val="00F659B7"/>
    <w:rsid w:val="00F67E41"/>
    <w:rsid w:val="00F67EBD"/>
    <w:rsid w:val="00F70D23"/>
    <w:rsid w:val="00F70EA7"/>
    <w:rsid w:val="00F70F53"/>
    <w:rsid w:val="00F71F04"/>
    <w:rsid w:val="00F72110"/>
    <w:rsid w:val="00F72244"/>
    <w:rsid w:val="00F723CD"/>
    <w:rsid w:val="00F72986"/>
    <w:rsid w:val="00F74DF7"/>
    <w:rsid w:val="00F75BD3"/>
    <w:rsid w:val="00F76371"/>
    <w:rsid w:val="00F80060"/>
    <w:rsid w:val="00F800E1"/>
    <w:rsid w:val="00F80F3E"/>
    <w:rsid w:val="00F83332"/>
    <w:rsid w:val="00F83DAA"/>
    <w:rsid w:val="00F856C4"/>
    <w:rsid w:val="00F8716F"/>
    <w:rsid w:val="00F873EF"/>
    <w:rsid w:val="00F906E1"/>
    <w:rsid w:val="00F91D0A"/>
    <w:rsid w:val="00F92021"/>
    <w:rsid w:val="00F92616"/>
    <w:rsid w:val="00F92814"/>
    <w:rsid w:val="00F93A96"/>
    <w:rsid w:val="00F94AA3"/>
    <w:rsid w:val="00F952F8"/>
    <w:rsid w:val="00F957C3"/>
    <w:rsid w:val="00F95BC5"/>
    <w:rsid w:val="00F97BD0"/>
    <w:rsid w:val="00FA06F3"/>
    <w:rsid w:val="00FA0A4E"/>
    <w:rsid w:val="00FA1312"/>
    <w:rsid w:val="00FA2A46"/>
    <w:rsid w:val="00FA4F28"/>
    <w:rsid w:val="00FA60D2"/>
    <w:rsid w:val="00FA6428"/>
    <w:rsid w:val="00FA6974"/>
    <w:rsid w:val="00FA78D8"/>
    <w:rsid w:val="00FA79E5"/>
    <w:rsid w:val="00FB1190"/>
    <w:rsid w:val="00FB12C8"/>
    <w:rsid w:val="00FB1E4F"/>
    <w:rsid w:val="00FB27DD"/>
    <w:rsid w:val="00FB335D"/>
    <w:rsid w:val="00FB33E1"/>
    <w:rsid w:val="00FB3456"/>
    <w:rsid w:val="00FB4354"/>
    <w:rsid w:val="00FB4565"/>
    <w:rsid w:val="00FB52C5"/>
    <w:rsid w:val="00FB6CBE"/>
    <w:rsid w:val="00FB7CE0"/>
    <w:rsid w:val="00FC029D"/>
    <w:rsid w:val="00FC3EBC"/>
    <w:rsid w:val="00FC3FB6"/>
    <w:rsid w:val="00FC49AE"/>
    <w:rsid w:val="00FC4D19"/>
    <w:rsid w:val="00FC4F62"/>
    <w:rsid w:val="00FD0357"/>
    <w:rsid w:val="00FD32AD"/>
    <w:rsid w:val="00FD343E"/>
    <w:rsid w:val="00FD4A50"/>
    <w:rsid w:val="00FD524C"/>
    <w:rsid w:val="00FD69E8"/>
    <w:rsid w:val="00FE19D7"/>
    <w:rsid w:val="00FE26EC"/>
    <w:rsid w:val="00FE39B5"/>
    <w:rsid w:val="00FE68A4"/>
    <w:rsid w:val="00FF0820"/>
    <w:rsid w:val="00FF0908"/>
    <w:rsid w:val="00FF1185"/>
    <w:rsid w:val="00FF376D"/>
    <w:rsid w:val="00FF59A0"/>
    <w:rsid w:val="00FF6211"/>
    <w:rsid w:val="01F1268E"/>
    <w:rsid w:val="035B1CE5"/>
    <w:rsid w:val="03802AE2"/>
    <w:rsid w:val="03DA48E8"/>
    <w:rsid w:val="040D00EE"/>
    <w:rsid w:val="04101BB7"/>
    <w:rsid w:val="04473845"/>
    <w:rsid w:val="045E5F40"/>
    <w:rsid w:val="050B1CD4"/>
    <w:rsid w:val="056C3840"/>
    <w:rsid w:val="057A317B"/>
    <w:rsid w:val="05A827C4"/>
    <w:rsid w:val="06140FA3"/>
    <w:rsid w:val="062D71EF"/>
    <w:rsid w:val="06983EAA"/>
    <w:rsid w:val="07541337"/>
    <w:rsid w:val="076E7D1A"/>
    <w:rsid w:val="080C6B6A"/>
    <w:rsid w:val="08527FDE"/>
    <w:rsid w:val="08585DDB"/>
    <w:rsid w:val="08710382"/>
    <w:rsid w:val="08756B82"/>
    <w:rsid w:val="08852948"/>
    <w:rsid w:val="09176551"/>
    <w:rsid w:val="09516E1B"/>
    <w:rsid w:val="0961574F"/>
    <w:rsid w:val="096477B1"/>
    <w:rsid w:val="09685EAB"/>
    <w:rsid w:val="0A6C3DC0"/>
    <w:rsid w:val="0A7D7D7B"/>
    <w:rsid w:val="0ACE6142"/>
    <w:rsid w:val="0AD34DE7"/>
    <w:rsid w:val="0AEF0818"/>
    <w:rsid w:val="0B26707E"/>
    <w:rsid w:val="0B79172B"/>
    <w:rsid w:val="0C4E7E44"/>
    <w:rsid w:val="0CA86EA2"/>
    <w:rsid w:val="0CB3217A"/>
    <w:rsid w:val="0CB952B6"/>
    <w:rsid w:val="0CBB595F"/>
    <w:rsid w:val="0CDC0FD4"/>
    <w:rsid w:val="0D046461"/>
    <w:rsid w:val="0D9F6EC3"/>
    <w:rsid w:val="0DE70FA6"/>
    <w:rsid w:val="0DF540CC"/>
    <w:rsid w:val="0DFF4F4B"/>
    <w:rsid w:val="0E025D48"/>
    <w:rsid w:val="0EA121B2"/>
    <w:rsid w:val="0F857FF2"/>
    <w:rsid w:val="0FBD50BE"/>
    <w:rsid w:val="10221EE0"/>
    <w:rsid w:val="10831B57"/>
    <w:rsid w:val="10D61D5D"/>
    <w:rsid w:val="11023B11"/>
    <w:rsid w:val="11750FCE"/>
    <w:rsid w:val="1188307C"/>
    <w:rsid w:val="118C15CB"/>
    <w:rsid w:val="11B7101A"/>
    <w:rsid w:val="11FE48A3"/>
    <w:rsid w:val="121F3E0E"/>
    <w:rsid w:val="12791770"/>
    <w:rsid w:val="12A87F3E"/>
    <w:rsid w:val="133E2072"/>
    <w:rsid w:val="134648AC"/>
    <w:rsid w:val="14BE3DB2"/>
    <w:rsid w:val="14C70E41"/>
    <w:rsid w:val="15490462"/>
    <w:rsid w:val="15507A0D"/>
    <w:rsid w:val="159468C1"/>
    <w:rsid w:val="16130806"/>
    <w:rsid w:val="168B7CC4"/>
    <w:rsid w:val="16A02C0C"/>
    <w:rsid w:val="179523B6"/>
    <w:rsid w:val="17C27715"/>
    <w:rsid w:val="17CC2342"/>
    <w:rsid w:val="18427A2F"/>
    <w:rsid w:val="190F1F44"/>
    <w:rsid w:val="19372BDB"/>
    <w:rsid w:val="199A06F6"/>
    <w:rsid w:val="1A3B246E"/>
    <w:rsid w:val="1A5E03B7"/>
    <w:rsid w:val="1A6C38E4"/>
    <w:rsid w:val="1A82367B"/>
    <w:rsid w:val="1AE11AA8"/>
    <w:rsid w:val="1AF71B85"/>
    <w:rsid w:val="1B812E7F"/>
    <w:rsid w:val="1BCE21DA"/>
    <w:rsid w:val="1C0E117B"/>
    <w:rsid w:val="1C762014"/>
    <w:rsid w:val="1C7C095D"/>
    <w:rsid w:val="1D20523A"/>
    <w:rsid w:val="1DB64506"/>
    <w:rsid w:val="1DFA7398"/>
    <w:rsid w:val="1EC208A6"/>
    <w:rsid w:val="1F2C467B"/>
    <w:rsid w:val="1F2C66A0"/>
    <w:rsid w:val="1F3955A2"/>
    <w:rsid w:val="1F3F5AEF"/>
    <w:rsid w:val="1F933A28"/>
    <w:rsid w:val="1FBF453A"/>
    <w:rsid w:val="1FD01D46"/>
    <w:rsid w:val="20224B7E"/>
    <w:rsid w:val="20230F6D"/>
    <w:rsid w:val="202D6FD9"/>
    <w:rsid w:val="20E562DB"/>
    <w:rsid w:val="217615D6"/>
    <w:rsid w:val="21AB155E"/>
    <w:rsid w:val="21BD3BC6"/>
    <w:rsid w:val="21E36440"/>
    <w:rsid w:val="22475571"/>
    <w:rsid w:val="229E55CA"/>
    <w:rsid w:val="22B568E0"/>
    <w:rsid w:val="22D87DED"/>
    <w:rsid w:val="23024E6A"/>
    <w:rsid w:val="23882EC3"/>
    <w:rsid w:val="239E04F4"/>
    <w:rsid w:val="23EC05FD"/>
    <w:rsid w:val="24145500"/>
    <w:rsid w:val="24315E72"/>
    <w:rsid w:val="2453425F"/>
    <w:rsid w:val="2455266F"/>
    <w:rsid w:val="24F86524"/>
    <w:rsid w:val="25070E5D"/>
    <w:rsid w:val="26525C14"/>
    <w:rsid w:val="26897FBF"/>
    <w:rsid w:val="268A665F"/>
    <w:rsid w:val="26E94BFE"/>
    <w:rsid w:val="26EA5893"/>
    <w:rsid w:val="270C275B"/>
    <w:rsid w:val="27147ED7"/>
    <w:rsid w:val="272F3148"/>
    <w:rsid w:val="273F5CF0"/>
    <w:rsid w:val="274C6D44"/>
    <w:rsid w:val="278B601D"/>
    <w:rsid w:val="27B02758"/>
    <w:rsid w:val="27D01665"/>
    <w:rsid w:val="28027E72"/>
    <w:rsid w:val="28965108"/>
    <w:rsid w:val="28E03E9F"/>
    <w:rsid w:val="296543A4"/>
    <w:rsid w:val="297F777F"/>
    <w:rsid w:val="2A3359D7"/>
    <w:rsid w:val="2A675BA0"/>
    <w:rsid w:val="2A7A2160"/>
    <w:rsid w:val="2A842608"/>
    <w:rsid w:val="2AA00227"/>
    <w:rsid w:val="2B1A4DE9"/>
    <w:rsid w:val="2B3106F0"/>
    <w:rsid w:val="2B730675"/>
    <w:rsid w:val="2C3D5164"/>
    <w:rsid w:val="2C8F4731"/>
    <w:rsid w:val="2D8C5315"/>
    <w:rsid w:val="2D95643B"/>
    <w:rsid w:val="2DC773DC"/>
    <w:rsid w:val="2DE106C9"/>
    <w:rsid w:val="2E5F0C01"/>
    <w:rsid w:val="2E967332"/>
    <w:rsid w:val="2EAC6191"/>
    <w:rsid w:val="2EB72624"/>
    <w:rsid w:val="2EF94B13"/>
    <w:rsid w:val="2EFC28ED"/>
    <w:rsid w:val="2F841A5E"/>
    <w:rsid w:val="30231A6C"/>
    <w:rsid w:val="303074BA"/>
    <w:rsid w:val="30A70484"/>
    <w:rsid w:val="30DE2FB0"/>
    <w:rsid w:val="30F911F5"/>
    <w:rsid w:val="314C23D2"/>
    <w:rsid w:val="31E51DAC"/>
    <w:rsid w:val="31F12E37"/>
    <w:rsid w:val="32002A73"/>
    <w:rsid w:val="327731DE"/>
    <w:rsid w:val="32AF09F4"/>
    <w:rsid w:val="32BF53D9"/>
    <w:rsid w:val="332538EF"/>
    <w:rsid w:val="336D1887"/>
    <w:rsid w:val="339D46F8"/>
    <w:rsid w:val="343E610B"/>
    <w:rsid w:val="346B4336"/>
    <w:rsid w:val="3490195A"/>
    <w:rsid w:val="34E11C63"/>
    <w:rsid w:val="35037002"/>
    <w:rsid w:val="354F1987"/>
    <w:rsid w:val="35DA1FD3"/>
    <w:rsid w:val="360F71D3"/>
    <w:rsid w:val="36400CEB"/>
    <w:rsid w:val="3640650F"/>
    <w:rsid w:val="36913B8F"/>
    <w:rsid w:val="371B42F4"/>
    <w:rsid w:val="37AD5028"/>
    <w:rsid w:val="37F81A2D"/>
    <w:rsid w:val="38274CF5"/>
    <w:rsid w:val="38D63F87"/>
    <w:rsid w:val="38EF77E6"/>
    <w:rsid w:val="390211C1"/>
    <w:rsid w:val="391F7478"/>
    <w:rsid w:val="39E9692C"/>
    <w:rsid w:val="3A29484B"/>
    <w:rsid w:val="3AD936F8"/>
    <w:rsid w:val="3AEC01CF"/>
    <w:rsid w:val="3B297A4D"/>
    <w:rsid w:val="3B4761EF"/>
    <w:rsid w:val="3C4537E2"/>
    <w:rsid w:val="3C5C570A"/>
    <w:rsid w:val="3C5E7084"/>
    <w:rsid w:val="3C845BC8"/>
    <w:rsid w:val="3C8C4B83"/>
    <w:rsid w:val="3D014BA4"/>
    <w:rsid w:val="3D424900"/>
    <w:rsid w:val="3D776B9D"/>
    <w:rsid w:val="3D7F7370"/>
    <w:rsid w:val="3DD27E02"/>
    <w:rsid w:val="3E595E0B"/>
    <w:rsid w:val="3EC62C18"/>
    <w:rsid w:val="3F195722"/>
    <w:rsid w:val="3F8D0EF7"/>
    <w:rsid w:val="3FC6067B"/>
    <w:rsid w:val="3FCC4E39"/>
    <w:rsid w:val="401E545D"/>
    <w:rsid w:val="40377C2C"/>
    <w:rsid w:val="40577F27"/>
    <w:rsid w:val="408625E5"/>
    <w:rsid w:val="40DD0AA9"/>
    <w:rsid w:val="40DE3B78"/>
    <w:rsid w:val="419E1DAA"/>
    <w:rsid w:val="41C73F5A"/>
    <w:rsid w:val="41F26E27"/>
    <w:rsid w:val="42106EA0"/>
    <w:rsid w:val="42416F43"/>
    <w:rsid w:val="424E557E"/>
    <w:rsid w:val="42B555FD"/>
    <w:rsid w:val="42D77C69"/>
    <w:rsid w:val="433B01F8"/>
    <w:rsid w:val="433C27C0"/>
    <w:rsid w:val="433E4180"/>
    <w:rsid w:val="43844A8D"/>
    <w:rsid w:val="44121145"/>
    <w:rsid w:val="443B611F"/>
    <w:rsid w:val="4454377A"/>
    <w:rsid w:val="44761B1B"/>
    <w:rsid w:val="45161C2E"/>
    <w:rsid w:val="452B1BA6"/>
    <w:rsid w:val="453273D9"/>
    <w:rsid w:val="45363794"/>
    <w:rsid w:val="456B2289"/>
    <w:rsid w:val="457A2E49"/>
    <w:rsid w:val="45EA7371"/>
    <w:rsid w:val="45FA0D0B"/>
    <w:rsid w:val="465E1E26"/>
    <w:rsid w:val="466435C2"/>
    <w:rsid w:val="46842982"/>
    <w:rsid w:val="46922B79"/>
    <w:rsid w:val="46B310A6"/>
    <w:rsid w:val="46F954C9"/>
    <w:rsid w:val="475102B3"/>
    <w:rsid w:val="47563FD7"/>
    <w:rsid w:val="476E4BBE"/>
    <w:rsid w:val="47703CF4"/>
    <w:rsid w:val="485A2984"/>
    <w:rsid w:val="4890441B"/>
    <w:rsid w:val="489650B8"/>
    <w:rsid w:val="48AB1789"/>
    <w:rsid w:val="49AA023D"/>
    <w:rsid w:val="49C61CC3"/>
    <w:rsid w:val="49F41101"/>
    <w:rsid w:val="4A1368BF"/>
    <w:rsid w:val="4A722025"/>
    <w:rsid w:val="4A7F3599"/>
    <w:rsid w:val="4A8138AB"/>
    <w:rsid w:val="4B055B9B"/>
    <w:rsid w:val="4B2969B8"/>
    <w:rsid w:val="4B3C5D17"/>
    <w:rsid w:val="4BE13907"/>
    <w:rsid w:val="4C534154"/>
    <w:rsid w:val="4CA3296A"/>
    <w:rsid w:val="4CDA552C"/>
    <w:rsid w:val="4D2128EA"/>
    <w:rsid w:val="4D7B566F"/>
    <w:rsid w:val="4DE70B18"/>
    <w:rsid w:val="4E22162D"/>
    <w:rsid w:val="4E9234C3"/>
    <w:rsid w:val="4ECC43FA"/>
    <w:rsid w:val="4F330D83"/>
    <w:rsid w:val="4F464A89"/>
    <w:rsid w:val="4F6965F6"/>
    <w:rsid w:val="4F8B28CD"/>
    <w:rsid w:val="500E27F0"/>
    <w:rsid w:val="504479E3"/>
    <w:rsid w:val="505238C9"/>
    <w:rsid w:val="508B452F"/>
    <w:rsid w:val="50E6508B"/>
    <w:rsid w:val="51383FC9"/>
    <w:rsid w:val="513960E8"/>
    <w:rsid w:val="513B4BE2"/>
    <w:rsid w:val="51450494"/>
    <w:rsid w:val="518E1E3B"/>
    <w:rsid w:val="51B003BE"/>
    <w:rsid w:val="52264725"/>
    <w:rsid w:val="523E6BBC"/>
    <w:rsid w:val="52E11E52"/>
    <w:rsid w:val="534A3B3F"/>
    <w:rsid w:val="536E5A80"/>
    <w:rsid w:val="53E32C05"/>
    <w:rsid w:val="543C7C24"/>
    <w:rsid w:val="54AA1340"/>
    <w:rsid w:val="54AA4903"/>
    <w:rsid w:val="54C067AF"/>
    <w:rsid w:val="54D87473"/>
    <w:rsid w:val="551D33F2"/>
    <w:rsid w:val="558C56E0"/>
    <w:rsid w:val="56067310"/>
    <w:rsid w:val="56824254"/>
    <w:rsid w:val="56955A19"/>
    <w:rsid w:val="569E238C"/>
    <w:rsid w:val="56A56F96"/>
    <w:rsid w:val="56B20934"/>
    <w:rsid w:val="56B30171"/>
    <w:rsid w:val="571D5BC5"/>
    <w:rsid w:val="5750429E"/>
    <w:rsid w:val="57626E74"/>
    <w:rsid w:val="57E75F4D"/>
    <w:rsid w:val="58561408"/>
    <w:rsid w:val="585D3E03"/>
    <w:rsid w:val="58DB6348"/>
    <w:rsid w:val="58E9421A"/>
    <w:rsid w:val="59340387"/>
    <w:rsid w:val="593530F2"/>
    <w:rsid w:val="595C5586"/>
    <w:rsid w:val="596D0FA9"/>
    <w:rsid w:val="59F60472"/>
    <w:rsid w:val="5A043A1A"/>
    <w:rsid w:val="5A255C83"/>
    <w:rsid w:val="5A8F1E4F"/>
    <w:rsid w:val="5A953EC2"/>
    <w:rsid w:val="5AAF3F4B"/>
    <w:rsid w:val="5B142FF4"/>
    <w:rsid w:val="5B352BDD"/>
    <w:rsid w:val="5C0623D8"/>
    <w:rsid w:val="5D111E8F"/>
    <w:rsid w:val="5D610403"/>
    <w:rsid w:val="5D894017"/>
    <w:rsid w:val="5D921BFF"/>
    <w:rsid w:val="5DC5134D"/>
    <w:rsid w:val="5DC855E3"/>
    <w:rsid w:val="5DEB4609"/>
    <w:rsid w:val="5E0A4019"/>
    <w:rsid w:val="5E1016DA"/>
    <w:rsid w:val="5E77523A"/>
    <w:rsid w:val="5E9D1993"/>
    <w:rsid w:val="5F180F96"/>
    <w:rsid w:val="5FDF7524"/>
    <w:rsid w:val="5FE570CA"/>
    <w:rsid w:val="5FEC1F0A"/>
    <w:rsid w:val="606A1F45"/>
    <w:rsid w:val="613A709F"/>
    <w:rsid w:val="616F7B07"/>
    <w:rsid w:val="617B3D7A"/>
    <w:rsid w:val="61BF7825"/>
    <w:rsid w:val="621E6E07"/>
    <w:rsid w:val="6246705A"/>
    <w:rsid w:val="62710446"/>
    <w:rsid w:val="627961EF"/>
    <w:rsid w:val="62F1209D"/>
    <w:rsid w:val="631321A0"/>
    <w:rsid w:val="632E7DF1"/>
    <w:rsid w:val="6333639E"/>
    <w:rsid w:val="63420902"/>
    <w:rsid w:val="639F6592"/>
    <w:rsid w:val="63B612F2"/>
    <w:rsid w:val="63CF1338"/>
    <w:rsid w:val="63DD3DD9"/>
    <w:rsid w:val="646B4888"/>
    <w:rsid w:val="64726F43"/>
    <w:rsid w:val="64D3579B"/>
    <w:rsid w:val="64DD35B1"/>
    <w:rsid w:val="656A5114"/>
    <w:rsid w:val="658F0FA4"/>
    <w:rsid w:val="65C442FB"/>
    <w:rsid w:val="660725E3"/>
    <w:rsid w:val="661A4B91"/>
    <w:rsid w:val="665045C1"/>
    <w:rsid w:val="66620E82"/>
    <w:rsid w:val="66AA2E1B"/>
    <w:rsid w:val="66C67529"/>
    <w:rsid w:val="66DC0D0B"/>
    <w:rsid w:val="670C65D6"/>
    <w:rsid w:val="677F1909"/>
    <w:rsid w:val="67A04E3D"/>
    <w:rsid w:val="68196038"/>
    <w:rsid w:val="682C3AD4"/>
    <w:rsid w:val="68613679"/>
    <w:rsid w:val="68760E89"/>
    <w:rsid w:val="68B70904"/>
    <w:rsid w:val="68BA153C"/>
    <w:rsid w:val="68C256D8"/>
    <w:rsid w:val="68D274FB"/>
    <w:rsid w:val="69733740"/>
    <w:rsid w:val="69C45FA2"/>
    <w:rsid w:val="6A915DF3"/>
    <w:rsid w:val="6ABA5B2B"/>
    <w:rsid w:val="6B10211C"/>
    <w:rsid w:val="6B1E0BC5"/>
    <w:rsid w:val="6B264A3A"/>
    <w:rsid w:val="6B993E85"/>
    <w:rsid w:val="6BC17579"/>
    <w:rsid w:val="6C0B643D"/>
    <w:rsid w:val="6CBD4E30"/>
    <w:rsid w:val="6CD24E7A"/>
    <w:rsid w:val="6D256825"/>
    <w:rsid w:val="6D2C0311"/>
    <w:rsid w:val="6D4D22D2"/>
    <w:rsid w:val="6DBB5432"/>
    <w:rsid w:val="6DFF2788"/>
    <w:rsid w:val="6E2B0B07"/>
    <w:rsid w:val="6E4542A4"/>
    <w:rsid w:val="6F160C64"/>
    <w:rsid w:val="6F6618A9"/>
    <w:rsid w:val="6F7570E6"/>
    <w:rsid w:val="711B41E8"/>
    <w:rsid w:val="71FA5E12"/>
    <w:rsid w:val="72513B7B"/>
    <w:rsid w:val="726C367A"/>
    <w:rsid w:val="727103AB"/>
    <w:rsid w:val="72D22688"/>
    <w:rsid w:val="72D86ADC"/>
    <w:rsid w:val="72FA2A34"/>
    <w:rsid w:val="733A434A"/>
    <w:rsid w:val="73860E12"/>
    <w:rsid w:val="739015EB"/>
    <w:rsid w:val="73AA22C4"/>
    <w:rsid w:val="73F27EF4"/>
    <w:rsid w:val="744B4275"/>
    <w:rsid w:val="749271F3"/>
    <w:rsid w:val="74C8055A"/>
    <w:rsid w:val="76227727"/>
    <w:rsid w:val="762B2267"/>
    <w:rsid w:val="76B01217"/>
    <w:rsid w:val="76DB0DCF"/>
    <w:rsid w:val="77002473"/>
    <w:rsid w:val="77A21895"/>
    <w:rsid w:val="77ED0DBA"/>
    <w:rsid w:val="782D565A"/>
    <w:rsid w:val="785C701E"/>
    <w:rsid w:val="788A485A"/>
    <w:rsid w:val="78A17F26"/>
    <w:rsid w:val="78BA1A88"/>
    <w:rsid w:val="7945303A"/>
    <w:rsid w:val="795E31C8"/>
    <w:rsid w:val="79B42D63"/>
    <w:rsid w:val="79F009AB"/>
    <w:rsid w:val="79F011AD"/>
    <w:rsid w:val="7A541820"/>
    <w:rsid w:val="7AB44136"/>
    <w:rsid w:val="7AE84B59"/>
    <w:rsid w:val="7B0507CC"/>
    <w:rsid w:val="7B5C5D8A"/>
    <w:rsid w:val="7B7535A0"/>
    <w:rsid w:val="7B7725A8"/>
    <w:rsid w:val="7B881AD9"/>
    <w:rsid w:val="7BD858DD"/>
    <w:rsid w:val="7BE97AEA"/>
    <w:rsid w:val="7C580C2D"/>
    <w:rsid w:val="7C9D34C4"/>
    <w:rsid w:val="7CD335AB"/>
    <w:rsid w:val="7CED7E23"/>
    <w:rsid w:val="7D7B648E"/>
    <w:rsid w:val="7DAC0C0B"/>
    <w:rsid w:val="7E4F2F68"/>
    <w:rsid w:val="7EA65570"/>
    <w:rsid w:val="7FB46BB3"/>
    <w:rsid w:val="7FC515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68"/>
    <w:autoRedefine/>
    <w:qFormat/>
    <w:uiPriority w:val="0"/>
    <w:pPr>
      <w:keepNext/>
      <w:keepLines/>
      <w:spacing w:before="340" w:beforeLines="0" w:after="330" w:afterLines="0" w:line="360" w:lineRule="auto"/>
      <w:jc w:val="center"/>
      <w:outlineLvl w:val="0"/>
    </w:pPr>
    <w:rPr>
      <w:rFonts w:ascii="Times New Roman" w:hAnsi="Times New Roman" w:eastAsia="宋体"/>
      <w:b/>
      <w:bCs/>
      <w:kern w:val="44"/>
      <w:sz w:val="24"/>
      <w:szCs w:val="44"/>
    </w:rPr>
  </w:style>
  <w:style w:type="paragraph" w:styleId="5">
    <w:name w:val="heading 2"/>
    <w:basedOn w:val="1"/>
    <w:next w:val="1"/>
    <w:autoRedefine/>
    <w:qFormat/>
    <w:uiPriority w:val="0"/>
    <w:pPr>
      <w:keepNext/>
      <w:keepLines/>
      <w:spacing w:before="260" w:beforeLines="0" w:after="260" w:afterLines="0" w:line="240" w:lineRule="auto"/>
      <w:jc w:val="left"/>
      <w:outlineLvl w:val="1"/>
    </w:pPr>
    <w:rPr>
      <w:rFonts w:ascii="Arial" w:hAnsi="Arial" w:eastAsia="宋体"/>
      <w:b/>
      <w:bCs/>
      <w:sz w:val="24"/>
      <w:szCs w:val="32"/>
    </w:rPr>
  </w:style>
  <w:style w:type="paragraph" w:styleId="6">
    <w:name w:val="heading 3"/>
    <w:basedOn w:val="1"/>
    <w:next w:val="1"/>
    <w:autoRedefine/>
    <w:qFormat/>
    <w:uiPriority w:val="0"/>
    <w:pPr>
      <w:keepNext/>
      <w:keepLines/>
      <w:spacing w:before="260" w:beforeLines="0" w:after="260" w:afterLines="0" w:line="413" w:lineRule="auto"/>
      <w:outlineLvl w:val="2"/>
    </w:pPr>
    <w:rPr>
      <w:b/>
      <w:bCs/>
      <w:sz w:val="32"/>
      <w:szCs w:val="32"/>
    </w:rPr>
  </w:style>
  <w:style w:type="paragraph" w:styleId="7">
    <w:name w:val="heading 4"/>
    <w:basedOn w:val="1"/>
    <w:next w:val="1"/>
    <w:link w:val="69"/>
    <w:autoRedefine/>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70"/>
    <w:autoRedefine/>
    <w:qFormat/>
    <w:uiPriority w:val="0"/>
    <w:pPr>
      <w:keepNext/>
      <w:keepLines/>
      <w:spacing w:before="280" w:after="290" w:line="376" w:lineRule="auto"/>
      <w:outlineLvl w:val="4"/>
    </w:pPr>
    <w:rPr>
      <w:rFonts w:ascii="Calibri" w:hAnsi="Calibri"/>
      <w:b/>
      <w:bCs/>
      <w:sz w:val="28"/>
      <w:szCs w:val="28"/>
    </w:rPr>
  </w:style>
  <w:style w:type="paragraph" w:styleId="9">
    <w:name w:val="heading 6"/>
    <w:basedOn w:val="1"/>
    <w:next w:val="1"/>
    <w:link w:val="71"/>
    <w:autoRedefine/>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10">
    <w:name w:val="heading 7"/>
    <w:basedOn w:val="1"/>
    <w:next w:val="1"/>
    <w:link w:val="72"/>
    <w:autoRedefine/>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1">
    <w:name w:val="heading 8"/>
    <w:basedOn w:val="1"/>
    <w:next w:val="1"/>
    <w:link w:val="73"/>
    <w:autoRedefine/>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2">
    <w:name w:val="heading 9"/>
    <w:basedOn w:val="1"/>
    <w:next w:val="1"/>
    <w:link w:val="74"/>
    <w:autoRedefine/>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52">
    <w:name w:val="Default Paragraph Font"/>
    <w:autoRedefine/>
    <w:qFormat/>
    <w:uiPriority w:val="0"/>
  </w:style>
  <w:style w:type="table" w:default="1" w:styleId="5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adjustRightInd/>
      <w:spacing w:after="120" w:line="240" w:lineRule="auto"/>
      <w:ind w:firstLine="420" w:firstLineChars="100"/>
      <w:jc w:val="both"/>
    </w:pPr>
  </w:style>
  <w:style w:type="paragraph" w:styleId="3">
    <w:name w:val="Body Text"/>
    <w:basedOn w:val="1"/>
    <w:next w:val="1"/>
    <w:link w:val="78"/>
    <w:autoRedefine/>
    <w:qFormat/>
    <w:uiPriority w:val="0"/>
    <w:pPr>
      <w:jc w:val="center"/>
    </w:pPr>
    <w:rPr>
      <w:b/>
      <w:bCs/>
      <w:sz w:val="44"/>
      <w:szCs w:val="20"/>
    </w:rPr>
  </w:style>
  <w:style w:type="paragraph" w:styleId="13">
    <w:name w:val="toc 7"/>
    <w:basedOn w:val="1"/>
    <w:next w:val="1"/>
    <w:autoRedefine/>
    <w:qFormat/>
    <w:uiPriority w:val="0"/>
    <w:pPr>
      <w:ind w:left="1260"/>
      <w:jc w:val="left"/>
    </w:pPr>
    <w:rPr>
      <w:sz w:val="18"/>
      <w:szCs w:val="18"/>
    </w:rPr>
  </w:style>
  <w:style w:type="paragraph" w:styleId="14">
    <w:name w:val="Normal Indent"/>
    <w:basedOn w:val="1"/>
    <w:autoRedefine/>
    <w:qFormat/>
    <w:uiPriority w:val="0"/>
    <w:pPr>
      <w:ind w:firstLine="420" w:firstLineChars="200"/>
    </w:pPr>
  </w:style>
  <w:style w:type="paragraph" w:styleId="15">
    <w:name w:val="Document Map"/>
    <w:basedOn w:val="1"/>
    <w:link w:val="75"/>
    <w:autoRedefine/>
    <w:qFormat/>
    <w:uiPriority w:val="0"/>
    <w:pPr>
      <w:shd w:val="clear" w:color="auto" w:fill="000080"/>
    </w:pPr>
  </w:style>
  <w:style w:type="paragraph" w:styleId="16">
    <w:name w:val="annotation text"/>
    <w:basedOn w:val="1"/>
    <w:link w:val="76"/>
    <w:autoRedefine/>
    <w:qFormat/>
    <w:uiPriority w:val="0"/>
    <w:pPr>
      <w:jc w:val="left"/>
    </w:pPr>
  </w:style>
  <w:style w:type="paragraph" w:styleId="17">
    <w:name w:val="Body Text 3"/>
    <w:basedOn w:val="1"/>
    <w:link w:val="77"/>
    <w:autoRedefine/>
    <w:qFormat/>
    <w:uiPriority w:val="0"/>
    <w:rPr>
      <w:rFonts w:ascii="宋体"/>
      <w:sz w:val="24"/>
      <w:szCs w:val="20"/>
    </w:rPr>
  </w:style>
  <w:style w:type="paragraph" w:styleId="18">
    <w:name w:val="Body Text Indent"/>
    <w:basedOn w:val="1"/>
    <w:next w:val="19"/>
    <w:link w:val="79"/>
    <w:autoRedefine/>
    <w:qFormat/>
    <w:uiPriority w:val="0"/>
    <w:pPr>
      <w:spacing w:line="500" w:lineRule="exact"/>
      <w:ind w:firstLine="538"/>
    </w:pPr>
    <w:rPr>
      <w:sz w:val="28"/>
    </w:rPr>
  </w:style>
  <w:style w:type="paragraph" w:styleId="19">
    <w:name w:val="envelope return"/>
    <w:basedOn w:val="1"/>
    <w:next w:val="13"/>
    <w:autoRedefine/>
    <w:qFormat/>
    <w:uiPriority w:val="0"/>
    <w:pPr>
      <w:snapToGrid w:val="0"/>
    </w:pPr>
    <w:rPr>
      <w:rFonts w:ascii="Arial" w:hAnsi="Arial"/>
    </w:rPr>
  </w:style>
  <w:style w:type="paragraph" w:styleId="20">
    <w:name w:val="List Continue"/>
    <w:basedOn w:val="1"/>
    <w:autoRedefine/>
    <w:qFormat/>
    <w:uiPriority w:val="0"/>
    <w:pPr>
      <w:spacing w:after="120"/>
      <w:ind w:left="420"/>
    </w:pPr>
  </w:style>
  <w:style w:type="paragraph" w:styleId="21">
    <w:name w:val="Block Text"/>
    <w:basedOn w:val="1"/>
    <w:autoRedefine/>
    <w:qFormat/>
    <w:uiPriority w:val="0"/>
    <w:pPr>
      <w:spacing w:line="400" w:lineRule="exact"/>
      <w:ind w:left="-359" w:leftChars="-171" w:right="31" w:rightChars="15" w:firstLine="980" w:firstLineChars="350"/>
    </w:pPr>
    <w:rPr>
      <w:rFonts w:ascii="宋体" w:hAnsi="宋体"/>
      <w:sz w:val="28"/>
      <w:szCs w:val="32"/>
    </w:rPr>
  </w:style>
  <w:style w:type="paragraph" w:styleId="22">
    <w:name w:val="toc 5"/>
    <w:basedOn w:val="1"/>
    <w:next w:val="1"/>
    <w:autoRedefine/>
    <w:qFormat/>
    <w:uiPriority w:val="0"/>
    <w:pPr>
      <w:ind w:left="840"/>
      <w:jc w:val="left"/>
    </w:pPr>
    <w:rPr>
      <w:sz w:val="18"/>
      <w:szCs w:val="18"/>
    </w:rPr>
  </w:style>
  <w:style w:type="paragraph" w:styleId="23">
    <w:name w:val="toc 3"/>
    <w:basedOn w:val="1"/>
    <w:next w:val="1"/>
    <w:autoRedefine/>
    <w:qFormat/>
    <w:uiPriority w:val="0"/>
    <w:pPr>
      <w:ind w:left="420"/>
      <w:jc w:val="left"/>
    </w:pPr>
    <w:rPr>
      <w:i/>
      <w:iCs/>
      <w:sz w:val="20"/>
      <w:szCs w:val="20"/>
    </w:rPr>
  </w:style>
  <w:style w:type="paragraph" w:styleId="24">
    <w:name w:val="Plain Text"/>
    <w:basedOn w:val="1"/>
    <w:next w:val="25"/>
    <w:link w:val="80"/>
    <w:autoRedefine/>
    <w:qFormat/>
    <w:uiPriority w:val="0"/>
    <w:rPr>
      <w:rFonts w:ascii="Courier New" w:hAnsi="Courier New"/>
      <w:szCs w:val="20"/>
    </w:rPr>
  </w:style>
  <w:style w:type="paragraph" w:styleId="25">
    <w:name w:val="toc 6"/>
    <w:basedOn w:val="1"/>
    <w:next w:val="26"/>
    <w:autoRedefine/>
    <w:qFormat/>
    <w:uiPriority w:val="0"/>
    <w:pPr>
      <w:ind w:left="1050"/>
      <w:jc w:val="left"/>
    </w:pPr>
    <w:rPr>
      <w:sz w:val="18"/>
      <w:szCs w:val="18"/>
    </w:rPr>
  </w:style>
  <w:style w:type="paragraph" w:customStyle="1" w:styleId="26">
    <w:name w:val="xl76"/>
    <w:basedOn w:val="1"/>
    <w:next w:val="27"/>
    <w:autoRedefine/>
    <w:qFormat/>
    <w:uiPriority w:val="0"/>
    <w:pPr>
      <w:widowControl/>
      <w:autoSpaceDE/>
      <w:autoSpaceDN/>
      <w:spacing w:before="0" w:after="0" w:line="240" w:lineRule="auto"/>
      <w:ind w:left="0" w:firstLine="0"/>
      <w:jc w:val="both"/>
    </w:pPr>
    <w:rPr>
      <w:rFonts w:ascii="Arial Unicode MS" w:eastAsia="Arial Unicode MS"/>
      <w:b/>
      <w:sz w:val="18"/>
    </w:rPr>
  </w:style>
  <w:style w:type="paragraph" w:customStyle="1" w:styleId="27">
    <w:name w:val="xl56"/>
    <w:basedOn w:val="1"/>
    <w:next w:val="28"/>
    <w:autoRedefine/>
    <w:qFormat/>
    <w:uiPriority w:val="0"/>
    <w:pPr>
      <w:widowControl/>
      <w:autoSpaceDE/>
      <w:autoSpaceDN/>
      <w:spacing w:before="0" w:after="0" w:line="240" w:lineRule="auto"/>
      <w:ind w:left="0" w:firstLine="0"/>
      <w:jc w:val="center"/>
    </w:pPr>
    <w:rPr>
      <w:rFonts w:ascii="Arial Unicode MS" w:eastAsia="Arial Unicode MS"/>
      <w:sz w:val="18"/>
    </w:rPr>
  </w:style>
  <w:style w:type="paragraph" w:customStyle="1" w:styleId="28">
    <w:name w:val="xl32"/>
    <w:basedOn w:val="1"/>
    <w:next w:val="1"/>
    <w:autoRedefine/>
    <w:qFormat/>
    <w:uiPriority w:val="0"/>
    <w:pPr>
      <w:widowControl/>
      <w:autoSpaceDE/>
      <w:autoSpaceDN/>
      <w:spacing w:before="0" w:after="0" w:line="240" w:lineRule="auto"/>
      <w:ind w:left="0" w:firstLine="0"/>
      <w:jc w:val="right"/>
    </w:pPr>
    <w:rPr>
      <w:rFonts w:ascii="Arial Unicode MS" w:eastAsia="Arial Unicode MS"/>
      <w:sz w:val="18"/>
    </w:rPr>
  </w:style>
  <w:style w:type="paragraph" w:styleId="29">
    <w:name w:val="toc 8"/>
    <w:basedOn w:val="1"/>
    <w:next w:val="1"/>
    <w:autoRedefine/>
    <w:qFormat/>
    <w:uiPriority w:val="0"/>
    <w:pPr>
      <w:ind w:left="1470"/>
      <w:jc w:val="left"/>
    </w:pPr>
    <w:rPr>
      <w:sz w:val="18"/>
      <w:szCs w:val="18"/>
    </w:rPr>
  </w:style>
  <w:style w:type="paragraph" w:styleId="30">
    <w:name w:val="Date"/>
    <w:basedOn w:val="1"/>
    <w:next w:val="1"/>
    <w:link w:val="81"/>
    <w:autoRedefine/>
    <w:qFormat/>
    <w:uiPriority w:val="0"/>
    <w:rPr>
      <w:rFonts w:ascii="仿宋_GB2312" w:eastAsia="仿宋_GB2312"/>
      <w:kern w:val="2"/>
      <w:sz w:val="30"/>
      <w:lang w:val="en-US" w:eastAsia="zh-CN" w:bidi="ar-SA"/>
    </w:rPr>
  </w:style>
  <w:style w:type="paragraph" w:styleId="31">
    <w:name w:val="Body Text Indent 2"/>
    <w:basedOn w:val="1"/>
    <w:autoRedefine/>
    <w:qFormat/>
    <w:uiPriority w:val="0"/>
    <w:pPr>
      <w:spacing w:line="360" w:lineRule="exact"/>
      <w:ind w:firstLine="600" w:firstLineChars="250"/>
      <w:jc w:val="left"/>
    </w:pPr>
    <w:rPr>
      <w:sz w:val="24"/>
    </w:rPr>
  </w:style>
  <w:style w:type="paragraph" w:styleId="32">
    <w:name w:val="Balloon Text"/>
    <w:basedOn w:val="1"/>
    <w:link w:val="82"/>
    <w:autoRedefine/>
    <w:qFormat/>
    <w:uiPriority w:val="0"/>
    <w:rPr>
      <w:sz w:val="18"/>
      <w:szCs w:val="18"/>
    </w:rPr>
  </w:style>
  <w:style w:type="paragraph" w:styleId="33">
    <w:name w:val="footer"/>
    <w:basedOn w:val="1"/>
    <w:link w:val="83"/>
    <w:autoRedefine/>
    <w:qFormat/>
    <w:uiPriority w:val="0"/>
    <w:pPr>
      <w:tabs>
        <w:tab w:val="center" w:pos="4153"/>
        <w:tab w:val="right" w:pos="8306"/>
      </w:tabs>
      <w:snapToGrid w:val="0"/>
      <w:jc w:val="left"/>
    </w:pPr>
    <w:rPr>
      <w:sz w:val="18"/>
      <w:szCs w:val="18"/>
    </w:rPr>
  </w:style>
  <w:style w:type="paragraph" w:styleId="34">
    <w:name w:val="header"/>
    <w:basedOn w:val="1"/>
    <w:link w:val="84"/>
    <w:autoRedefine/>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qFormat/>
    <w:uiPriority w:val="0"/>
    <w:pPr>
      <w:spacing w:before="120" w:after="120"/>
      <w:jc w:val="left"/>
    </w:pPr>
    <w:rPr>
      <w:b/>
      <w:bCs/>
      <w:caps/>
      <w:sz w:val="20"/>
      <w:szCs w:val="20"/>
    </w:rPr>
  </w:style>
  <w:style w:type="paragraph" w:styleId="36">
    <w:name w:val="toc 4"/>
    <w:basedOn w:val="1"/>
    <w:next w:val="1"/>
    <w:autoRedefine/>
    <w:qFormat/>
    <w:uiPriority w:val="0"/>
    <w:pPr>
      <w:ind w:left="630"/>
      <w:jc w:val="left"/>
    </w:pPr>
    <w:rPr>
      <w:sz w:val="18"/>
      <w:szCs w:val="18"/>
    </w:rPr>
  </w:style>
  <w:style w:type="paragraph" w:styleId="37">
    <w:name w:val="List"/>
    <w:basedOn w:val="1"/>
    <w:autoRedefine/>
    <w:qFormat/>
    <w:uiPriority w:val="0"/>
    <w:pPr>
      <w:ind w:left="420" w:hanging="420"/>
    </w:pPr>
    <w:rPr>
      <w:rFonts w:ascii="Arial" w:hAnsi="Arial" w:eastAsia="楷体_GB2312"/>
      <w:sz w:val="28"/>
      <w:szCs w:val="20"/>
    </w:rPr>
  </w:style>
  <w:style w:type="paragraph" w:styleId="38">
    <w:name w:val="footnote text"/>
    <w:basedOn w:val="1"/>
    <w:link w:val="85"/>
    <w:autoRedefine/>
    <w:qFormat/>
    <w:uiPriority w:val="0"/>
    <w:rPr>
      <w:sz w:val="20"/>
      <w:szCs w:val="20"/>
    </w:rPr>
  </w:style>
  <w:style w:type="paragraph" w:styleId="39">
    <w:name w:val="Body Text Indent 3"/>
    <w:basedOn w:val="1"/>
    <w:link w:val="86"/>
    <w:autoRedefine/>
    <w:qFormat/>
    <w:uiPriority w:val="0"/>
    <w:pPr>
      <w:spacing w:after="120"/>
      <w:ind w:left="420" w:leftChars="200"/>
    </w:pPr>
    <w:rPr>
      <w:sz w:val="16"/>
      <w:szCs w:val="16"/>
    </w:rPr>
  </w:style>
  <w:style w:type="paragraph" w:styleId="40">
    <w:name w:val="table of figures"/>
    <w:basedOn w:val="1"/>
    <w:next w:val="1"/>
    <w:autoRedefine/>
    <w:qFormat/>
    <w:uiPriority w:val="0"/>
    <w:pPr>
      <w:ind w:leftChars="200" w:hanging="200" w:hangingChars="200"/>
    </w:pPr>
  </w:style>
  <w:style w:type="paragraph" w:styleId="41">
    <w:name w:val="toc 2"/>
    <w:basedOn w:val="1"/>
    <w:next w:val="1"/>
    <w:autoRedefine/>
    <w:qFormat/>
    <w:uiPriority w:val="0"/>
    <w:pPr>
      <w:ind w:left="210"/>
      <w:jc w:val="left"/>
    </w:pPr>
    <w:rPr>
      <w:smallCaps/>
      <w:sz w:val="20"/>
      <w:szCs w:val="20"/>
    </w:rPr>
  </w:style>
  <w:style w:type="paragraph" w:styleId="42">
    <w:name w:val="toc 9"/>
    <w:basedOn w:val="1"/>
    <w:next w:val="1"/>
    <w:autoRedefine/>
    <w:qFormat/>
    <w:uiPriority w:val="0"/>
    <w:pPr>
      <w:ind w:left="1680"/>
      <w:jc w:val="left"/>
    </w:pPr>
    <w:rPr>
      <w:sz w:val="18"/>
      <w:szCs w:val="18"/>
    </w:rPr>
  </w:style>
  <w:style w:type="paragraph" w:styleId="43">
    <w:name w:val="Body Text 2"/>
    <w:basedOn w:val="1"/>
    <w:autoRedefine/>
    <w:qFormat/>
    <w:uiPriority w:val="0"/>
    <w:pPr>
      <w:spacing w:line="440" w:lineRule="exact"/>
    </w:pPr>
    <w:rPr>
      <w:sz w:val="28"/>
    </w:rPr>
  </w:style>
  <w:style w:type="paragraph" w:styleId="44">
    <w:name w:val="HTML Preformatted"/>
    <w:basedOn w:val="1"/>
    <w:link w:val="8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Calibri"/>
      <w:kern w:val="0"/>
      <w:sz w:val="24"/>
    </w:rPr>
  </w:style>
  <w:style w:type="paragraph" w:styleId="45">
    <w:name w:val="Normal (Web)"/>
    <w:basedOn w:val="1"/>
    <w:next w:val="46"/>
    <w:autoRedefine/>
    <w:qFormat/>
    <w:uiPriority w:val="0"/>
    <w:pPr>
      <w:widowControl/>
      <w:jc w:val="left"/>
    </w:pPr>
    <w:rPr>
      <w:rFonts w:ascii="宋体" w:hAnsi="宋体" w:cs="宋体"/>
      <w:kern w:val="0"/>
      <w:sz w:val="18"/>
      <w:szCs w:val="18"/>
    </w:rPr>
  </w:style>
  <w:style w:type="paragraph" w:customStyle="1" w:styleId="46">
    <w:name w:val="正文文字 8"/>
    <w:basedOn w:val="1"/>
    <w:next w:val="1"/>
    <w:autoRedefine/>
    <w:qFormat/>
    <w:uiPriority w:val="0"/>
    <w:pPr>
      <w:ind w:left="240"/>
    </w:pPr>
    <w:rPr>
      <w:sz w:val="16"/>
    </w:rPr>
  </w:style>
  <w:style w:type="paragraph" w:styleId="47">
    <w:name w:val="Title"/>
    <w:basedOn w:val="1"/>
    <w:link w:val="88"/>
    <w:autoRedefine/>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48">
    <w:name w:val="annotation subject"/>
    <w:basedOn w:val="16"/>
    <w:next w:val="16"/>
    <w:link w:val="89"/>
    <w:autoRedefine/>
    <w:qFormat/>
    <w:uiPriority w:val="0"/>
    <w:rPr>
      <w:b/>
      <w:bCs/>
    </w:rPr>
  </w:style>
  <w:style w:type="paragraph" w:styleId="49">
    <w:name w:val="Body Text First Indent 2"/>
    <w:basedOn w:val="18"/>
    <w:next w:val="1"/>
    <w:link w:val="90"/>
    <w:autoRedefine/>
    <w:qFormat/>
    <w:uiPriority w:val="0"/>
    <w:pPr>
      <w:spacing w:after="120" w:line="240" w:lineRule="auto"/>
      <w:ind w:left="420" w:leftChars="200" w:firstLine="420" w:firstLineChars="200"/>
    </w:pPr>
    <w:rPr>
      <w:sz w:val="21"/>
    </w:rPr>
  </w:style>
  <w:style w:type="table" w:styleId="51">
    <w:name w:val="Table Grid"/>
    <w:basedOn w:val="5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basedOn w:val="52"/>
    <w:autoRedefine/>
    <w:qFormat/>
    <w:uiPriority w:val="0"/>
    <w:rPr>
      <w:b/>
    </w:rPr>
  </w:style>
  <w:style w:type="character" w:styleId="54">
    <w:name w:val="page number"/>
    <w:basedOn w:val="52"/>
    <w:autoRedefine/>
    <w:qFormat/>
    <w:uiPriority w:val="0"/>
  </w:style>
  <w:style w:type="character" w:styleId="55">
    <w:name w:val="FollowedHyperlink"/>
    <w:basedOn w:val="52"/>
    <w:autoRedefine/>
    <w:unhideWhenUsed/>
    <w:qFormat/>
    <w:uiPriority w:val="0"/>
    <w:rPr>
      <w:color w:val="800080"/>
      <w:u w:val="none"/>
    </w:rPr>
  </w:style>
  <w:style w:type="character" w:styleId="56">
    <w:name w:val="Emphasis"/>
    <w:autoRedefine/>
    <w:qFormat/>
    <w:uiPriority w:val="0"/>
    <w:rPr>
      <w:color w:val="CC0033"/>
    </w:rPr>
  </w:style>
  <w:style w:type="character" w:styleId="57">
    <w:name w:val="HTML Definition"/>
    <w:autoRedefine/>
    <w:qFormat/>
    <w:uiPriority w:val="0"/>
  </w:style>
  <w:style w:type="character" w:styleId="58">
    <w:name w:val="HTML Typewriter"/>
    <w:autoRedefine/>
    <w:qFormat/>
    <w:uiPriority w:val="0"/>
    <w:rPr>
      <w:rFonts w:ascii="Monospace" w:hAnsi="Monospace" w:eastAsia="Monospace" w:cs="Monospace"/>
      <w:sz w:val="20"/>
      <w:lang w:bidi="ar-SA"/>
    </w:rPr>
  </w:style>
  <w:style w:type="character" w:styleId="59">
    <w:name w:val="HTML Acronym"/>
    <w:basedOn w:val="52"/>
    <w:autoRedefine/>
    <w:qFormat/>
    <w:uiPriority w:val="0"/>
  </w:style>
  <w:style w:type="character" w:styleId="60">
    <w:name w:val="HTML Variable"/>
    <w:autoRedefine/>
    <w:qFormat/>
    <w:uiPriority w:val="0"/>
  </w:style>
  <w:style w:type="character" w:styleId="61">
    <w:name w:val="Hyperlink"/>
    <w:basedOn w:val="52"/>
    <w:autoRedefine/>
    <w:qFormat/>
    <w:uiPriority w:val="0"/>
    <w:rPr>
      <w:color w:val="333333"/>
      <w:u w:val="none"/>
    </w:rPr>
  </w:style>
  <w:style w:type="character" w:styleId="62">
    <w:name w:val="HTML Code"/>
    <w:autoRedefine/>
    <w:qFormat/>
    <w:uiPriority w:val="0"/>
    <w:rPr>
      <w:rFonts w:ascii="Monospace" w:hAnsi="Monospace" w:eastAsia="Monospace" w:cs="Monospace"/>
      <w:sz w:val="20"/>
      <w:lang w:bidi="ar-SA"/>
    </w:rPr>
  </w:style>
  <w:style w:type="character" w:styleId="63">
    <w:name w:val="annotation reference"/>
    <w:autoRedefine/>
    <w:qFormat/>
    <w:uiPriority w:val="0"/>
    <w:rPr>
      <w:sz w:val="21"/>
      <w:szCs w:val="21"/>
    </w:rPr>
  </w:style>
  <w:style w:type="character" w:styleId="64">
    <w:name w:val="HTML Cite"/>
    <w:autoRedefine/>
    <w:qFormat/>
    <w:uiPriority w:val="0"/>
  </w:style>
  <w:style w:type="character" w:styleId="65">
    <w:name w:val="footnote reference"/>
    <w:autoRedefine/>
    <w:qFormat/>
    <w:uiPriority w:val="0"/>
    <w:rPr>
      <w:vertAlign w:val="superscript"/>
    </w:rPr>
  </w:style>
  <w:style w:type="character" w:styleId="66">
    <w:name w:val="HTML Keyboard"/>
    <w:autoRedefine/>
    <w:qFormat/>
    <w:uiPriority w:val="0"/>
    <w:rPr>
      <w:rFonts w:ascii="Monospace" w:hAnsi="Monospace" w:eastAsia="Monospace" w:cs="Monospace"/>
      <w:sz w:val="20"/>
      <w:lang w:bidi="ar-SA"/>
    </w:rPr>
  </w:style>
  <w:style w:type="character" w:styleId="67">
    <w:name w:val="HTML Sample"/>
    <w:autoRedefine/>
    <w:qFormat/>
    <w:uiPriority w:val="0"/>
    <w:rPr>
      <w:rFonts w:ascii="Monospace" w:hAnsi="Monospace" w:eastAsia="Monospace" w:cs="Monospace"/>
      <w:lang w:bidi="ar-SA"/>
    </w:rPr>
  </w:style>
  <w:style w:type="character" w:customStyle="1" w:styleId="68">
    <w:name w:val="标题 1 Char"/>
    <w:link w:val="4"/>
    <w:autoRedefine/>
    <w:qFormat/>
    <w:uiPriority w:val="0"/>
    <w:rPr>
      <w:rFonts w:ascii="Times New Roman" w:hAnsi="Times New Roman" w:eastAsia="宋体"/>
      <w:b/>
      <w:bCs/>
      <w:kern w:val="44"/>
      <w:sz w:val="24"/>
      <w:szCs w:val="44"/>
    </w:rPr>
  </w:style>
  <w:style w:type="character" w:customStyle="1" w:styleId="69">
    <w:name w:val="标题 4 Char"/>
    <w:basedOn w:val="52"/>
    <w:link w:val="7"/>
    <w:autoRedefine/>
    <w:qFormat/>
    <w:uiPriority w:val="0"/>
    <w:rPr>
      <w:rFonts w:ascii="Arial" w:hAnsi="Arial" w:eastAsia="黑体"/>
      <w:b/>
      <w:bCs/>
      <w:kern w:val="2"/>
      <w:sz w:val="28"/>
      <w:szCs w:val="28"/>
    </w:rPr>
  </w:style>
  <w:style w:type="character" w:customStyle="1" w:styleId="70">
    <w:name w:val="标题 5 Char"/>
    <w:basedOn w:val="52"/>
    <w:link w:val="8"/>
    <w:autoRedefine/>
    <w:qFormat/>
    <w:uiPriority w:val="0"/>
    <w:rPr>
      <w:rFonts w:ascii="Calibri" w:hAnsi="Calibri"/>
      <w:b/>
      <w:bCs/>
      <w:kern w:val="2"/>
      <w:sz w:val="28"/>
      <w:szCs w:val="28"/>
    </w:rPr>
  </w:style>
  <w:style w:type="character" w:customStyle="1" w:styleId="71">
    <w:name w:val="标题 6 Char"/>
    <w:basedOn w:val="52"/>
    <w:link w:val="9"/>
    <w:autoRedefine/>
    <w:qFormat/>
    <w:uiPriority w:val="0"/>
    <w:rPr>
      <w:rFonts w:ascii="Arial" w:hAnsi="Arial" w:eastAsia="黑体"/>
      <w:b/>
      <w:bCs/>
      <w:sz w:val="24"/>
      <w:szCs w:val="24"/>
    </w:rPr>
  </w:style>
  <w:style w:type="character" w:customStyle="1" w:styleId="72">
    <w:name w:val="标题 7 Char"/>
    <w:basedOn w:val="52"/>
    <w:link w:val="10"/>
    <w:autoRedefine/>
    <w:qFormat/>
    <w:uiPriority w:val="0"/>
    <w:rPr>
      <w:b/>
      <w:bCs/>
      <w:sz w:val="24"/>
      <w:szCs w:val="24"/>
    </w:rPr>
  </w:style>
  <w:style w:type="character" w:customStyle="1" w:styleId="73">
    <w:name w:val="标题 8 Char"/>
    <w:basedOn w:val="52"/>
    <w:link w:val="11"/>
    <w:autoRedefine/>
    <w:qFormat/>
    <w:uiPriority w:val="0"/>
    <w:rPr>
      <w:rFonts w:ascii="Arial" w:hAnsi="Arial" w:eastAsia="黑体"/>
      <w:sz w:val="24"/>
      <w:szCs w:val="24"/>
    </w:rPr>
  </w:style>
  <w:style w:type="character" w:customStyle="1" w:styleId="74">
    <w:name w:val="标题 9 Char"/>
    <w:basedOn w:val="52"/>
    <w:link w:val="12"/>
    <w:autoRedefine/>
    <w:qFormat/>
    <w:uiPriority w:val="0"/>
    <w:rPr>
      <w:rFonts w:ascii="Arial" w:hAnsi="Arial" w:eastAsia="黑体"/>
      <w:sz w:val="21"/>
      <w:szCs w:val="21"/>
    </w:rPr>
  </w:style>
  <w:style w:type="character" w:customStyle="1" w:styleId="75">
    <w:name w:val="文档结构图 Char"/>
    <w:basedOn w:val="52"/>
    <w:link w:val="15"/>
    <w:autoRedefine/>
    <w:qFormat/>
    <w:uiPriority w:val="0"/>
    <w:rPr>
      <w:kern w:val="2"/>
      <w:sz w:val="21"/>
      <w:szCs w:val="24"/>
      <w:shd w:val="clear" w:color="auto" w:fill="000080"/>
    </w:rPr>
  </w:style>
  <w:style w:type="character" w:customStyle="1" w:styleId="76">
    <w:name w:val="批注文字 Char"/>
    <w:basedOn w:val="52"/>
    <w:link w:val="16"/>
    <w:autoRedefine/>
    <w:qFormat/>
    <w:uiPriority w:val="0"/>
    <w:rPr>
      <w:kern w:val="2"/>
      <w:sz w:val="21"/>
      <w:szCs w:val="24"/>
    </w:rPr>
  </w:style>
  <w:style w:type="character" w:customStyle="1" w:styleId="77">
    <w:name w:val="正文文本 3 Char"/>
    <w:basedOn w:val="52"/>
    <w:link w:val="17"/>
    <w:autoRedefine/>
    <w:qFormat/>
    <w:uiPriority w:val="0"/>
    <w:rPr>
      <w:rFonts w:ascii="宋体"/>
      <w:kern w:val="2"/>
      <w:sz w:val="24"/>
    </w:rPr>
  </w:style>
  <w:style w:type="character" w:customStyle="1" w:styleId="78">
    <w:name w:val="正文文本 Char"/>
    <w:basedOn w:val="52"/>
    <w:link w:val="3"/>
    <w:autoRedefine/>
    <w:qFormat/>
    <w:uiPriority w:val="0"/>
    <w:rPr>
      <w:b/>
      <w:bCs/>
      <w:kern w:val="2"/>
      <w:sz w:val="44"/>
    </w:rPr>
  </w:style>
  <w:style w:type="character" w:customStyle="1" w:styleId="79">
    <w:name w:val="正文文本缩进 Char"/>
    <w:basedOn w:val="52"/>
    <w:link w:val="18"/>
    <w:autoRedefine/>
    <w:qFormat/>
    <w:uiPriority w:val="0"/>
    <w:rPr>
      <w:kern w:val="2"/>
      <w:sz w:val="28"/>
      <w:szCs w:val="24"/>
    </w:rPr>
  </w:style>
  <w:style w:type="character" w:customStyle="1" w:styleId="80">
    <w:name w:val="纯文本 Char"/>
    <w:basedOn w:val="52"/>
    <w:link w:val="24"/>
    <w:autoRedefine/>
    <w:qFormat/>
    <w:uiPriority w:val="0"/>
    <w:rPr>
      <w:rFonts w:ascii="Courier New" w:hAnsi="Courier New"/>
      <w:kern w:val="2"/>
      <w:sz w:val="21"/>
    </w:rPr>
  </w:style>
  <w:style w:type="character" w:customStyle="1" w:styleId="81">
    <w:name w:val="日期 Char"/>
    <w:basedOn w:val="52"/>
    <w:link w:val="30"/>
    <w:autoRedefine/>
    <w:qFormat/>
    <w:uiPriority w:val="0"/>
    <w:rPr>
      <w:rFonts w:ascii="仿宋_GB2312" w:eastAsia="仿宋_GB2312"/>
      <w:kern w:val="2"/>
      <w:sz w:val="30"/>
      <w:lang w:val="en-US" w:eastAsia="zh-CN" w:bidi="ar-SA"/>
    </w:rPr>
  </w:style>
  <w:style w:type="character" w:customStyle="1" w:styleId="82">
    <w:name w:val="批注框文本 Char"/>
    <w:basedOn w:val="52"/>
    <w:link w:val="32"/>
    <w:autoRedefine/>
    <w:qFormat/>
    <w:uiPriority w:val="0"/>
    <w:rPr>
      <w:kern w:val="2"/>
      <w:sz w:val="18"/>
      <w:szCs w:val="18"/>
    </w:rPr>
  </w:style>
  <w:style w:type="character" w:customStyle="1" w:styleId="83">
    <w:name w:val="页脚 Char"/>
    <w:basedOn w:val="52"/>
    <w:link w:val="33"/>
    <w:autoRedefine/>
    <w:qFormat/>
    <w:uiPriority w:val="0"/>
    <w:rPr>
      <w:kern w:val="2"/>
      <w:sz w:val="18"/>
      <w:szCs w:val="18"/>
    </w:rPr>
  </w:style>
  <w:style w:type="character" w:customStyle="1" w:styleId="84">
    <w:name w:val="页眉 Char"/>
    <w:basedOn w:val="52"/>
    <w:link w:val="34"/>
    <w:autoRedefine/>
    <w:qFormat/>
    <w:uiPriority w:val="0"/>
    <w:rPr>
      <w:kern w:val="2"/>
      <w:sz w:val="18"/>
      <w:szCs w:val="18"/>
    </w:rPr>
  </w:style>
  <w:style w:type="character" w:customStyle="1" w:styleId="85">
    <w:name w:val="脚注文本 Char"/>
    <w:basedOn w:val="52"/>
    <w:link w:val="38"/>
    <w:autoRedefine/>
    <w:qFormat/>
    <w:uiPriority w:val="0"/>
    <w:rPr>
      <w:kern w:val="2"/>
    </w:rPr>
  </w:style>
  <w:style w:type="character" w:customStyle="1" w:styleId="86">
    <w:name w:val="正文文本缩进 3 Char"/>
    <w:basedOn w:val="52"/>
    <w:link w:val="39"/>
    <w:autoRedefine/>
    <w:qFormat/>
    <w:uiPriority w:val="0"/>
    <w:rPr>
      <w:kern w:val="2"/>
      <w:sz w:val="16"/>
      <w:szCs w:val="16"/>
    </w:rPr>
  </w:style>
  <w:style w:type="character" w:customStyle="1" w:styleId="87">
    <w:name w:val="HTML 预设格式 Char"/>
    <w:basedOn w:val="52"/>
    <w:link w:val="44"/>
    <w:autoRedefine/>
    <w:qFormat/>
    <w:uiPriority w:val="0"/>
    <w:rPr>
      <w:rFonts w:ascii="宋体" w:hAnsi="Calibri"/>
      <w:sz w:val="24"/>
      <w:szCs w:val="24"/>
    </w:rPr>
  </w:style>
  <w:style w:type="character" w:customStyle="1" w:styleId="88">
    <w:name w:val="标题 Char"/>
    <w:basedOn w:val="52"/>
    <w:link w:val="47"/>
    <w:autoRedefine/>
    <w:qFormat/>
    <w:uiPriority w:val="0"/>
    <w:rPr>
      <w:rFonts w:ascii="Arial" w:hAnsi="Arial"/>
      <w:b/>
      <w:sz w:val="32"/>
    </w:rPr>
  </w:style>
  <w:style w:type="character" w:customStyle="1" w:styleId="89">
    <w:name w:val="批注主题 Char"/>
    <w:basedOn w:val="76"/>
    <w:link w:val="48"/>
    <w:autoRedefine/>
    <w:qFormat/>
    <w:uiPriority w:val="0"/>
  </w:style>
  <w:style w:type="character" w:customStyle="1" w:styleId="90">
    <w:name w:val="正文首行缩进 2 Char"/>
    <w:basedOn w:val="79"/>
    <w:link w:val="49"/>
    <w:autoRedefine/>
    <w:qFormat/>
    <w:uiPriority w:val="0"/>
  </w:style>
  <w:style w:type="paragraph" w:customStyle="1" w:styleId="91">
    <w:name w:val="Default"/>
    <w:autoRedefine/>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character" w:customStyle="1" w:styleId="92">
    <w:name w:val="标题 2 Char"/>
    <w:autoRedefine/>
    <w:qFormat/>
    <w:uiPriority w:val="0"/>
    <w:rPr>
      <w:rFonts w:eastAsia="宋体"/>
      <w:sz w:val="24"/>
      <w:lang w:val="en-US" w:eastAsia="zh-CN" w:bidi="ar-SA"/>
    </w:rPr>
  </w:style>
  <w:style w:type="paragraph" w:customStyle="1" w:styleId="93">
    <w:name w:val="首行缩进"/>
    <w:basedOn w:val="1"/>
    <w:next w:val="20"/>
    <w:autoRedefine/>
    <w:qFormat/>
    <w:uiPriority w:val="0"/>
    <w:pPr>
      <w:spacing w:line="360" w:lineRule="auto"/>
      <w:ind w:firstLine="480" w:firstLineChars="200"/>
    </w:pPr>
    <w:rPr>
      <w:sz w:val="24"/>
      <w:lang w:val="zh-CN"/>
    </w:rPr>
  </w:style>
  <w:style w:type="character" w:customStyle="1" w:styleId="94">
    <w:name w:val="tit10"/>
    <w:autoRedefine/>
    <w:qFormat/>
    <w:uiPriority w:val="0"/>
    <w:rPr>
      <w:color w:val="B60000"/>
    </w:rPr>
  </w:style>
  <w:style w:type="character" w:customStyle="1" w:styleId="95">
    <w:name w:val="tit14"/>
    <w:autoRedefine/>
    <w:qFormat/>
    <w:uiPriority w:val="0"/>
    <w:rPr>
      <w:color w:val="B60000"/>
    </w:rPr>
  </w:style>
  <w:style w:type="character" w:customStyle="1" w:styleId="96">
    <w:name w:val="nostart3"/>
    <w:basedOn w:val="52"/>
    <w:autoRedefine/>
    <w:qFormat/>
    <w:uiPriority w:val="0"/>
  </w:style>
  <w:style w:type="character" w:customStyle="1" w:styleId="97">
    <w:name w:val="z-窗体底端 Char"/>
    <w:basedOn w:val="52"/>
    <w:link w:val="98"/>
    <w:autoRedefine/>
    <w:qFormat/>
    <w:uiPriority w:val="0"/>
    <w:rPr>
      <w:rFonts w:ascii="Arial" w:hAnsi="Calibri"/>
      <w:vanish/>
      <w:kern w:val="2"/>
      <w:sz w:val="16"/>
      <w:szCs w:val="24"/>
    </w:rPr>
  </w:style>
  <w:style w:type="paragraph" w:customStyle="1" w:styleId="98">
    <w:name w:val="_Style 97"/>
    <w:basedOn w:val="1"/>
    <w:next w:val="1"/>
    <w:link w:val="97"/>
    <w:autoRedefine/>
    <w:qFormat/>
    <w:uiPriority w:val="0"/>
    <w:pPr>
      <w:pBdr>
        <w:top w:val="single" w:color="auto" w:sz="6" w:space="1"/>
      </w:pBdr>
      <w:jc w:val="center"/>
    </w:pPr>
    <w:rPr>
      <w:rFonts w:ascii="Arial" w:hAnsi="Calibri"/>
      <w:vanish/>
      <w:sz w:val="16"/>
    </w:rPr>
  </w:style>
  <w:style w:type="character" w:customStyle="1" w:styleId="99">
    <w:name w:val="msg-box31"/>
    <w:basedOn w:val="52"/>
    <w:autoRedefine/>
    <w:qFormat/>
    <w:uiPriority w:val="0"/>
  </w:style>
  <w:style w:type="character" w:customStyle="1" w:styleId="100">
    <w:name w:val="tit15"/>
    <w:autoRedefine/>
    <w:qFormat/>
    <w:uiPriority w:val="0"/>
    <w:rPr>
      <w:b/>
      <w:color w:val="B60000"/>
    </w:rPr>
  </w:style>
  <w:style w:type="character" w:customStyle="1" w:styleId="101">
    <w:name w:val="l41"/>
    <w:autoRedefine/>
    <w:qFormat/>
    <w:uiPriority w:val="0"/>
    <w:rPr>
      <w:color w:val="999999"/>
    </w:rPr>
  </w:style>
  <w:style w:type="character" w:customStyle="1" w:styleId="102">
    <w:name w:val="over3"/>
    <w:basedOn w:val="52"/>
    <w:autoRedefine/>
    <w:qFormat/>
    <w:uiPriority w:val="0"/>
  </w:style>
  <w:style w:type="character" w:customStyle="1" w:styleId="103">
    <w:name w:val="num81"/>
    <w:basedOn w:val="52"/>
    <w:autoRedefine/>
    <w:qFormat/>
    <w:uiPriority w:val="0"/>
  </w:style>
  <w:style w:type="character" w:customStyle="1" w:styleId="104">
    <w:name w:val="num31"/>
    <w:basedOn w:val="52"/>
    <w:autoRedefine/>
    <w:qFormat/>
    <w:uiPriority w:val="0"/>
  </w:style>
  <w:style w:type="character" w:customStyle="1" w:styleId="105">
    <w:name w:val="l7"/>
    <w:autoRedefine/>
    <w:qFormat/>
    <w:uiPriority w:val="0"/>
    <w:rPr>
      <w:color w:val="999999"/>
    </w:rPr>
  </w:style>
  <w:style w:type="character" w:customStyle="1" w:styleId="106">
    <w:name w:val="tit12"/>
    <w:autoRedefine/>
    <w:qFormat/>
    <w:uiPriority w:val="0"/>
    <w:rPr>
      <w:color w:val="04A06C"/>
    </w:rPr>
  </w:style>
  <w:style w:type="character" w:customStyle="1" w:styleId="107">
    <w:name w:val="datetime"/>
    <w:autoRedefine/>
    <w:qFormat/>
    <w:uiPriority w:val="0"/>
    <w:rPr>
      <w:rFonts w:ascii="Arial" w:hAnsi="Arial" w:cs="Arial"/>
      <w:color w:val="999999"/>
      <w:sz w:val="21"/>
      <w:szCs w:val="21"/>
      <w:lang w:bidi="ar-SA"/>
    </w:rPr>
  </w:style>
  <w:style w:type="character" w:customStyle="1" w:styleId="108">
    <w:name w:val="jg"/>
    <w:basedOn w:val="52"/>
    <w:autoRedefine/>
    <w:qFormat/>
    <w:uiPriority w:val="0"/>
  </w:style>
  <w:style w:type="character" w:customStyle="1" w:styleId="109">
    <w:name w:val="red"/>
    <w:autoRedefine/>
    <w:qFormat/>
    <w:uiPriority w:val="0"/>
    <w:rPr>
      <w:rFonts w:ascii="Arial" w:hAnsi="Arial" w:cs="Arial"/>
      <w:color w:val="E50000"/>
      <w:lang w:bidi="ar-SA"/>
    </w:rPr>
  </w:style>
  <w:style w:type="character" w:customStyle="1" w:styleId="110">
    <w:name w:val="标题 2 Char11"/>
    <w:autoRedefine/>
    <w:qFormat/>
    <w:uiPriority w:val="0"/>
    <w:rPr>
      <w:rFonts w:eastAsia="宋体"/>
      <w:sz w:val="24"/>
      <w:lang w:val="en-US" w:eastAsia="zh-CN" w:bidi="ar-SA"/>
    </w:rPr>
  </w:style>
  <w:style w:type="character" w:customStyle="1" w:styleId="111">
    <w:name w:val="font161"/>
    <w:autoRedefine/>
    <w:qFormat/>
    <w:uiPriority w:val="0"/>
    <w:rPr>
      <w:b/>
      <w:bCs/>
      <w:sz w:val="32"/>
      <w:szCs w:val="32"/>
    </w:rPr>
  </w:style>
  <w:style w:type="character" w:customStyle="1" w:styleId="112">
    <w:name w:val="Char Char7"/>
    <w:autoRedefine/>
    <w:qFormat/>
    <w:uiPriority w:val="0"/>
    <w:rPr>
      <w:rFonts w:ascii="Arial" w:hAnsi="Arial" w:eastAsia="黑体"/>
      <w:b/>
      <w:bCs/>
      <w:kern w:val="2"/>
      <w:sz w:val="32"/>
      <w:szCs w:val="32"/>
      <w:lang w:val="en-US" w:eastAsia="zh-CN" w:bidi="ar-SA"/>
    </w:rPr>
  </w:style>
  <w:style w:type="character" w:customStyle="1" w:styleId="113">
    <w:name w:val="Char Char2"/>
    <w:autoRedefine/>
    <w:qFormat/>
    <w:uiPriority w:val="0"/>
    <w:rPr>
      <w:rFonts w:eastAsia="宋体"/>
      <w:kern w:val="2"/>
      <w:sz w:val="21"/>
      <w:szCs w:val="24"/>
      <w:lang w:val="en-US" w:eastAsia="zh-CN" w:bidi="ar-SA"/>
    </w:rPr>
  </w:style>
  <w:style w:type="character" w:customStyle="1" w:styleId="114">
    <w:name w:val="unit"/>
    <w:autoRedefine/>
    <w:qFormat/>
    <w:uiPriority w:val="0"/>
    <w:rPr>
      <w:color w:val="999999"/>
    </w:rPr>
  </w:style>
  <w:style w:type="character" w:customStyle="1" w:styleId="115">
    <w:name w:val="num51"/>
    <w:basedOn w:val="52"/>
    <w:autoRedefine/>
    <w:qFormat/>
    <w:uiPriority w:val="0"/>
  </w:style>
  <w:style w:type="character" w:customStyle="1" w:styleId="116">
    <w:name w:val=" Char Char5"/>
    <w:autoRedefine/>
    <w:qFormat/>
    <w:uiPriority w:val="0"/>
    <w:rPr>
      <w:rFonts w:ascii="Arial" w:hAnsi="Arial" w:eastAsia="黑体"/>
      <w:b/>
      <w:bCs/>
      <w:kern w:val="2"/>
      <w:sz w:val="32"/>
      <w:szCs w:val="32"/>
    </w:rPr>
  </w:style>
  <w:style w:type="character" w:customStyle="1" w:styleId="117">
    <w:name w:val="l6"/>
    <w:autoRedefine/>
    <w:qFormat/>
    <w:uiPriority w:val="0"/>
    <w:rPr>
      <w:color w:val="999999"/>
    </w:rPr>
  </w:style>
  <w:style w:type="character" w:customStyle="1" w:styleId="118">
    <w:name w:val="l3"/>
    <w:autoRedefine/>
    <w:qFormat/>
    <w:uiPriority w:val="0"/>
    <w:rPr>
      <w:color w:val="999999"/>
    </w:rPr>
  </w:style>
  <w:style w:type="character" w:customStyle="1" w:styleId="119">
    <w:name w:val="mesg-myd"/>
    <w:autoRedefine/>
    <w:qFormat/>
    <w:uiPriority w:val="0"/>
    <w:rPr>
      <w:color w:val="EE0000"/>
    </w:rPr>
  </w:style>
  <w:style w:type="character" w:customStyle="1" w:styleId="120">
    <w:name w:val="Char Char8"/>
    <w:autoRedefine/>
    <w:qFormat/>
    <w:uiPriority w:val="0"/>
    <w:rPr>
      <w:rFonts w:ascii="Arial" w:hAnsi="Arial" w:eastAsia="黑体"/>
      <w:b/>
      <w:bCs/>
      <w:kern w:val="2"/>
      <w:sz w:val="32"/>
      <w:szCs w:val="32"/>
      <w:lang w:val="en-US" w:eastAsia="zh-CN" w:bidi="ar-SA"/>
    </w:rPr>
  </w:style>
  <w:style w:type="character" w:customStyle="1" w:styleId="121">
    <w:name w:val="标题 2 Char Char"/>
    <w:autoRedefine/>
    <w:qFormat/>
    <w:locked/>
    <w:uiPriority w:val="0"/>
    <w:rPr>
      <w:rFonts w:ascii="Arial" w:hAnsi="Arial" w:eastAsia="黑体"/>
      <w:b/>
      <w:bCs/>
      <w:kern w:val="2"/>
      <w:sz w:val="32"/>
      <w:szCs w:val="32"/>
      <w:lang w:val="en-US" w:eastAsia="zh-CN" w:bidi="ar-SA"/>
    </w:rPr>
  </w:style>
  <w:style w:type="character" w:customStyle="1" w:styleId="122">
    <w:name w:val="c3"/>
    <w:basedOn w:val="52"/>
    <w:autoRedefine/>
    <w:qFormat/>
    <w:uiPriority w:val="0"/>
  </w:style>
  <w:style w:type="character" w:customStyle="1" w:styleId="123">
    <w:name w:val="img_title8"/>
    <w:autoRedefine/>
    <w:qFormat/>
    <w:uiPriority w:val="0"/>
    <w:rPr>
      <w:vanish/>
    </w:rPr>
  </w:style>
  <w:style w:type="character" w:customStyle="1" w:styleId="124">
    <w:name w:val="c2"/>
    <w:basedOn w:val="52"/>
    <w:autoRedefine/>
    <w:qFormat/>
    <w:uiPriority w:val="0"/>
  </w:style>
  <w:style w:type="character" w:customStyle="1" w:styleId="125">
    <w:name w:val="tit13"/>
    <w:autoRedefine/>
    <w:qFormat/>
    <w:uiPriority w:val="0"/>
    <w:rPr>
      <w:color w:val="FFFFFF"/>
    </w:rPr>
  </w:style>
  <w:style w:type="character" w:customStyle="1" w:styleId="126">
    <w:name w:val="txt1"/>
    <w:basedOn w:val="52"/>
    <w:autoRedefine/>
    <w:qFormat/>
    <w:uiPriority w:val="0"/>
  </w:style>
  <w:style w:type="character" w:customStyle="1" w:styleId="127">
    <w:name w:val="c1"/>
    <w:basedOn w:val="52"/>
    <w:autoRedefine/>
    <w:qFormat/>
    <w:uiPriority w:val="0"/>
  </w:style>
  <w:style w:type="character" w:customStyle="1" w:styleId="128">
    <w:name w:val="nostart2"/>
    <w:autoRedefine/>
    <w:qFormat/>
    <w:uiPriority w:val="0"/>
    <w:rPr>
      <w:color w:val="B60000"/>
    </w:rPr>
  </w:style>
  <w:style w:type="character" w:customStyle="1" w:styleId="129">
    <w:name w:val="17"/>
    <w:autoRedefine/>
    <w:qFormat/>
    <w:uiPriority w:val="0"/>
    <w:rPr>
      <w:rFonts w:ascii="仿宋_GB2312" w:eastAsia="仿宋_GB2312"/>
      <w:color w:val="auto"/>
      <w:sz w:val="28"/>
      <w:szCs w:val="28"/>
      <w:u w:val="single"/>
    </w:rPr>
  </w:style>
  <w:style w:type="character" w:customStyle="1" w:styleId="130">
    <w:name w:val="num61"/>
    <w:basedOn w:val="52"/>
    <w:autoRedefine/>
    <w:qFormat/>
    <w:uiPriority w:val="0"/>
  </w:style>
  <w:style w:type="character" w:customStyle="1" w:styleId="131">
    <w:name w:val="over2"/>
    <w:autoRedefine/>
    <w:qFormat/>
    <w:uiPriority w:val="0"/>
    <w:rPr>
      <w:color w:val="999999"/>
    </w:rPr>
  </w:style>
  <w:style w:type="character" w:customStyle="1" w:styleId="132">
    <w:name w:val=" Char Char"/>
    <w:autoRedefine/>
    <w:qFormat/>
    <w:uiPriority w:val="0"/>
    <w:rPr>
      <w:rFonts w:ascii="Arial" w:hAnsi="Arial" w:eastAsia="黑体"/>
      <w:b/>
      <w:bCs/>
      <w:kern w:val="2"/>
      <w:sz w:val="32"/>
      <w:szCs w:val="32"/>
      <w:lang w:val="en-US" w:eastAsia="zh-CN" w:bidi="ar-SA"/>
    </w:rPr>
  </w:style>
  <w:style w:type="character" w:customStyle="1" w:styleId="133">
    <w:name w:val="p05"/>
    <w:basedOn w:val="52"/>
    <w:autoRedefine/>
    <w:qFormat/>
    <w:uiPriority w:val="0"/>
  </w:style>
  <w:style w:type="character" w:customStyle="1" w:styleId="134">
    <w:name w:val="font31"/>
    <w:basedOn w:val="52"/>
    <w:autoRedefine/>
    <w:qFormat/>
    <w:uiPriority w:val="0"/>
    <w:rPr>
      <w:rFonts w:hint="eastAsia" w:ascii="仿宋_GB2312" w:eastAsia="仿宋_GB2312" w:cs="仿宋_GB2312"/>
      <w:color w:val="000000"/>
      <w:sz w:val="28"/>
      <w:szCs w:val="28"/>
      <w:u w:val="single"/>
    </w:rPr>
  </w:style>
  <w:style w:type="character" w:customStyle="1" w:styleId="135">
    <w:name w:val="l11"/>
    <w:autoRedefine/>
    <w:qFormat/>
    <w:uiPriority w:val="0"/>
    <w:rPr>
      <w:color w:val="999999"/>
    </w:rPr>
  </w:style>
  <w:style w:type="character" w:customStyle="1" w:styleId="136">
    <w:name w:val="buvis"/>
    <w:autoRedefine/>
    <w:qFormat/>
    <w:uiPriority w:val="0"/>
    <w:rPr>
      <w:color w:val="999999"/>
    </w:rPr>
  </w:style>
  <w:style w:type="character" w:customStyle="1" w:styleId="137">
    <w:name w:val="starting1"/>
    <w:autoRedefine/>
    <w:qFormat/>
    <w:uiPriority w:val="0"/>
    <w:rPr>
      <w:color w:val="339900"/>
    </w:rPr>
  </w:style>
  <w:style w:type="character" w:customStyle="1" w:styleId="138">
    <w:name w:val="tit9"/>
    <w:autoRedefine/>
    <w:qFormat/>
    <w:uiPriority w:val="0"/>
    <w:rPr>
      <w:color w:val="B60000"/>
      <w:sz w:val="27"/>
      <w:szCs w:val="27"/>
      <w:bdr w:val="single" w:color="DFCEB8" w:sz="6" w:space="0"/>
      <w:shd w:val="clear" w:color="auto" w:fill="FFFFFF"/>
    </w:rPr>
  </w:style>
  <w:style w:type="character" w:customStyle="1" w:styleId="139">
    <w:name w:val="纯文本 Char1"/>
    <w:autoRedefine/>
    <w:qFormat/>
    <w:uiPriority w:val="0"/>
    <w:rPr>
      <w:rFonts w:ascii="Courier New" w:hAnsi="Courier New" w:eastAsia="宋体"/>
      <w:kern w:val="2"/>
      <w:sz w:val="21"/>
      <w:lang w:val="en-US" w:eastAsia="zh-CN" w:bidi="ar-SA"/>
    </w:rPr>
  </w:style>
  <w:style w:type="character" w:customStyle="1" w:styleId="140">
    <w:name w:val="starting3"/>
    <w:basedOn w:val="52"/>
    <w:autoRedefine/>
    <w:qFormat/>
    <w:uiPriority w:val="0"/>
  </w:style>
  <w:style w:type="character" w:customStyle="1" w:styleId="141">
    <w:name w:val="msg-box29"/>
    <w:basedOn w:val="52"/>
    <w:autoRedefine/>
    <w:qFormat/>
    <w:uiPriority w:val="0"/>
  </w:style>
  <w:style w:type="character" w:customStyle="1" w:styleId="142">
    <w:name w:val="bigfont"/>
    <w:basedOn w:val="52"/>
    <w:autoRedefine/>
    <w:qFormat/>
    <w:uiPriority w:val="0"/>
  </w:style>
  <w:style w:type="character" w:customStyle="1" w:styleId="143">
    <w:name w:val="l51"/>
    <w:autoRedefine/>
    <w:qFormat/>
    <w:uiPriority w:val="0"/>
    <w:rPr>
      <w:color w:val="999999"/>
    </w:rPr>
  </w:style>
  <w:style w:type="character" w:customStyle="1" w:styleId="144">
    <w:name w:val="nostart"/>
    <w:autoRedefine/>
    <w:qFormat/>
    <w:uiPriority w:val="0"/>
    <w:rPr>
      <w:color w:val="FF0000"/>
    </w:rPr>
  </w:style>
  <w:style w:type="character" w:customStyle="1" w:styleId="145">
    <w:name w:val="job"/>
    <w:basedOn w:val="52"/>
    <w:autoRedefine/>
    <w:qFormat/>
    <w:uiPriority w:val="0"/>
  </w:style>
  <w:style w:type="character" w:customStyle="1" w:styleId="146">
    <w:name w:val="标题 2 Char1"/>
    <w:autoRedefine/>
    <w:qFormat/>
    <w:uiPriority w:val="0"/>
    <w:rPr>
      <w:rFonts w:ascii="Arial" w:hAnsi="Arial" w:eastAsia="黑体"/>
      <w:b/>
      <w:bCs/>
      <w:kern w:val="2"/>
      <w:sz w:val="32"/>
      <w:szCs w:val="32"/>
      <w:lang w:val="en-US" w:eastAsia="zh-CN" w:bidi="ar-SA"/>
    </w:rPr>
  </w:style>
  <w:style w:type="character" w:customStyle="1" w:styleId="147">
    <w:name w:val="img_title6"/>
    <w:autoRedefine/>
    <w:qFormat/>
    <w:uiPriority w:val="0"/>
    <w:rPr>
      <w:vanish/>
    </w:rPr>
  </w:style>
  <w:style w:type="character" w:customStyle="1" w:styleId="148">
    <w:name w:val=" Char Char1"/>
    <w:autoRedefine/>
    <w:qFormat/>
    <w:uiPriority w:val="0"/>
    <w:rPr>
      <w:rFonts w:eastAsia="宋体"/>
      <w:kern w:val="2"/>
      <w:sz w:val="21"/>
      <w:szCs w:val="24"/>
      <w:lang w:val="en-US" w:eastAsia="zh-CN" w:bidi="ar-SA"/>
    </w:rPr>
  </w:style>
  <w:style w:type="character" w:customStyle="1" w:styleId="149">
    <w:name w:val="tit11"/>
    <w:autoRedefine/>
    <w:qFormat/>
    <w:uiPriority w:val="0"/>
    <w:rPr>
      <w:color w:val="B60000"/>
    </w:rPr>
  </w:style>
  <w:style w:type="character" w:customStyle="1" w:styleId="150">
    <w:name w:val="over"/>
    <w:autoRedefine/>
    <w:qFormat/>
    <w:uiPriority w:val="0"/>
    <w:rPr>
      <w:color w:val="B60000"/>
    </w:rPr>
  </w:style>
  <w:style w:type="character" w:customStyle="1" w:styleId="151">
    <w:name w:val="over1"/>
    <w:autoRedefine/>
    <w:qFormat/>
    <w:uiPriority w:val="0"/>
    <w:rPr>
      <w:color w:val="B60000"/>
    </w:rPr>
  </w:style>
  <w:style w:type="character" w:customStyle="1" w:styleId="152">
    <w:name w:val=" Char Char Char"/>
    <w:autoRedefine/>
    <w:qFormat/>
    <w:uiPriority w:val="0"/>
    <w:rPr>
      <w:rFonts w:eastAsia="宋体"/>
      <w:b/>
      <w:bCs/>
      <w:kern w:val="44"/>
      <w:sz w:val="44"/>
      <w:szCs w:val="44"/>
      <w:lang w:val="en-US" w:eastAsia="zh-CN" w:bidi="ar-SA"/>
    </w:rPr>
  </w:style>
  <w:style w:type="character" w:customStyle="1" w:styleId="153">
    <w:name w:val="num71"/>
    <w:basedOn w:val="52"/>
    <w:autoRedefine/>
    <w:qFormat/>
    <w:uiPriority w:val="0"/>
  </w:style>
  <w:style w:type="character" w:customStyle="1" w:styleId="154">
    <w:name w:val="msg-box30"/>
    <w:basedOn w:val="52"/>
    <w:autoRedefine/>
    <w:qFormat/>
    <w:uiPriority w:val="0"/>
  </w:style>
  <w:style w:type="character" w:customStyle="1" w:styleId="155">
    <w:name w:val="name"/>
    <w:autoRedefine/>
    <w:qFormat/>
    <w:uiPriority w:val="0"/>
    <w:rPr>
      <w:color w:val="444444"/>
      <w:sz w:val="21"/>
      <w:szCs w:val="21"/>
    </w:rPr>
  </w:style>
  <w:style w:type="character" w:customStyle="1" w:styleId="156">
    <w:name w:val=" Char Char7"/>
    <w:autoRedefine/>
    <w:qFormat/>
    <w:uiPriority w:val="0"/>
    <w:rPr>
      <w:rFonts w:ascii="Arial" w:hAnsi="Arial" w:eastAsia="黑体"/>
      <w:b/>
      <w:bCs/>
      <w:kern w:val="2"/>
      <w:sz w:val="32"/>
      <w:szCs w:val="32"/>
      <w:lang w:val="en-US" w:eastAsia="zh-CN" w:bidi="ar-SA"/>
    </w:rPr>
  </w:style>
  <w:style w:type="character" w:customStyle="1" w:styleId="157">
    <w:name w:val="img_title9"/>
    <w:autoRedefine/>
    <w:qFormat/>
    <w:uiPriority w:val="0"/>
    <w:rPr>
      <w:vanish/>
    </w:rPr>
  </w:style>
  <w:style w:type="character" w:customStyle="1" w:styleId="158">
    <w:name w:val="16"/>
    <w:autoRedefine/>
    <w:qFormat/>
    <w:uiPriority w:val="0"/>
    <w:rPr>
      <w:rFonts w:ascii="仿宋_GB2312" w:eastAsia="仿宋_GB2312"/>
      <w:color w:val="auto"/>
      <w:sz w:val="28"/>
      <w:szCs w:val="28"/>
    </w:rPr>
  </w:style>
  <w:style w:type="character" w:customStyle="1" w:styleId="159">
    <w:name w:val="nostart1"/>
    <w:autoRedefine/>
    <w:qFormat/>
    <w:uiPriority w:val="0"/>
    <w:rPr>
      <w:color w:val="FF0000"/>
    </w:rPr>
  </w:style>
  <w:style w:type="character" w:customStyle="1" w:styleId="160">
    <w:name w:val="zw"/>
    <w:autoRedefine/>
    <w:qFormat/>
    <w:uiPriority w:val="0"/>
    <w:rPr>
      <w:color w:val="BD1E22"/>
      <w:sz w:val="22"/>
      <w:szCs w:val="22"/>
    </w:rPr>
  </w:style>
  <w:style w:type="character" w:customStyle="1" w:styleId="161">
    <w:name w:val="name2"/>
    <w:autoRedefine/>
    <w:qFormat/>
    <w:uiPriority w:val="0"/>
    <w:rPr>
      <w:color w:val="000000"/>
      <w:sz w:val="39"/>
      <w:szCs w:val="39"/>
    </w:rPr>
  </w:style>
  <w:style w:type="character" w:customStyle="1" w:styleId="162">
    <w:name w:val="buvis1"/>
    <w:autoRedefine/>
    <w:qFormat/>
    <w:uiPriority w:val="0"/>
    <w:rPr>
      <w:color w:val="CC0000"/>
    </w:rPr>
  </w:style>
  <w:style w:type="character" w:customStyle="1" w:styleId="163">
    <w:name w:val=" Char Char8"/>
    <w:autoRedefine/>
    <w:qFormat/>
    <w:uiPriority w:val="0"/>
    <w:rPr>
      <w:rFonts w:ascii="Arial" w:hAnsi="Arial" w:eastAsia="黑体"/>
      <w:b/>
      <w:bCs/>
      <w:kern w:val="2"/>
      <w:sz w:val="32"/>
      <w:szCs w:val="32"/>
      <w:lang w:val="en-US" w:eastAsia="zh-CN" w:bidi="ar-SA"/>
    </w:rPr>
  </w:style>
  <w:style w:type="character" w:customStyle="1" w:styleId="164">
    <w:name w:val="bsharetext"/>
    <w:basedOn w:val="52"/>
    <w:autoRedefine/>
    <w:qFormat/>
    <w:uiPriority w:val="0"/>
  </w:style>
  <w:style w:type="character" w:customStyle="1" w:styleId="165">
    <w:name w:val="job1"/>
    <w:basedOn w:val="52"/>
    <w:autoRedefine/>
    <w:qFormat/>
    <w:uiPriority w:val="0"/>
  </w:style>
  <w:style w:type="character" w:customStyle="1" w:styleId="166">
    <w:name w:val="textcontents"/>
    <w:basedOn w:val="52"/>
    <w:autoRedefine/>
    <w:qFormat/>
    <w:uiPriority w:val="0"/>
  </w:style>
  <w:style w:type="character" w:customStyle="1" w:styleId="167">
    <w:name w:val="msg-box28"/>
    <w:basedOn w:val="52"/>
    <w:autoRedefine/>
    <w:qFormat/>
    <w:uiPriority w:val="0"/>
  </w:style>
  <w:style w:type="character" w:customStyle="1" w:styleId="168">
    <w:name w:val="z-窗体顶端 Char"/>
    <w:basedOn w:val="52"/>
    <w:link w:val="169"/>
    <w:autoRedefine/>
    <w:qFormat/>
    <w:uiPriority w:val="0"/>
    <w:rPr>
      <w:rFonts w:ascii="Arial" w:hAnsi="Calibri"/>
      <w:vanish/>
      <w:kern w:val="2"/>
      <w:sz w:val="16"/>
      <w:szCs w:val="24"/>
    </w:rPr>
  </w:style>
  <w:style w:type="paragraph" w:customStyle="1" w:styleId="169">
    <w:name w:val="_Style 168"/>
    <w:basedOn w:val="1"/>
    <w:next w:val="1"/>
    <w:link w:val="168"/>
    <w:autoRedefine/>
    <w:qFormat/>
    <w:uiPriority w:val="0"/>
    <w:pPr>
      <w:pBdr>
        <w:bottom w:val="single" w:color="auto" w:sz="6" w:space="1"/>
      </w:pBdr>
      <w:jc w:val="center"/>
    </w:pPr>
    <w:rPr>
      <w:rFonts w:ascii="Arial" w:hAnsi="Calibri"/>
      <w:vanish/>
      <w:sz w:val="16"/>
    </w:rPr>
  </w:style>
  <w:style w:type="character" w:customStyle="1" w:styleId="170">
    <w:name w:val=" Char Char3"/>
    <w:autoRedefine/>
    <w:qFormat/>
    <w:uiPriority w:val="0"/>
    <w:rPr>
      <w:rFonts w:ascii="Arial" w:hAnsi="Arial" w:eastAsia="黑体"/>
      <w:b/>
      <w:bCs/>
      <w:kern w:val="2"/>
      <w:sz w:val="32"/>
      <w:szCs w:val="32"/>
      <w:lang w:val="en-US" w:eastAsia="zh-CN" w:bidi="ar-SA"/>
    </w:rPr>
  </w:style>
  <w:style w:type="character" w:customStyle="1" w:styleId="171">
    <w:name w:val="txt"/>
    <w:autoRedefine/>
    <w:qFormat/>
    <w:uiPriority w:val="0"/>
    <w:rPr>
      <w:color w:val="C0C0C0"/>
    </w:rPr>
  </w:style>
  <w:style w:type="character" w:customStyle="1" w:styleId="172">
    <w:name w:val="zs"/>
    <w:autoRedefine/>
    <w:qFormat/>
    <w:uiPriority w:val="0"/>
    <w:rPr>
      <w:color w:val="8D744B"/>
      <w:sz w:val="18"/>
      <w:szCs w:val="18"/>
    </w:rPr>
  </w:style>
  <w:style w:type="character" w:customStyle="1" w:styleId="173">
    <w:name w:val="l21"/>
    <w:autoRedefine/>
    <w:qFormat/>
    <w:uiPriority w:val="0"/>
    <w:rPr>
      <w:color w:val="999999"/>
    </w:rPr>
  </w:style>
  <w:style w:type="character" w:customStyle="1" w:styleId="174">
    <w:name w:val="starting4"/>
    <w:basedOn w:val="52"/>
    <w:autoRedefine/>
    <w:qFormat/>
    <w:uiPriority w:val="0"/>
  </w:style>
  <w:style w:type="character" w:customStyle="1" w:styleId="175">
    <w:name w:val="img4"/>
    <w:basedOn w:val="52"/>
    <w:autoRedefine/>
    <w:qFormat/>
    <w:uiPriority w:val="0"/>
  </w:style>
  <w:style w:type="character" w:customStyle="1" w:styleId="176">
    <w:name w:val="starting2"/>
    <w:autoRedefine/>
    <w:qFormat/>
    <w:uiPriority w:val="0"/>
    <w:rPr>
      <w:color w:val="B60000"/>
    </w:rPr>
  </w:style>
  <w:style w:type="character" w:customStyle="1" w:styleId="177">
    <w:name w:val="num41"/>
    <w:basedOn w:val="52"/>
    <w:autoRedefine/>
    <w:qFormat/>
    <w:uiPriority w:val="0"/>
  </w:style>
  <w:style w:type="character" w:customStyle="1" w:styleId="178">
    <w:name w:val="标题 1 Char Char"/>
    <w:autoRedefine/>
    <w:qFormat/>
    <w:locked/>
    <w:uiPriority w:val="0"/>
    <w:rPr>
      <w:rFonts w:eastAsia="宋体"/>
      <w:b/>
      <w:bCs/>
      <w:kern w:val="44"/>
      <w:sz w:val="44"/>
      <w:szCs w:val="44"/>
      <w:lang w:val="en-US" w:eastAsia="zh-CN" w:bidi="ar-SA"/>
    </w:rPr>
  </w:style>
  <w:style w:type="character" w:customStyle="1" w:styleId="179">
    <w:name w:val="starting"/>
    <w:autoRedefine/>
    <w:qFormat/>
    <w:uiPriority w:val="0"/>
    <w:rPr>
      <w:color w:val="339900"/>
    </w:rPr>
  </w:style>
  <w:style w:type="character" w:customStyle="1" w:styleId="180">
    <w:name w:val="font01"/>
    <w:basedOn w:val="52"/>
    <w:autoRedefine/>
    <w:qFormat/>
    <w:uiPriority w:val="0"/>
    <w:rPr>
      <w:rFonts w:hint="eastAsia" w:ascii="仿宋_GB2312" w:eastAsia="仿宋_GB2312" w:cs="仿宋_GB2312"/>
      <w:color w:val="000000"/>
      <w:sz w:val="28"/>
      <w:szCs w:val="28"/>
      <w:u w:val="none"/>
    </w:rPr>
  </w:style>
  <w:style w:type="character" w:customStyle="1" w:styleId="181">
    <w:name w:val=" Char Char2"/>
    <w:autoRedefine/>
    <w:qFormat/>
    <w:uiPriority w:val="0"/>
    <w:rPr>
      <w:rFonts w:eastAsia="宋体"/>
      <w:kern w:val="2"/>
      <w:sz w:val="21"/>
      <w:szCs w:val="24"/>
      <w:lang w:val="en-US" w:eastAsia="zh-CN" w:bidi="ar-SA"/>
    </w:rPr>
  </w:style>
  <w:style w:type="character" w:customStyle="1" w:styleId="182">
    <w:name w:val="num210"/>
    <w:basedOn w:val="52"/>
    <w:autoRedefine/>
    <w:qFormat/>
    <w:uiPriority w:val="0"/>
  </w:style>
  <w:style w:type="character" w:customStyle="1" w:styleId="183">
    <w:name w:val="img_title7"/>
    <w:autoRedefine/>
    <w:qFormat/>
    <w:uiPriority w:val="0"/>
    <w:rPr>
      <w:vanish/>
    </w:rPr>
  </w:style>
  <w:style w:type="character" w:customStyle="1" w:styleId="184">
    <w:name w:val="name1"/>
    <w:autoRedefine/>
    <w:qFormat/>
    <w:uiPriority w:val="0"/>
    <w:rPr>
      <w:color w:val="695435"/>
      <w:sz w:val="24"/>
      <w:szCs w:val="24"/>
    </w:rPr>
  </w:style>
  <w:style w:type="character" w:customStyle="1" w:styleId="185">
    <w:name w:val=" Char Char4"/>
    <w:autoRedefine/>
    <w:qFormat/>
    <w:uiPriority w:val="0"/>
    <w:rPr>
      <w:rFonts w:eastAsia="宋体"/>
      <w:b/>
      <w:bCs/>
      <w:kern w:val="44"/>
      <w:sz w:val="44"/>
      <w:szCs w:val="44"/>
      <w:lang w:val="en-US" w:eastAsia="zh-CN" w:bidi="ar-SA"/>
    </w:rPr>
  </w:style>
  <w:style w:type="paragraph" w:customStyle="1" w:styleId="186">
    <w:name w:val="Char"/>
    <w:basedOn w:val="1"/>
    <w:next w:val="1"/>
    <w:autoRedefine/>
    <w:qFormat/>
    <w:uiPriority w:val="0"/>
    <w:pPr>
      <w:widowControl/>
      <w:spacing w:line="360" w:lineRule="auto"/>
      <w:jc w:val="left"/>
    </w:pPr>
    <w:rPr>
      <w:kern w:val="0"/>
      <w:szCs w:val="20"/>
      <w:lang w:eastAsia="en-US"/>
    </w:rPr>
  </w:style>
  <w:style w:type="paragraph" w:customStyle="1" w:styleId="187">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88">
    <w:name w:val="正文1"/>
    <w:autoRedefine/>
    <w:qFormat/>
    <w:uiPriority w:val="0"/>
    <w:pPr>
      <w:widowControl w:val="0"/>
      <w:adjustRightInd w:val="0"/>
      <w:spacing w:line="312" w:lineRule="atLeast"/>
      <w:jc w:val="both"/>
      <w:textAlignment w:val="baseline"/>
    </w:pPr>
    <w:rPr>
      <w:rFonts w:ascii="宋体" w:hAnsi="Calibri" w:eastAsia="宋体" w:cs="宋体"/>
      <w:sz w:val="24"/>
      <w:szCs w:val="24"/>
      <w:lang w:val="en-US" w:eastAsia="zh-CN" w:bidi="ar-SA"/>
    </w:rPr>
  </w:style>
  <w:style w:type="paragraph" w:customStyle="1" w:styleId="189">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190">
    <w:name w:val="Picture caption|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191">
    <w:name w:val="样式3"/>
    <w:basedOn w:val="6"/>
    <w:autoRedefine/>
    <w:qFormat/>
    <w:uiPriority w:val="0"/>
    <w:pPr>
      <w:spacing w:line="415" w:lineRule="auto"/>
    </w:pPr>
    <w:rPr>
      <w:rFonts w:eastAsia="Arial"/>
    </w:rPr>
  </w:style>
  <w:style w:type="paragraph" w:customStyle="1" w:styleId="192">
    <w:name w:val=" Char Char Char Char"/>
    <w:basedOn w:val="1"/>
    <w:autoRedefine/>
    <w:qFormat/>
    <w:uiPriority w:val="0"/>
    <w:rPr>
      <w:rFonts w:ascii="Tahoma" w:hAnsi="Tahoma"/>
      <w:sz w:val="24"/>
      <w:szCs w:val="20"/>
    </w:rPr>
  </w:style>
  <w:style w:type="paragraph" w:customStyle="1" w:styleId="193">
    <w:name w:val="WPSOffice手动目录 1"/>
    <w:autoRedefine/>
    <w:qFormat/>
    <w:uiPriority w:val="0"/>
    <w:rPr>
      <w:rFonts w:ascii="Times New Roman" w:hAnsi="Times New Roman" w:eastAsia="宋体" w:cs="Times New Roman"/>
      <w:lang w:val="en-US" w:eastAsia="zh-CN" w:bidi="ar-SA"/>
    </w:rPr>
  </w:style>
  <w:style w:type="paragraph" w:customStyle="1" w:styleId="194">
    <w:name w:val=" Char1 Char Char Char Char Char Char Char Char Char Char Char Char1 Char Char Char Char Char1 Char Char Char Char Char Char Char Char Char1 Char"/>
    <w:basedOn w:val="1"/>
    <w:autoRedefine/>
    <w:qFormat/>
    <w:uiPriority w:val="0"/>
    <w:pPr>
      <w:widowControl/>
      <w:spacing w:after="160" w:line="240" w:lineRule="exact"/>
      <w:ind w:firstLine="560" w:firstLineChars="200"/>
      <w:jc w:val="left"/>
    </w:pPr>
    <w:rPr>
      <w:rFonts w:ascii="宋体" w:hAnsi="宋体"/>
      <w:kern w:val="0"/>
      <w:sz w:val="28"/>
      <w:szCs w:val="28"/>
      <w:lang w:eastAsia="en-US"/>
    </w:rPr>
  </w:style>
  <w:style w:type="paragraph" w:customStyle="1" w:styleId="195">
    <w:name w:val="Body text|1"/>
    <w:basedOn w:val="1"/>
    <w:autoRedefine/>
    <w:qFormat/>
    <w:uiPriority w:val="0"/>
    <w:pPr>
      <w:widowControl w:val="0"/>
      <w:shd w:val="clear" w:color="auto" w:fill="auto"/>
      <w:spacing w:line="468" w:lineRule="auto"/>
      <w:ind w:firstLine="400"/>
    </w:pPr>
    <w:rPr>
      <w:rFonts w:ascii="宋体" w:hAnsi="宋体" w:eastAsia="宋体" w:cs="宋体"/>
      <w:sz w:val="20"/>
      <w:szCs w:val="20"/>
      <w:u w:val="none"/>
      <w:shd w:val="clear" w:color="auto" w:fill="auto"/>
      <w:lang w:val="zh-TW" w:eastAsia="zh-TW" w:bidi="zh-TW"/>
    </w:rPr>
  </w:style>
  <w:style w:type="paragraph" w:customStyle="1" w:styleId="196">
    <w:name w:val="样式1"/>
    <w:basedOn w:val="6"/>
    <w:autoRedefine/>
    <w:qFormat/>
    <w:uiPriority w:val="0"/>
    <w:pPr>
      <w:spacing w:line="415" w:lineRule="auto"/>
    </w:pPr>
    <w:rPr>
      <w:rFonts w:eastAsia="Arial"/>
    </w:rPr>
  </w:style>
  <w:style w:type="paragraph" w:customStyle="1" w:styleId="197">
    <w:name w:val="Normal"/>
    <w:autoRedefine/>
    <w:qFormat/>
    <w:uiPriority w:val="0"/>
    <w:pPr>
      <w:widowControl w:val="0"/>
      <w:jc w:val="both"/>
    </w:pPr>
    <w:rPr>
      <w:rFonts w:ascii="Calibri" w:hAnsi="Calibri" w:eastAsia="宋体" w:cs="Times New Roman"/>
      <w:lang w:val="en-US" w:eastAsia="zh-CN" w:bidi="ar-SA"/>
    </w:rPr>
  </w:style>
  <w:style w:type="paragraph" w:customStyle="1" w:styleId="198">
    <w:name w:val=" Char"/>
    <w:basedOn w:val="1"/>
    <w:next w:val="1"/>
    <w:autoRedefine/>
    <w:qFormat/>
    <w:uiPriority w:val="0"/>
    <w:pPr>
      <w:widowControl/>
      <w:spacing w:line="360" w:lineRule="auto"/>
      <w:jc w:val="left"/>
    </w:pPr>
    <w:rPr>
      <w:kern w:val="0"/>
      <w:szCs w:val="20"/>
      <w:lang w:eastAsia="en-US"/>
    </w:rPr>
  </w:style>
  <w:style w:type="paragraph" w:customStyle="1" w:styleId="199">
    <w:name w:val="样式2"/>
    <w:basedOn w:val="6"/>
    <w:autoRedefine/>
    <w:qFormat/>
    <w:uiPriority w:val="0"/>
    <w:pPr>
      <w:spacing w:line="415" w:lineRule="auto"/>
    </w:pPr>
  </w:style>
  <w:style w:type="paragraph" w:customStyle="1" w:styleId="200">
    <w:name w:val="p0 New"/>
    <w:basedOn w:val="1"/>
    <w:autoRedefine/>
    <w:qFormat/>
    <w:uiPriority w:val="0"/>
    <w:pPr>
      <w:widowControl/>
      <w:jc w:val="left"/>
    </w:pPr>
    <w:rPr>
      <w:rFonts w:ascii="宋体" w:hAnsi="Calibri" w:cs="宋体"/>
      <w:kern w:val="0"/>
      <w:sz w:val="18"/>
      <w:szCs w:val="18"/>
    </w:rPr>
  </w:style>
  <w:style w:type="paragraph" w:customStyle="1" w:styleId="201">
    <w:name w:val="WPSOffice手动目录 3"/>
    <w:autoRedefine/>
    <w:qFormat/>
    <w:uiPriority w:val="0"/>
    <w:pPr>
      <w:ind w:leftChars="400"/>
    </w:pPr>
    <w:rPr>
      <w:rFonts w:ascii="Times New Roman" w:hAnsi="Times New Roman" w:eastAsia="宋体" w:cs="Times New Roman"/>
      <w:sz w:val="20"/>
      <w:szCs w:val="20"/>
    </w:rPr>
  </w:style>
  <w:style w:type="paragraph" w:customStyle="1" w:styleId="202">
    <w:name w:val="1"/>
    <w:basedOn w:val="1"/>
    <w:next w:val="1"/>
    <w:autoRedefine/>
    <w:qFormat/>
    <w:uiPriority w:val="0"/>
  </w:style>
  <w:style w:type="paragraph" w:customStyle="1" w:styleId="203">
    <w:name w:val="Char4"/>
    <w:basedOn w:val="1"/>
    <w:autoRedefine/>
    <w:qFormat/>
    <w:uiPriority w:val="0"/>
    <w:pPr>
      <w:widowControl/>
      <w:spacing w:line="360" w:lineRule="auto"/>
      <w:ind w:firstLine="200" w:firstLineChars="200"/>
      <w:textAlignment w:val="baseline"/>
    </w:pPr>
    <w:rPr>
      <w:rFonts w:ascii="Calibri" w:hAnsi="Calibri"/>
      <w:color w:val="000000"/>
      <w:kern w:val="0"/>
      <w:szCs w:val="20"/>
      <w:u w:val="none" w:color="000000"/>
    </w:rPr>
  </w:style>
  <w:style w:type="paragraph" w:customStyle="1" w:styleId="204">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样式4"/>
    <w:basedOn w:val="6"/>
    <w:autoRedefine/>
    <w:qFormat/>
    <w:uiPriority w:val="0"/>
    <w:pPr>
      <w:spacing w:line="415" w:lineRule="auto"/>
    </w:pPr>
    <w:rPr>
      <w:rFonts w:eastAsia="Arial"/>
    </w:rPr>
  </w:style>
  <w:style w:type="paragraph" w:customStyle="1" w:styleId="206">
    <w:name w:val="Char Char"/>
    <w:basedOn w:val="1"/>
    <w:autoRedefine/>
    <w:qFormat/>
    <w:uiPriority w:val="0"/>
    <w:pPr>
      <w:widowControl/>
      <w:spacing w:after="160" w:afterLines="0" w:line="240" w:lineRule="exact"/>
      <w:jc w:val="left"/>
    </w:pPr>
  </w:style>
  <w:style w:type="paragraph" w:customStyle="1" w:styleId="207">
    <w:name w:val="p"/>
    <w:basedOn w:val="1"/>
    <w:autoRedefine/>
    <w:qFormat/>
    <w:uiPriority w:val="0"/>
    <w:rPr>
      <w:rFonts w:ascii="宋体"/>
      <w:sz w:val="24"/>
    </w:rPr>
  </w:style>
  <w:style w:type="paragraph" w:customStyle="1" w:styleId="208">
    <w:name w:val="样式 标题 3 + (中文) 黑体 小四 非加粗 段前: 7.8 磅 段后: 0 磅 行距: 固定值 20 磅"/>
    <w:basedOn w:val="6"/>
    <w:autoRedefine/>
    <w:qFormat/>
    <w:uiPriority w:val="0"/>
    <w:pPr>
      <w:spacing w:before="0" w:after="0" w:line="400" w:lineRule="exact"/>
    </w:pPr>
    <w:rPr>
      <w:rFonts w:eastAsia="黑体" w:cs="宋体"/>
      <w:b w:val="0"/>
      <w:bCs w:val="0"/>
      <w:sz w:val="24"/>
      <w:szCs w:val="20"/>
    </w:rPr>
  </w:style>
  <w:style w:type="paragraph" w:customStyle="1" w:styleId="209">
    <w:name w:val="默认段落字体 Para Char Char Char Char"/>
    <w:basedOn w:val="1"/>
    <w:autoRedefine/>
    <w:qFormat/>
    <w:uiPriority w:val="0"/>
  </w:style>
  <w:style w:type="paragraph" w:customStyle="1" w:styleId="210">
    <w:name w:val="样式 标题 1 + 黑体 三号 非加粗 居中 段前: 6 磅 段后: 6 磅 行距: 固定值 20 磅"/>
    <w:basedOn w:val="4"/>
    <w:autoRedefine/>
    <w:qFormat/>
    <w:uiPriority w:val="0"/>
    <w:pPr>
      <w:spacing w:before="120" w:after="120" w:line="400" w:lineRule="exact"/>
      <w:jc w:val="center"/>
    </w:pPr>
    <w:rPr>
      <w:rFonts w:ascii="黑体" w:hAnsi="黑体" w:eastAsia="黑体" w:cs="宋体"/>
      <w:b w:val="0"/>
      <w:bCs w:val="0"/>
      <w:sz w:val="32"/>
      <w:szCs w:val="20"/>
    </w:rPr>
  </w:style>
  <w:style w:type="paragraph" w:customStyle="1" w:styleId="211">
    <w:name w:val=" Char Char Char Char Char Char Char Char Char Char Char Char Char"/>
    <w:basedOn w:val="1"/>
    <w:autoRedefine/>
    <w:qFormat/>
    <w:uiPriority w:val="0"/>
    <w:rPr>
      <w:rFonts w:ascii="Calibri" w:hAnsi="Calibri"/>
    </w:rPr>
  </w:style>
  <w:style w:type="paragraph" w:customStyle="1" w:styleId="212">
    <w:name w:val="样式 标题 2 + Times New Roman 四号 非加粗 段前: 5 磅 段后: 0 磅 行距: 固定值 20..."/>
    <w:basedOn w:val="5"/>
    <w:autoRedefine/>
    <w:qFormat/>
    <w:uiPriority w:val="0"/>
    <w:pPr>
      <w:spacing w:before="100" w:after="0" w:line="400" w:lineRule="exact"/>
    </w:pPr>
    <w:rPr>
      <w:rFonts w:ascii="Times New Roman" w:hAnsi="Times New Roman" w:cs="宋体"/>
      <w:b w:val="0"/>
      <w:bCs w:val="0"/>
      <w:sz w:val="28"/>
      <w:szCs w:val="20"/>
    </w:rPr>
  </w:style>
  <w:style w:type="paragraph" w:customStyle="1" w:styleId="213">
    <w:name w:val="表格"/>
    <w:basedOn w:val="1"/>
    <w:autoRedefine/>
    <w:qFormat/>
    <w:uiPriority w:val="0"/>
    <w:pPr>
      <w:jc w:val="center"/>
      <w:textAlignment w:val="center"/>
    </w:pPr>
    <w:rPr>
      <w:rFonts w:ascii="华文细黑" w:hAnsi="华文细黑"/>
      <w:kern w:val="0"/>
      <w:szCs w:val="20"/>
    </w:rPr>
  </w:style>
  <w:style w:type="paragraph" w:customStyle="1" w:styleId="214">
    <w:name w:val="列出段落1"/>
    <w:basedOn w:val="1"/>
    <w:autoRedefine/>
    <w:qFormat/>
    <w:uiPriority w:val="0"/>
    <w:pPr>
      <w:ind w:firstLine="200" w:firstLineChars="200"/>
    </w:pPr>
    <w:rPr>
      <w:rFonts w:ascii="Calibri" w:hAnsi="Calibri"/>
    </w:rPr>
  </w:style>
  <w:style w:type="paragraph" w:customStyle="1" w:styleId="215">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216">
    <w:name w:val="p0"/>
    <w:basedOn w:val="1"/>
    <w:autoRedefine/>
    <w:qFormat/>
    <w:uiPriority w:val="0"/>
    <w:pPr>
      <w:widowControl/>
      <w:jc w:val="left"/>
    </w:pPr>
    <w:rPr>
      <w:rFonts w:ascii="宋体" w:hAnsi="宋体" w:cs="宋体"/>
      <w:kern w:val="0"/>
      <w:sz w:val="18"/>
      <w:szCs w:val="18"/>
    </w:rPr>
  </w:style>
  <w:style w:type="paragraph" w:customStyle="1" w:styleId="217">
    <w:name w:val="表格文字"/>
    <w:basedOn w:val="1"/>
    <w:autoRedefine/>
    <w:qFormat/>
    <w:uiPriority w:val="0"/>
    <w:pPr>
      <w:adjustRightInd w:val="0"/>
      <w:spacing w:line="420" w:lineRule="atLeast"/>
      <w:jc w:val="left"/>
      <w:textAlignment w:val="baseline"/>
    </w:pPr>
    <w:rPr>
      <w:kern w:val="0"/>
      <w:szCs w:val="20"/>
    </w:rPr>
  </w:style>
  <w:style w:type="paragraph" w:customStyle="1" w:styleId="218">
    <w:name w:val="Char Char Char Char Char Char Char Char Char Char Char Char Char"/>
    <w:basedOn w:val="1"/>
    <w:autoRedefine/>
    <w:qFormat/>
    <w:uiPriority w:val="0"/>
  </w:style>
  <w:style w:type="paragraph" w:customStyle="1" w:styleId="219">
    <w:name w:val="WPSOffice手动目录 2"/>
    <w:autoRedefine/>
    <w:qFormat/>
    <w:uiPriority w:val="0"/>
    <w:pPr>
      <w:ind w:leftChars="200"/>
    </w:pPr>
    <w:rPr>
      <w:rFonts w:ascii="Times New Roman" w:hAnsi="Times New Roman" w:eastAsia="宋体" w:cs="Times New Roman"/>
      <w:lang w:val="en-US" w:eastAsia="zh-CN" w:bidi="ar-SA"/>
    </w:rPr>
  </w:style>
  <w:style w:type="paragraph" w:customStyle="1" w:styleId="220">
    <w:name w:val="Default Paragraph Char Char Char Char"/>
    <w:basedOn w:val="1"/>
    <w:next w:val="1"/>
    <w:autoRedefine/>
    <w:qFormat/>
    <w:uiPriority w:val="0"/>
    <w:pPr>
      <w:spacing w:line="360" w:lineRule="auto"/>
    </w:pPr>
    <w:rPr>
      <w:rFonts w:ascii="Calibri" w:hAnsi="Calibri"/>
      <w:szCs w:val="20"/>
    </w:rPr>
  </w:style>
  <w:style w:type="paragraph" w:customStyle="1" w:styleId="221">
    <w:name w:val="Table Paragraph"/>
    <w:basedOn w:val="1"/>
    <w:autoRedefine/>
    <w:qFormat/>
    <w:uiPriority w:val="1"/>
    <w:rPr>
      <w:rFonts w:ascii="宋体" w:hAnsi="宋体" w:cs="宋体"/>
      <w:lang w:val="zh-CN" w:bidi="zh-CN"/>
    </w:rPr>
  </w:style>
  <w:style w:type="paragraph" w:customStyle="1" w:styleId="222">
    <w:name w:val="p15"/>
    <w:autoRedefine/>
    <w:qFormat/>
    <w:uiPriority w:val="0"/>
    <w:pPr>
      <w:jc w:val="both"/>
    </w:pPr>
    <w:rPr>
      <w:rFonts w:ascii="宋体" w:hAnsi="Calibri" w:eastAsia="宋体" w:cs="宋体"/>
      <w:sz w:val="21"/>
      <w:szCs w:val="21"/>
      <w:lang w:val="en-US" w:eastAsia="zh-CN" w:bidi="ar-SA"/>
    </w:rPr>
  </w:style>
  <w:style w:type="paragraph" w:styleId="223">
    <w:name w:val="List Paragraph"/>
    <w:basedOn w:val="1"/>
    <w:autoRedefine/>
    <w:qFormat/>
    <w:uiPriority w:val="0"/>
    <w:pPr>
      <w:ind w:firstLine="200" w:firstLineChars="200"/>
    </w:pPr>
    <w:rPr>
      <w:rFonts w:ascii="Calibri" w:hAnsi="Calibri"/>
      <w:szCs w:val="22"/>
    </w:rPr>
  </w:style>
  <w:style w:type="paragraph" w:customStyle="1" w:styleId="224">
    <w:name w:val="Body text|2"/>
    <w:basedOn w:val="1"/>
    <w:autoRedefine/>
    <w:qFormat/>
    <w:uiPriority w:val="0"/>
    <w:pPr>
      <w:widowControl w:val="0"/>
      <w:shd w:val="clear" w:color="auto" w:fill="auto"/>
      <w:spacing w:before="3540" w:line="634" w:lineRule="exact"/>
      <w:ind w:left="2920" w:hanging="790"/>
    </w:pPr>
    <w:rPr>
      <w:rFonts w:ascii="宋体" w:hAnsi="宋体" w:eastAsia="宋体" w:cs="宋体"/>
      <w:sz w:val="30"/>
      <w:szCs w:val="30"/>
      <w:u w:val="single"/>
      <w:shd w:val="clear" w:color="auto" w:fill="auto"/>
      <w:lang w:val="zh-TW" w:eastAsia="zh-TW" w:bidi="zh-TW"/>
    </w:rPr>
  </w:style>
  <w:style w:type="paragraph" w:customStyle="1" w:styleId="225">
    <w:name w:val="Table caption|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226">
    <w:name w:val="Other|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227">
    <w:name w:val="font21"/>
    <w:basedOn w:val="52"/>
    <w:autoRedefine/>
    <w:qFormat/>
    <w:uiPriority w:val="0"/>
    <w:rPr>
      <w:rFonts w:hint="eastAsia" w:ascii="宋体" w:hAnsi="宋体" w:eastAsia="宋体" w:cs="宋体"/>
      <w:color w:val="000000"/>
      <w:sz w:val="24"/>
      <w:szCs w:val="24"/>
      <w:u w:val="none"/>
    </w:rPr>
  </w:style>
  <w:style w:type="character" w:customStyle="1" w:styleId="228">
    <w:name w:val="font112"/>
    <w:basedOn w:val="52"/>
    <w:autoRedefine/>
    <w:qFormat/>
    <w:uiPriority w:val="0"/>
    <w:rPr>
      <w:rFonts w:ascii="MS Sans Serif" w:hAnsi="MS Sans Serif" w:eastAsia="MS Sans Serif" w:cs="MS Sans Serif"/>
      <w:color w:val="000000"/>
      <w:sz w:val="20"/>
      <w:szCs w:val="20"/>
      <w:u w:val="none"/>
    </w:rPr>
  </w:style>
  <w:style w:type="character" w:customStyle="1" w:styleId="229">
    <w:name w:val="font121"/>
    <w:basedOn w:val="52"/>
    <w:autoRedefine/>
    <w:qFormat/>
    <w:uiPriority w:val="0"/>
    <w:rPr>
      <w:rFonts w:ascii="MS Sans Serif" w:hAnsi="MS Sans Serif" w:eastAsia="MS Sans Serif" w:cs="MS Sans Serif"/>
      <w:color w:val="000000"/>
      <w:sz w:val="20"/>
      <w:szCs w:val="20"/>
      <w:u w:val="none"/>
    </w:rPr>
  </w:style>
  <w:style w:type="character" w:customStyle="1" w:styleId="230">
    <w:name w:val="font71"/>
    <w:basedOn w:val="52"/>
    <w:autoRedefine/>
    <w:qFormat/>
    <w:uiPriority w:val="0"/>
    <w:rPr>
      <w:rFonts w:hint="eastAsia" w:ascii="宋体" w:hAnsi="宋体" w:eastAsia="宋体" w:cs="宋体"/>
      <w:color w:val="000000"/>
      <w:sz w:val="20"/>
      <w:szCs w:val="20"/>
      <w:u w:val="none"/>
    </w:rPr>
  </w:style>
  <w:style w:type="character" w:customStyle="1" w:styleId="231">
    <w:name w:val="font91"/>
    <w:basedOn w:val="52"/>
    <w:autoRedefine/>
    <w:qFormat/>
    <w:uiPriority w:val="0"/>
    <w:rPr>
      <w:rFonts w:hint="eastAsia" w:ascii="宋体" w:hAnsi="宋体" w:eastAsia="宋体" w:cs="宋体"/>
      <w:color w:val="000000"/>
      <w:sz w:val="20"/>
      <w:szCs w:val="20"/>
      <w:u w:val="none"/>
    </w:rPr>
  </w:style>
  <w:style w:type="character" w:customStyle="1" w:styleId="232">
    <w:name w:val="NormalCharacter"/>
    <w:autoRedefine/>
    <w:semiHidden/>
    <w:qFormat/>
    <w:uiPriority w:val="0"/>
    <w:rPr>
      <w:rFonts w:ascii="Times New Roman" w:hAnsi="Times New Roman" w:eastAsia="宋体" w:cs="Times New Roman"/>
      <w:kern w:val="2"/>
      <w:sz w:val="21"/>
      <w:szCs w:val="24"/>
      <w:lang w:val="en-US" w:eastAsia="zh-CN" w:bidi="ar-SA"/>
    </w:rPr>
  </w:style>
  <w:style w:type="character" w:customStyle="1" w:styleId="233">
    <w:name w:val="font101"/>
    <w:basedOn w:val="52"/>
    <w:autoRedefine/>
    <w:qFormat/>
    <w:uiPriority w:val="0"/>
    <w:rPr>
      <w:rFonts w:hint="eastAsia" w:ascii="宋体" w:hAnsi="宋体" w:eastAsia="宋体" w:cs="宋体"/>
      <w:color w:val="000000"/>
      <w:sz w:val="20"/>
      <w:szCs w:val="20"/>
      <w:u w:val="none"/>
    </w:rPr>
  </w:style>
  <w:style w:type="character" w:customStyle="1" w:styleId="234">
    <w:name w:val="font11"/>
    <w:basedOn w:val="52"/>
    <w:autoRedefine/>
    <w:qFormat/>
    <w:uiPriority w:val="0"/>
    <w:rPr>
      <w:rFonts w:hint="eastAsia" w:ascii="宋体" w:hAnsi="宋体" w:eastAsia="宋体" w:cs="宋体"/>
      <w:color w:val="000000"/>
      <w:sz w:val="20"/>
      <w:szCs w:val="20"/>
      <w:u w:val="none"/>
    </w:rPr>
  </w:style>
  <w:style w:type="character" w:customStyle="1" w:styleId="235">
    <w:name w:val="font41"/>
    <w:basedOn w:val="52"/>
    <w:autoRedefine/>
    <w:qFormat/>
    <w:uiPriority w:val="0"/>
    <w:rPr>
      <w:rFonts w:hint="eastAsia" w:ascii="新宋体" w:hAnsi="新宋体" w:eastAsia="新宋体" w:cs="新宋体"/>
      <w:color w:val="000000"/>
      <w:sz w:val="21"/>
      <w:szCs w:val="21"/>
      <w:u w:val="none"/>
    </w:rPr>
  </w:style>
  <w:style w:type="paragraph" w:customStyle="1" w:styleId="236">
    <w:name w:val="List Paragraph1"/>
    <w:basedOn w:val="1"/>
    <w:autoRedefine/>
    <w:qFormat/>
    <w:uiPriority w:val="1"/>
    <w:pPr>
      <w:ind w:left="354"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12212</Words>
  <Characters>13034</Characters>
  <Lines>716</Lines>
  <Paragraphs>201</Paragraphs>
  <TotalTime>37</TotalTime>
  <ScaleCrop>false</ScaleCrop>
  <LinksUpToDate>false</LinksUpToDate>
  <CharactersWithSpaces>14188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2020-06-17T01:37:00Z</dcterms:created>
  <dc:creator>微软用户</dc:creator>
  <cp:lastModifiedBy>好奇害死汪</cp:lastModifiedBy>
  <cp:lastPrinted>2025-04-15T03:03:00Z</cp:lastPrinted>
  <dcterms:modified xsi:type="dcterms:W3CDTF">2025-04-15T07:07:38Z</dcterms:modified>
  <dc:title>花亭路等道路绿化工程苗木比价采购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9434149921424C6B830653A590CDA1B7_13</vt:lpwstr>
  </property>
  <property fmtid="{D5CDD505-2E9C-101B-9397-08002B2CF9AE}" pid="4" name="KSOTemplateDocerSaveRecord">
    <vt:lpwstr>eyJoZGlkIjoiZWIyYTkxYWMwZmMyYTc0NDcxNzE0MGFlOTUzMjFjNjQiLCJ1c2VySWQiOiI1MjYzMTQ5MTEifQ==</vt:lpwstr>
  </property>
</Properties>
</file>