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3AB21A">
      <w:pPr>
        <w:pStyle w:val="9"/>
        <w:widowControl/>
        <w:spacing w:line="400" w:lineRule="exact"/>
        <w:jc w:val="center"/>
        <w:rPr>
          <w:rFonts w:ascii="宋体" w:hAnsi="宋体" w:cs="宋体"/>
          <w:color w:val="auto"/>
        </w:rPr>
      </w:pPr>
      <w:r>
        <w:rPr>
          <w:rFonts w:hint="eastAsia" w:ascii="新宋体" w:hAnsi="新宋体" w:eastAsia="新宋体" w:cs="新宋体"/>
          <w:b/>
          <w:bCs/>
          <w:color w:val="auto"/>
          <w:sz w:val="30"/>
          <w:szCs w:val="30"/>
          <w:lang w:eastAsia="zh-CN"/>
        </w:rPr>
        <w:t>滁州工投南谯毗邻区科技产业园食堂经营权项目</w:t>
      </w:r>
      <w:r>
        <w:rPr>
          <w:rFonts w:hint="eastAsia" w:ascii="新宋体" w:hAnsi="新宋体" w:eastAsia="新宋体" w:cs="新宋体"/>
          <w:b/>
          <w:bCs/>
          <w:color w:val="auto"/>
          <w:sz w:val="30"/>
          <w:szCs w:val="30"/>
        </w:rPr>
        <w:t>招标公告</w:t>
      </w:r>
    </w:p>
    <w:p w14:paraId="6D483FC3">
      <w:pPr>
        <w:pStyle w:val="9"/>
        <w:widowControl/>
        <w:overflowPunct w:val="0"/>
        <w:spacing w:line="400" w:lineRule="exact"/>
        <w:jc w:val="center"/>
        <w:rPr>
          <w:rFonts w:ascii="Times New Roman" w:hAnsi="Times New Roman"/>
          <w:color w:val="auto"/>
          <w:sz w:val="20"/>
          <w:szCs w:val="20"/>
        </w:rPr>
      </w:pPr>
      <w:r>
        <w:rPr>
          <w:rFonts w:hint="eastAsia" w:ascii="宋体" w:hAnsi="宋体" w:cs="宋体"/>
          <w:color w:val="auto"/>
        </w:rPr>
        <w:t xml:space="preserve"> </w:t>
      </w:r>
      <w:bookmarkStart w:id="1" w:name="_GoBack"/>
      <w:bookmarkEnd w:id="1"/>
    </w:p>
    <w:p w14:paraId="74BF9513">
      <w:pPr>
        <w:pStyle w:val="9"/>
        <w:widowControl/>
        <w:wordWrap w:val="0"/>
        <w:spacing w:line="400" w:lineRule="exact"/>
        <w:ind w:right="-512" w:rightChars="-244" w:firstLine="480" w:firstLineChars="200"/>
        <w:rPr>
          <w:rFonts w:ascii="宋体" w:hAnsi="宋体" w:cs="宋体"/>
          <w:color w:val="auto"/>
        </w:rPr>
      </w:pPr>
      <w:r>
        <w:rPr>
          <w:rFonts w:hint="eastAsia"/>
          <w:color w:val="auto"/>
          <w:lang w:eastAsia="zh-CN"/>
        </w:rPr>
        <w:t>滁州工投高新科技园有限公司</w:t>
      </w:r>
      <w:r>
        <w:rPr>
          <w:rFonts w:hint="eastAsia" w:ascii="宋体" w:hAnsi="宋体" w:cs="宋体"/>
          <w:color w:val="auto"/>
        </w:rPr>
        <w:t>将于</w:t>
      </w:r>
      <w:r>
        <w:rPr>
          <w:rFonts w:hint="eastAsia" w:ascii="宋体" w:hAnsi="宋体" w:cs="宋体"/>
          <w:color w:val="auto"/>
          <w:lang w:eastAsia="zh-CN"/>
        </w:rPr>
        <w:t>2024年11月</w:t>
      </w:r>
      <w:r>
        <w:rPr>
          <w:rFonts w:hint="eastAsia" w:ascii="宋体" w:hAnsi="宋体" w:cs="宋体"/>
          <w:color w:val="auto"/>
          <w:lang w:val="en-US" w:eastAsia="zh-CN"/>
        </w:rPr>
        <w:t>22</w:t>
      </w:r>
      <w:r>
        <w:rPr>
          <w:rFonts w:hint="eastAsia" w:ascii="宋体" w:hAnsi="宋体" w:cs="宋体"/>
          <w:color w:val="auto"/>
          <w:lang w:eastAsia="zh-CN"/>
        </w:rPr>
        <w:t>日</w:t>
      </w:r>
      <w:r>
        <w:rPr>
          <w:rFonts w:hint="eastAsia" w:ascii="宋体" w:hAnsi="宋体" w:cs="宋体"/>
          <w:color w:val="auto"/>
          <w:lang w:val="en-US" w:eastAsia="zh-CN"/>
        </w:rPr>
        <w:t>15</w:t>
      </w:r>
      <w:r>
        <w:rPr>
          <w:rFonts w:hint="eastAsia" w:ascii="宋体" w:hAnsi="宋体" w:cs="宋体"/>
          <w:color w:val="auto"/>
        </w:rPr>
        <w:t>时在滁州市醉翁路与中都大道交叉口西南侧城投大厦13楼会议室对该项目进行公开招标，现公告如下：</w:t>
      </w:r>
    </w:p>
    <w:p w14:paraId="77937146">
      <w:pPr>
        <w:pStyle w:val="9"/>
        <w:widowControl/>
        <w:wordWrap w:val="0"/>
        <w:spacing w:line="400" w:lineRule="exact"/>
        <w:ind w:right="-512" w:rightChars="-244" w:firstLine="482" w:firstLineChars="200"/>
        <w:rPr>
          <w:rFonts w:hint="eastAsia" w:ascii="宋体" w:hAnsi="宋体" w:cs="宋体"/>
          <w:b/>
          <w:bCs/>
          <w:color w:val="auto"/>
          <w:lang w:eastAsia="zh-CN"/>
        </w:rPr>
      </w:pPr>
      <w:r>
        <w:rPr>
          <w:rFonts w:hint="eastAsia" w:ascii="宋体" w:hAnsi="宋体" w:cs="宋体"/>
          <w:b/>
          <w:bCs/>
          <w:color w:val="auto"/>
          <w:lang w:eastAsia="zh-CN"/>
        </w:rPr>
        <w:t>一、</w:t>
      </w:r>
      <w:r>
        <w:rPr>
          <w:rFonts w:hint="eastAsia" w:ascii="宋体" w:hAnsi="宋体" w:cs="宋体"/>
          <w:b/>
          <w:bCs/>
          <w:color w:val="auto"/>
          <w:lang w:val="en-US" w:eastAsia="zh-CN"/>
        </w:rPr>
        <w:t>项目概况</w:t>
      </w:r>
      <w:r>
        <w:rPr>
          <w:rFonts w:hint="eastAsia" w:ascii="宋体" w:hAnsi="宋体" w:cs="宋体"/>
          <w:b/>
          <w:bCs/>
          <w:color w:val="auto"/>
          <w:lang w:eastAsia="zh-CN"/>
        </w:rPr>
        <w:t>：</w:t>
      </w:r>
    </w:p>
    <w:p w14:paraId="3498CCCB">
      <w:pPr>
        <w:pStyle w:val="9"/>
        <w:widowControl/>
        <w:wordWrap w:val="0"/>
        <w:spacing w:line="400" w:lineRule="exact"/>
        <w:ind w:right="-512" w:rightChars="-244" w:firstLine="480" w:firstLineChars="200"/>
        <w:rPr>
          <w:rFonts w:hint="eastAsia" w:ascii="宋体" w:hAnsi="宋体" w:cs="宋体"/>
          <w:color w:val="auto"/>
          <w:lang w:eastAsia="zh-CN"/>
        </w:rPr>
      </w:pPr>
      <w:r>
        <w:rPr>
          <w:rFonts w:hint="eastAsia" w:ascii="宋体" w:hAnsi="宋体" w:cs="宋体"/>
          <w:color w:val="auto"/>
          <w:lang w:eastAsia="zh-CN"/>
        </w:rPr>
        <w:t>滁州工投科技产业园食堂经营权招标项目，共一个标段；本次竞价标的物位于：安徽省滁州市南谯区乌衣镇永兴路与文华路交叉口西南侧。水电气已配备完毕、内部已完成装修，本招标项目已配备基础厨具设施设备及桌椅，中标方可根据自身需求进行设施设备完善，有意者自行现场勘察。本项目房产只能用于食堂(必须配备一个小型便利店)经营。中标方应按交易公告约定的用途依法经营，不得从事约定外的经营活动。食堂（含便利店）经营面积为2772.61平方</w:t>
      </w:r>
      <w:r>
        <w:rPr>
          <w:rFonts w:hint="eastAsia" w:ascii="宋体" w:hAnsi="宋体" w:eastAsia="宋体" w:cs="宋体"/>
          <w:color w:val="auto"/>
          <w:lang w:eastAsia="zh-CN"/>
        </w:rPr>
        <w:t>。</w:t>
      </w:r>
    </w:p>
    <w:p w14:paraId="00C85621">
      <w:pPr>
        <w:pStyle w:val="9"/>
        <w:widowControl/>
        <w:overflowPunct w:val="0"/>
        <w:spacing w:line="400" w:lineRule="exact"/>
        <w:ind w:firstLine="480"/>
        <w:rPr>
          <w:rFonts w:ascii="宋体" w:hAnsi="宋体" w:cs="宋体"/>
          <w:color w:val="auto"/>
        </w:rPr>
      </w:pPr>
      <w:r>
        <w:rPr>
          <w:rFonts w:hint="eastAsia" w:ascii="宋体" w:hAnsi="宋体" w:cs="宋体"/>
          <w:color w:val="auto"/>
        </w:rPr>
        <w:t>具体以现状为准，标的现状自行踏勘现场，自行测算综合考虑竞价。一旦成交后价款即为合同价款，承担相应的风险，亏损均与招标人及代理机构无关。</w:t>
      </w:r>
    </w:p>
    <w:p w14:paraId="3B69FED3">
      <w:pPr>
        <w:pStyle w:val="9"/>
        <w:widowControl/>
        <w:overflowPunct w:val="0"/>
        <w:spacing w:line="400" w:lineRule="exact"/>
        <w:ind w:firstLine="480"/>
        <w:rPr>
          <w:rFonts w:hint="eastAsia" w:ascii="宋体" w:hAnsi="宋体" w:cs="宋体"/>
          <w:color w:val="auto"/>
        </w:rPr>
      </w:pPr>
      <w:r>
        <w:rPr>
          <w:rFonts w:hint="eastAsia" w:ascii="宋体" w:hAnsi="宋体" w:cs="宋体"/>
          <w:color w:val="auto"/>
        </w:rPr>
        <w:t>二、</w:t>
      </w:r>
      <w:r>
        <w:rPr>
          <w:rFonts w:hint="eastAsia" w:ascii="宋体" w:hAnsi="宋体" w:cs="宋体"/>
          <w:b/>
          <w:bCs/>
          <w:color w:val="auto"/>
          <w:lang w:eastAsia="zh-CN"/>
        </w:rPr>
        <w:t>投标人</w:t>
      </w:r>
      <w:r>
        <w:rPr>
          <w:rFonts w:hint="eastAsia" w:ascii="宋体" w:hAnsi="宋体" w:cs="宋体"/>
          <w:b/>
          <w:bCs/>
          <w:color w:val="auto"/>
        </w:rPr>
        <w:t>应具备条件</w:t>
      </w:r>
      <w:r>
        <w:rPr>
          <w:rFonts w:hint="eastAsia" w:ascii="宋体" w:hAnsi="宋体" w:cs="宋体"/>
          <w:color w:val="auto"/>
        </w:rPr>
        <w:t>（</w:t>
      </w:r>
      <w:r>
        <w:rPr>
          <w:rFonts w:hint="eastAsia" w:ascii="宋体" w:hAnsi="宋体" w:cs="宋体"/>
          <w:color w:val="auto"/>
          <w:lang w:eastAsia="zh-CN"/>
        </w:rPr>
        <w:t>投标人</w:t>
      </w:r>
      <w:r>
        <w:rPr>
          <w:rFonts w:hint="eastAsia" w:ascii="宋体" w:hAnsi="宋体" w:cs="宋体"/>
          <w:color w:val="auto"/>
        </w:rPr>
        <w:t>需在</w:t>
      </w:r>
      <w:r>
        <w:rPr>
          <w:rFonts w:hint="eastAsia" w:ascii="宋体" w:hAnsi="宋体" w:cs="宋体"/>
          <w:color w:val="auto"/>
          <w:lang w:val="en-US" w:eastAsia="zh-CN"/>
        </w:rPr>
        <w:t>规定时间</w:t>
      </w:r>
      <w:r>
        <w:rPr>
          <w:rFonts w:hint="eastAsia" w:ascii="宋体" w:hAnsi="宋体" w:cs="宋体"/>
          <w:color w:val="auto"/>
        </w:rPr>
        <w:t>前将相关材料交至招标单位进行审核并考察，考察通过后，方可参与</w:t>
      </w:r>
      <w:r>
        <w:rPr>
          <w:rFonts w:hint="eastAsia" w:ascii="宋体" w:hAnsi="宋体" w:cs="宋体"/>
          <w:color w:val="auto"/>
          <w:lang w:val="en-US" w:eastAsia="zh-CN"/>
        </w:rPr>
        <w:t>投标，否则投标将被拒绝</w:t>
      </w:r>
      <w:r>
        <w:rPr>
          <w:rFonts w:hint="eastAsia" w:ascii="宋体" w:hAnsi="宋体" w:cs="宋体"/>
          <w:color w:val="auto"/>
        </w:rPr>
        <w:t>）：</w:t>
      </w:r>
    </w:p>
    <w:p w14:paraId="6F00EDC0">
      <w:pPr>
        <w:pStyle w:val="9"/>
        <w:widowControl/>
        <w:overflowPunct w:val="0"/>
        <w:spacing w:line="400" w:lineRule="exact"/>
        <w:ind w:firstLine="480"/>
        <w:rPr>
          <w:rFonts w:hint="eastAsia" w:ascii="宋体" w:hAnsi="宋体" w:cs="宋体"/>
          <w:color w:val="auto"/>
        </w:rPr>
      </w:pPr>
      <w:r>
        <w:rPr>
          <w:rFonts w:hint="eastAsia" w:ascii="宋体" w:hAnsi="宋体" w:cs="宋体"/>
          <w:color w:val="auto"/>
        </w:rPr>
        <w:t>1、</w:t>
      </w:r>
      <w:r>
        <w:rPr>
          <w:rFonts w:hint="eastAsia" w:ascii="宋体" w:hAnsi="宋体" w:cs="宋体"/>
          <w:color w:val="auto"/>
          <w:lang w:eastAsia="zh-CN"/>
        </w:rPr>
        <w:t>投标人</w:t>
      </w:r>
      <w:r>
        <w:rPr>
          <w:rFonts w:hint="eastAsia" w:ascii="宋体" w:hAnsi="宋体" w:cs="宋体"/>
          <w:color w:val="auto"/>
        </w:rPr>
        <w:t>须为依法在中华人民共和国境内注册的独立法人或个体工商户，具有有效的营业执照。</w:t>
      </w:r>
      <w:r>
        <w:rPr>
          <w:rFonts w:hint="eastAsia" w:ascii="宋体" w:hAnsi="宋体" w:cs="宋体"/>
          <w:color w:val="auto"/>
          <w:lang w:val="en-US" w:eastAsia="zh-CN"/>
        </w:rPr>
        <w:t>竞价</w:t>
      </w:r>
      <w:r>
        <w:rPr>
          <w:rFonts w:hint="eastAsia" w:ascii="宋体" w:hAnsi="宋体" w:cs="宋体"/>
          <w:color w:val="auto"/>
        </w:rPr>
        <w:t>前必须向招标人提供法定代表人身份证明或授权委托书、营业执照</w:t>
      </w:r>
      <w:r>
        <w:rPr>
          <w:rFonts w:hint="eastAsia" w:ascii="宋体" w:hAnsi="宋体" w:cs="宋体"/>
          <w:color w:val="auto"/>
          <w:lang w:val="en-US" w:eastAsia="zh-CN"/>
        </w:rPr>
        <w:t>复印件加盖公章</w:t>
      </w:r>
      <w:r>
        <w:rPr>
          <w:rFonts w:hint="eastAsia" w:ascii="宋体" w:hAnsi="宋体" w:cs="宋体"/>
          <w:color w:val="auto"/>
          <w:lang w:eastAsia="zh-CN"/>
        </w:rPr>
        <w:t>（</w:t>
      </w:r>
      <w:r>
        <w:rPr>
          <w:rFonts w:hint="eastAsia" w:ascii="宋体" w:hAnsi="宋体" w:cs="宋体"/>
          <w:color w:val="auto"/>
        </w:rPr>
        <w:t>原件</w:t>
      </w:r>
      <w:r>
        <w:rPr>
          <w:rFonts w:hint="eastAsia" w:ascii="宋体" w:hAnsi="宋体" w:cs="宋体"/>
          <w:color w:val="auto"/>
          <w:lang w:val="en-US" w:eastAsia="zh-CN"/>
        </w:rPr>
        <w:t>携带备查</w:t>
      </w:r>
      <w:r>
        <w:rPr>
          <w:rFonts w:hint="eastAsia" w:ascii="宋体" w:hAnsi="宋体" w:cs="宋体"/>
          <w:color w:val="auto"/>
          <w:lang w:eastAsia="zh-CN"/>
        </w:rPr>
        <w:t>）</w:t>
      </w:r>
      <w:r>
        <w:rPr>
          <w:rFonts w:hint="eastAsia" w:ascii="宋体" w:hAnsi="宋体" w:cs="宋体"/>
          <w:color w:val="auto"/>
        </w:rPr>
        <w:t>、食品卫生许可证或餐饮服务许可证或食品经营许可证和近三年来无食品安全事故及不良记录承诺书（格式自拟）。</w:t>
      </w:r>
    </w:p>
    <w:p w14:paraId="01410621">
      <w:pPr>
        <w:pStyle w:val="9"/>
        <w:widowControl/>
        <w:overflowPunct w:val="0"/>
        <w:spacing w:line="400" w:lineRule="exact"/>
        <w:ind w:firstLine="480"/>
        <w:rPr>
          <w:rFonts w:hint="eastAsia" w:ascii="宋体" w:hAnsi="宋体" w:cs="宋体"/>
          <w:color w:val="auto"/>
        </w:rPr>
      </w:pPr>
      <w:r>
        <w:rPr>
          <w:rFonts w:hint="eastAsia" w:ascii="宋体" w:hAnsi="宋体" w:cs="宋体"/>
          <w:color w:val="auto"/>
        </w:rPr>
        <w:t>2、</w:t>
      </w:r>
      <w:r>
        <w:rPr>
          <w:rFonts w:hint="eastAsia" w:ascii="宋体" w:hAnsi="宋体" w:cs="宋体"/>
          <w:color w:val="auto"/>
          <w:lang w:eastAsia="zh-CN"/>
        </w:rPr>
        <w:t>投标人</w:t>
      </w:r>
      <w:r>
        <w:rPr>
          <w:rFonts w:hint="eastAsia" w:ascii="宋体" w:hAnsi="宋体" w:cs="宋体"/>
          <w:color w:val="auto"/>
        </w:rPr>
        <w:t>具有至少一个</w:t>
      </w:r>
      <w:r>
        <w:rPr>
          <w:rFonts w:hint="eastAsia" w:ascii="宋体" w:hAnsi="宋体" w:cs="宋体"/>
          <w:color w:val="auto"/>
          <w:lang w:val="en-US" w:eastAsia="zh-CN"/>
        </w:rPr>
        <w:t>正在运营</w:t>
      </w:r>
      <w:r>
        <w:rPr>
          <w:rFonts w:hint="eastAsia" w:ascii="宋体" w:hAnsi="宋体" w:cs="宋体"/>
          <w:color w:val="auto"/>
          <w:lang w:val="en-US" w:eastAsia="zh-CN"/>
        </w:rPr>
        <w:t>的1</w:t>
      </w:r>
      <w:r>
        <w:rPr>
          <w:rFonts w:hint="eastAsia" w:ascii="宋体" w:hAnsi="宋体" w:cs="宋体"/>
          <w:color w:val="auto"/>
        </w:rPr>
        <w:t>00人</w:t>
      </w:r>
      <w:r>
        <w:rPr>
          <w:rFonts w:hint="eastAsia" w:ascii="宋体" w:hAnsi="宋体" w:cs="宋体"/>
          <w:color w:val="auto"/>
          <w:lang w:val="en-US" w:eastAsia="zh-CN"/>
        </w:rPr>
        <w:t>及以上</w:t>
      </w:r>
      <w:r>
        <w:rPr>
          <w:rFonts w:hint="eastAsia" w:ascii="宋体" w:hAnsi="宋体" w:cs="宋体"/>
          <w:color w:val="auto"/>
        </w:rPr>
        <w:t>用餐食堂或</w:t>
      </w:r>
      <w:r>
        <w:rPr>
          <w:rFonts w:hint="eastAsia" w:ascii="宋体" w:hAnsi="宋体" w:cs="宋体"/>
          <w:color w:val="auto"/>
          <w:lang w:val="en-US" w:eastAsia="zh-CN"/>
        </w:rPr>
        <w:t>面积在200㎡</w:t>
      </w:r>
      <w:r>
        <w:rPr>
          <w:rFonts w:hint="eastAsia" w:ascii="宋体" w:hAnsi="宋体" w:cs="宋体"/>
          <w:color w:val="auto"/>
          <w:lang w:val="en-US" w:eastAsia="zh-CN"/>
        </w:rPr>
        <w:t>及以上的食堂或经营场所</w:t>
      </w:r>
      <w:r>
        <w:rPr>
          <w:rFonts w:hint="eastAsia" w:ascii="宋体" w:hAnsi="宋体" w:cs="宋体"/>
          <w:color w:val="auto"/>
        </w:rPr>
        <w:t>业绩</w:t>
      </w:r>
      <w:r>
        <w:rPr>
          <w:rFonts w:hint="eastAsia" w:ascii="宋体" w:hAnsi="宋体" w:cs="宋体"/>
          <w:color w:val="auto"/>
          <w:lang w:val="en-US" w:eastAsia="zh-CN"/>
        </w:rPr>
        <w:t>且经营时间需要大于1年</w:t>
      </w:r>
      <w:r>
        <w:rPr>
          <w:rFonts w:hint="eastAsia" w:ascii="宋体" w:hAnsi="宋体" w:cs="宋体"/>
          <w:color w:val="auto"/>
        </w:rPr>
        <w:t>，须向招标人提供业绩合同。</w:t>
      </w:r>
    </w:p>
    <w:p w14:paraId="5CEAD6A7">
      <w:pPr>
        <w:pStyle w:val="9"/>
        <w:widowControl/>
        <w:overflowPunct w:val="0"/>
        <w:spacing w:line="400" w:lineRule="exact"/>
        <w:ind w:firstLine="480"/>
        <w:rPr>
          <w:rFonts w:hint="eastAsia" w:ascii="宋体" w:hAnsi="宋体" w:cs="宋体"/>
          <w:b/>
          <w:bCs/>
          <w:color w:val="auto"/>
        </w:rPr>
      </w:pPr>
      <w:r>
        <w:rPr>
          <w:rFonts w:hint="eastAsia" w:ascii="宋体" w:hAnsi="宋体" w:cs="宋体"/>
          <w:b/>
          <w:bCs/>
          <w:color w:val="auto"/>
        </w:rPr>
        <w:t>3、</w:t>
      </w:r>
      <w:r>
        <w:rPr>
          <w:rFonts w:hint="eastAsia" w:ascii="宋体" w:hAnsi="宋体" w:cs="宋体"/>
          <w:b/>
          <w:bCs/>
          <w:color w:val="auto"/>
          <w:lang w:eastAsia="zh-CN"/>
        </w:rPr>
        <w:t>投标人</w:t>
      </w:r>
      <w:r>
        <w:rPr>
          <w:rFonts w:hint="eastAsia" w:ascii="宋体" w:hAnsi="宋体" w:cs="宋体"/>
          <w:b/>
          <w:bCs/>
          <w:color w:val="auto"/>
        </w:rPr>
        <w:t>须在</w:t>
      </w:r>
      <w:r>
        <w:rPr>
          <w:rFonts w:hint="eastAsia" w:ascii="宋体" w:hAnsi="宋体" w:cs="宋体"/>
          <w:b/>
          <w:bCs/>
          <w:color w:val="auto"/>
          <w:lang w:val="en-US" w:eastAsia="zh-CN"/>
        </w:rPr>
        <w:t>2024年11月15日15时</w:t>
      </w:r>
      <w:r>
        <w:rPr>
          <w:rFonts w:hint="eastAsia" w:ascii="宋体" w:hAnsi="宋体" w:cs="宋体"/>
          <w:b/>
          <w:bCs/>
          <w:color w:val="auto"/>
        </w:rPr>
        <w:t>前将相关材料递交至招租人处进行审查，招租人完成评审、考察工作</w:t>
      </w:r>
      <w:r>
        <w:rPr>
          <w:rFonts w:hint="eastAsia" w:ascii="宋体" w:hAnsi="宋体" w:cs="宋体"/>
          <w:b/>
          <w:bCs/>
          <w:color w:val="auto"/>
          <w:lang w:val="en-US" w:eastAsia="zh-CN"/>
        </w:rPr>
        <w:t>后向合格的投标人发放投标准入函</w:t>
      </w:r>
      <w:r>
        <w:rPr>
          <w:rFonts w:hint="eastAsia" w:ascii="宋体" w:hAnsi="宋体" w:cs="宋体"/>
          <w:b/>
          <w:bCs/>
          <w:color w:val="auto"/>
        </w:rPr>
        <w:t>，只有</w:t>
      </w:r>
      <w:r>
        <w:rPr>
          <w:rFonts w:hint="eastAsia" w:ascii="宋体" w:hAnsi="宋体" w:cs="宋体"/>
          <w:b/>
          <w:bCs/>
          <w:color w:val="auto"/>
          <w:lang w:val="en-US" w:eastAsia="zh-CN"/>
        </w:rPr>
        <w:t>携带投标准入函</w:t>
      </w:r>
      <w:r>
        <w:rPr>
          <w:rFonts w:hint="eastAsia" w:ascii="宋体" w:hAnsi="宋体" w:cs="宋体"/>
          <w:b/>
          <w:bCs/>
          <w:color w:val="auto"/>
        </w:rPr>
        <w:t>的</w:t>
      </w:r>
      <w:r>
        <w:rPr>
          <w:rFonts w:hint="eastAsia" w:ascii="宋体" w:hAnsi="宋体" w:cs="宋体"/>
          <w:b/>
          <w:bCs/>
          <w:color w:val="auto"/>
          <w:lang w:eastAsia="zh-CN"/>
        </w:rPr>
        <w:t>投标人</w:t>
      </w:r>
      <w:r>
        <w:rPr>
          <w:rFonts w:hint="eastAsia" w:ascii="宋体" w:hAnsi="宋体" w:cs="宋体"/>
          <w:b/>
          <w:bCs/>
          <w:color w:val="auto"/>
        </w:rPr>
        <w:t>才能参与</w:t>
      </w:r>
      <w:r>
        <w:rPr>
          <w:rFonts w:hint="eastAsia" w:ascii="宋体" w:hAnsi="宋体" w:cs="宋体"/>
          <w:b/>
          <w:bCs/>
          <w:color w:val="auto"/>
          <w:lang w:val="en-US" w:eastAsia="zh-CN"/>
        </w:rPr>
        <w:t>投标</w:t>
      </w:r>
      <w:r>
        <w:rPr>
          <w:rFonts w:hint="eastAsia" w:ascii="宋体" w:hAnsi="宋体" w:cs="宋体"/>
          <w:b/>
          <w:bCs/>
          <w:color w:val="auto"/>
        </w:rPr>
        <w:t>，否则</w:t>
      </w:r>
      <w:r>
        <w:rPr>
          <w:rFonts w:hint="eastAsia" w:ascii="宋体" w:hAnsi="宋体" w:cs="宋体"/>
          <w:b/>
          <w:bCs/>
          <w:color w:val="auto"/>
          <w:lang w:val="en-US" w:eastAsia="zh-CN"/>
        </w:rPr>
        <w:t>投标将被拒绝</w:t>
      </w:r>
      <w:r>
        <w:rPr>
          <w:rFonts w:hint="eastAsia" w:ascii="宋体" w:hAnsi="宋体" w:cs="宋体"/>
          <w:b/>
          <w:bCs/>
          <w:color w:val="auto"/>
        </w:rPr>
        <w:t>。</w:t>
      </w:r>
    </w:p>
    <w:p w14:paraId="6EE2CEEE">
      <w:pPr>
        <w:pStyle w:val="9"/>
        <w:widowControl/>
        <w:overflowPunct w:val="0"/>
        <w:spacing w:line="400" w:lineRule="exact"/>
        <w:ind w:firstLine="480"/>
        <w:rPr>
          <w:rFonts w:hint="eastAsia" w:ascii="宋体" w:hAnsi="宋体" w:cs="宋体"/>
          <w:color w:val="auto"/>
        </w:rPr>
      </w:pPr>
      <w:r>
        <w:rPr>
          <w:rFonts w:hint="eastAsia" w:ascii="宋体" w:hAnsi="宋体" w:cs="宋体"/>
          <w:color w:val="auto"/>
          <w:lang w:eastAsia="zh-CN"/>
        </w:rPr>
        <w:t>投标人</w:t>
      </w:r>
      <w:r>
        <w:rPr>
          <w:rFonts w:hint="eastAsia" w:ascii="宋体" w:hAnsi="宋体" w:cs="宋体"/>
          <w:color w:val="auto"/>
        </w:rPr>
        <w:t>应在公告期内到现场实地踏勘，认真审阅本项目竞价须知、</w:t>
      </w:r>
      <w:r>
        <w:rPr>
          <w:rFonts w:hint="eastAsia" w:ascii="宋体" w:hAnsi="宋体" w:cs="宋体"/>
          <w:color w:val="auto"/>
          <w:lang w:val="en-US" w:eastAsia="zh-CN"/>
        </w:rPr>
        <w:t>招标</w:t>
      </w:r>
      <w:r>
        <w:rPr>
          <w:rFonts w:hint="eastAsia" w:ascii="宋体" w:hAnsi="宋体" w:cs="宋体"/>
          <w:color w:val="auto"/>
        </w:rPr>
        <w:t>公告和标的物介绍，中标后，如因未踏勘现场、未了解项目具体情况等原因造成的各项损失，由竞得人自理。如有疑问须在公告期内向招标人提出。凡参加本项目</w:t>
      </w:r>
      <w:r>
        <w:rPr>
          <w:rFonts w:hint="eastAsia" w:ascii="宋体" w:hAnsi="宋体" w:cs="宋体"/>
          <w:color w:val="auto"/>
          <w:lang w:eastAsia="zh-CN"/>
        </w:rPr>
        <w:t>投标人</w:t>
      </w:r>
      <w:r>
        <w:rPr>
          <w:rFonts w:hint="eastAsia" w:ascii="宋体" w:hAnsi="宋体" w:cs="宋体"/>
          <w:color w:val="auto"/>
        </w:rPr>
        <w:t>都视同已经实地踏勘，确认了</w:t>
      </w:r>
      <w:r>
        <w:rPr>
          <w:rFonts w:hint="eastAsia" w:ascii="宋体" w:hAnsi="宋体" w:cs="宋体"/>
          <w:color w:val="auto"/>
          <w:lang w:val="en-US" w:eastAsia="zh-CN"/>
        </w:rPr>
        <w:t>招标</w:t>
      </w:r>
      <w:r>
        <w:rPr>
          <w:rFonts w:hint="eastAsia" w:ascii="宋体" w:hAnsi="宋体" w:cs="宋体"/>
          <w:color w:val="auto"/>
        </w:rPr>
        <w:t>公告中的各项条款。</w:t>
      </w:r>
    </w:p>
    <w:p w14:paraId="6EA9D97A">
      <w:pPr>
        <w:pStyle w:val="9"/>
        <w:widowControl/>
        <w:overflowPunct w:val="0"/>
        <w:spacing w:line="400" w:lineRule="exact"/>
        <w:ind w:firstLine="480"/>
        <w:rPr>
          <w:rFonts w:ascii="宋体" w:hAnsi="宋体" w:cs="宋体"/>
          <w:color w:val="auto"/>
        </w:rPr>
      </w:pPr>
      <w:r>
        <w:rPr>
          <w:rFonts w:hint="eastAsia" w:ascii="宋体" w:hAnsi="宋体" w:cs="宋体"/>
          <w:color w:val="auto"/>
          <w:lang w:val="en-US" w:eastAsia="zh-CN"/>
        </w:rPr>
        <w:t>三、</w:t>
      </w:r>
      <w:r>
        <w:rPr>
          <w:rFonts w:hint="eastAsia" w:ascii="宋体" w:hAnsi="宋体" w:cs="宋体"/>
          <w:color w:val="auto"/>
        </w:rPr>
        <w:t>重大事项披露 ：</w:t>
      </w:r>
    </w:p>
    <w:p w14:paraId="77DDB714">
      <w:pPr>
        <w:pStyle w:val="9"/>
        <w:widowControl/>
        <w:overflowPunct w:val="0"/>
        <w:spacing w:line="400" w:lineRule="exact"/>
        <w:ind w:firstLine="480"/>
        <w:rPr>
          <w:rFonts w:ascii="宋体" w:hAnsi="宋体" w:cs="宋体"/>
          <w:color w:val="auto"/>
        </w:rPr>
      </w:pPr>
      <w:r>
        <w:rPr>
          <w:rFonts w:hint="eastAsia" w:ascii="宋体" w:hAnsi="宋体" w:cs="宋体"/>
          <w:color w:val="auto"/>
        </w:rPr>
        <w:t>1、经营业态仅限为：食堂、便利店；中标方应按招标公告约定的用途依法经营，不得从事任何违法经营活动，禁止分包、转包。否则，招标人有权取消其竞得人资格，此次招标具体情况由</w:t>
      </w:r>
      <w:r>
        <w:rPr>
          <w:rFonts w:hint="eastAsia" w:ascii="宋体" w:hAnsi="宋体" w:cs="宋体"/>
          <w:color w:val="auto"/>
          <w:lang w:eastAsia="zh-CN"/>
        </w:rPr>
        <w:t>投标人</w:t>
      </w:r>
      <w:r>
        <w:rPr>
          <w:rFonts w:hint="eastAsia" w:ascii="宋体" w:hAnsi="宋体" w:cs="宋体"/>
          <w:color w:val="auto"/>
        </w:rPr>
        <w:t>自行勘察现场，以实际现状为准，成交后，所有费用由中标单位自理（包括但不限于税费、物业费、卫生保洁、垃圾清运、天然气、空调维保、食材等本项目所涉及的一切费用）。招标人将不为此承担任何责任和费用。</w:t>
      </w:r>
    </w:p>
    <w:p w14:paraId="1799BB87">
      <w:pPr>
        <w:pStyle w:val="9"/>
        <w:widowControl/>
        <w:overflowPunct w:val="0"/>
        <w:spacing w:line="400" w:lineRule="exact"/>
        <w:ind w:firstLine="480"/>
        <w:rPr>
          <w:rFonts w:ascii="宋体" w:hAnsi="宋体" w:cs="宋体"/>
          <w:color w:val="auto"/>
        </w:rPr>
      </w:pPr>
      <w:r>
        <w:rPr>
          <w:rFonts w:hint="eastAsia" w:ascii="宋体" w:hAnsi="宋体" w:cs="宋体"/>
          <w:color w:val="auto"/>
        </w:rPr>
        <w:t>2、承包期限：经营期3年</w:t>
      </w:r>
      <w:r>
        <w:rPr>
          <w:rFonts w:hint="eastAsia" w:ascii="宋体" w:hAnsi="宋体" w:cs="宋体"/>
          <w:color w:val="auto"/>
          <w:lang w:eastAsia="zh-CN"/>
        </w:rPr>
        <w:t>（</w:t>
      </w:r>
      <w:r>
        <w:rPr>
          <w:rFonts w:hint="eastAsia" w:ascii="宋体" w:hAnsi="宋体" w:cs="宋体"/>
          <w:color w:val="auto"/>
          <w:lang w:val="en-US" w:eastAsia="zh-CN"/>
        </w:rPr>
        <w:t>不含一个月免费试运营期，试运营期不收取租金和物业费</w:t>
      </w:r>
      <w:r>
        <w:rPr>
          <w:rFonts w:hint="eastAsia" w:ascii="宋体" w:hAnsi="宋体" w:cs="宋体"/>
          <w:color w:val="auto"/>
          <w:lang w:eastAsia="zh-CN"/>
        </w:rPr>
        <w:t>）</w:t>
      </w:r>
      <w:r>
        <w:rPr>
          <w:rFonts w:hint="eastAsia" w:ascii="宋体" w:hAnsi="宋体" w:cs="宋体"/>
          <w:color w:val="auto"/>
        </w:rPr>
        <w:t>。竞得人须在《食堂经营权合同》签定时一次性将履约保证金转入招标方指定帐户。先付款后使用。履约保证金：履约保证金为</w:t>
      </w:r>
      <w:r>
        <w:rPr>
          <w:rFonts w:hint="eastAsia" w:ascii="宋体" w:hAnsi="宋体" w:cs="宋体"/>
          <w:color w:val="auto"/>
          <w:lang w:val="en-US" w:eastAsia="zh-CN"/>
        </w:rPr>
        <w:t>10</w:t>
      </w:r>
      <w:r>
        <w:rPr>
          <w:rFonts w:hint="eastAsia" w:ascii="宋体" w:hAnsi="宋体" w:cs="宋体"/>
          <w:color w:val="auto"/>
        </w:rPr>
        <w:t>0000元，退场时验收合格后无息退还。</w:t>
      </w:r>
    </w:p>
    <w:p w14:paraId="36C34485">
      <w:pPr>
        <w:pStyle w:val="9"/>
        <w:widowControl/>
        <w:overflowPunct w:val="0"/>
        <w:spacing w:line="400" w:lineRule="exact"/>
        <w:ind w:firstLine="425"/>
        <w:rPr>
          <w:rFonts w:ascii="宋体" w:hAnsi="宋体" w:cs="宋体"/>
          <w:color w:val="auto"/>
        </w:rPr>
      </w:pPr>
      <w:r>
        <w:rPr>
          <w:rFonts w:hint="eastAsia" w:ascii="宋体" w:hAnsi="宋体" w:cs="宋体"/>
          <w:color w:val="auto"/>
        </w:rPr>
        <w:t>3、履约保证金在合同签订前缴纳完毕。请各潜在</w:t>
      </w:r>
      <w:r>
        <w:rPr>
          <w:rFonts w:hint="eastAsia" w:ascii="宋体" w:hAnsi="宋体" w:cs="宋体"/>
          <w:color w:val="auto"/>
          <w:lang w:eastAsia="zh-CN"/>
        </w:rPr>
        <w:t>投标人</w:t>
      </w:r>
      <w:r>
        <w:rPr>
          <w:rFonts w:hint="eastAsia" w:ascii="宋体" w:hAnsi="宋体" w:cs="宋体"/>
          <w:color w:val="auto"/>
        </w:rPr>
        <w:t>在竞价前给予充分考虑，一旦签订合同，必须按合同要求内容执行。</w:t>
      </w:r>
    </w:p>
    <w:p w14:paraId="1E5931D6">
      <w:pPr>
        <w:pStyle w:val="9"/>
        <w:widowControl/>
        <w:overflowPunct w:val="0"/>
        <w:spacing w:line="400" w:lineRule="exact"/>
        <w:ind w:firstLine="425"/>
        <w:rPr>
          <w:rFonts w:ascii="宋体" w:hAnsi="宋体" w:cs="宋体"/>
          <w:color w:val="auto"/>
        </w:rPr>
      </w:pPr>
      <w:r>
        <w:rPr>
          <w:rFonts w:hint="eastAsia" w:ascii="宋体" w:hAnsi="宋体" w:cs="宋体"/>
          <w:color w:val="auto"/>
        </w:rPr>
        <w:t>4、承包期间，中标方发生的税费、水、电、燃气、暖气、通讯、收视、互联网、卫生</w:t>
      </w:r>
      <w:r>
        <w:rPr>
          <w:rFonts w:hint="eastAsia" w:ascii="宋体" w:hAnsi="宋体" w:cs="宋体"/>
          <w:color w:val="auto"/>
          <w:lang w:eastAsia="zh-CN"/>
        </w:rPr>
        <w:t>、</w:t>
      </w:r>
      <w:r>
        <w:rPr>
          <w:rFonts w:hint="eastAsia" w:ascii="宋体" w:hAnsi="宋体" w:cs="宋体"/>
          <w:color w:val="auto"/>
          <w:lang w:val="en-US" w:eastAsia="zh-CN"/>
        </w:rPr>
        <w:t>物业费</w:t>
      </w:r>
      <w:r>
        <w:rPr>
          <w:rFonts w:hint="eastAsia" w:ascii="宋体" w:hAnsi="宋体" w:cs="宋体"/>
          <w:color w:val="auto"/>
        </w:rPr>
        <w:t>等相关开户费、使用费以及房屋、附属物、相关设施设备的日常维修费等所有费用，均由中标方自行承担，并直接向有关管理单位交付。具体情况由</w:t>
      </w:r>
      <w:r>
        <w:rPr>
          <w:rFonts w:hint="eastAsia" w:ascii="宋体" w:hAnsi="宋体" w:cs="宋体"/>
          <w:color w:val="auto"/>
          <w:lang w:eastAsia="zh-CN"/>
        </w:rPr>
        <w:t>投标人</w:t>
      </w:r>
      <w:r>
        <w:rPr>
          <w:rFonts w:hint="eastAsia" w:ascii="宋体" w:hAnsi="宋体" w:cs="宋体"/>
          <w:color w:val="auto"/>
        </w:rPr>
        <w:t>自行现场勘查。</w:t>
      </w:r>
    </w:p>
    <w:p w14:paraId="56CC7512">
      <w:pPr>
        <w:pStyle w:val="9"/>
        <w:widowControl/>
        <w:overflowPunct w:val="0"/>
        <w:spacing w:line="400" w:lineRule="exact"/>
        <w:ind w:firstLine="425"/>
        <w:rPr>
          <w:rFonts w:ascii="宋体" w:hAnsi="宋体" w:cs="宋体"/>
          <w:color w:val="auto"/>
        </w:rPr>
      </w:pPr>
      <w:r>
        <w:rPr>
          <w:rFonts w:hint="eastAsia" w:ascii="宋体" w:hAnsi="宋体" w:cs="宋体"/>
          <w:color w:val="auto"/>
        </w:rPr>
        <w:t>5、经营期间，中标方有责任保护好房屋及设施，不得随意改变结构或损坏设施，如房屋出现漏雨、漏水、雨水淹等，由中标方负责维修，维修费用由中标方承担，造成的损失与招标方无关。</w:t>
      </w:r>
    </w:p>
    <w:p w14:paraId="0E90E396">
      <w:pPr>
        <w:pStyle w:val="9"/>
        <w:widowControl/>
        <w:spacing w:line="400" w:lineRule="exact"/>
        <w:ind w:firstLine="426"/>
        <w:rPr>
          <w:rFonts w:ascii="宋体" w:hAnsi="宋体" w:cs="宋体"/>
          <w:color w:val="auto"/>
        </w:rPr>
      </w:pPr>
      <w:r>
        <w:rPr>
          <w:rFonts w:hint="eastAsia" w:ascii="宋体" w:hAnsi="宋体" w:cs="宋体"/>
          <w:color w:val="auto"/>
        </w:rPr>
        <w:t>6、经营期间，中标方须做好餐厨垃圾清理，按照有关餐厨垃圾倾倒标准予以处理，因此产生的垃圾清运费则由中标方自行承担。</w:t>
      </w:r>
    </w:p>
    <w:p w14:paraId="71921717">
      <w:pPr>
        <w:pStyle w:val="9"/>
        <w:widowControl/>
        <w:spacing w:line="400" w:lineRule="exact"/>
        <w:ind w:firstLine="426"/>
        <w:rPr>
          <w:rFonts w:ascii="宋体" w:hAnsi="宋体" w:cs="宋体"/>
          <w:color w:val="auto"/>
        </w:rPr>
      </w:pPr>
      <w:r>
        <w:rPr>
          <w:rFonts w:hint="eastAsia" w:ascii="宋体" w:hAnsi="宋体" w:cs="宋体"/>
          <w:color w:val="auto"/>
        </w:rPr>
        <w:t>7、中标方须按招标公告约定的用途依法持证经营，必须遵守市容相关管理规定，禁止出店经营、占道经营，不得从事约定以外的用途及其他任何违法经营活动。</w:t>
      </w:r>
    </w:p>
    <w:p w14:paraId="5574769E">
      <w:pPr>
        <w:pStyle w:val="9"/>
        <w:widowControl/>
        <w:spacing w:line="400" w:lineRule="exact"/>
        <w:ind w:firstLine="426"/>
        <w:rPr>
          <w:rFonts w:ascii="宋体" w:hAnsi="宋体" w:cs="宋体"/>
          <w:color w:val="auto"/>
        </w:rPr>
      </w:pPr>
      <w:r>
        <w:rPr>
          <w:rFonts w:hint="eastAsia" w:ascii="宋体" w:hAnsi="宋体" w:cs="宋体"/>
          <w:color w:val="auto"/>
        </w:rPr>
        <w:t>8、中标方在经营期间须保证早、中、晚餐正点、足量、安全、优质供应，饭菜价格不得高于市场价格，各类饭菜须明码标价。</w:t>
      </w:r>
    </w:p>
    <w:p w14:paraId="7B96160C">
      <w:pPr>
        <w:pStyle w:val="9"/>
        <w:widowControl/>
        <w:spacing w:line="400" w:lineRule="exact"/>
        <w:ind w:firstLine="426"/>
        <w:rPr>
          <w:rFonts w:ascii="宋体" w:hAnsi="宋体" w:cs="宋体"/>
          <w:color w:val="auto"/>
        </w:rPr>
      </w:pPr>
      <w:r>
        <w:rPr>
          <w:rFonts w:hint="eastAsia" w:ascii="宋体" w:hAnsi="宋体" w:cs="宋体"/>
          <w:color w:val="auto"/>
        </w:rPr>
        <w:t>早餐：供应时间6:30-8:00；</w:t>
      </w:r>
    </w:p>
    <w:p w14:paraId="340FA8E2">
      <w:pPr>
        <w:pStyle w:val="9"/>
        <w:widowControl/>
        <w:spacing w:line="400" w:lineRule="exact"/>
        <w:ind w:firstLine="426"/>
        <w:rPr>
          <w:rFonts w:ascii="宋体" w:hAnsi="宋体" w:cs="宋体"/>
          <w:color w:val="auto"/>
        </w:rPr>
      </w:pPr>
      <w:r>
        <w:rPr>
          <w:rFonts w:hint="eastAsia" w:ascii="宋体" w:hAnsi="宋体" w:cs="宋体"/>
          <w:color w:val="auto"/>
        </w:rPr>
        <w:t>午餐：供应时间11:00-13:00，须有一类荤素搭配10元左右平价工作套餐；</w:t>
      </w:r>
    </w:p>
    <w:p w14:paraId="08E78250">
      <w:pPr>
        <w:pStyle w:val="9"/>
        <w:widowControl/>
        <w:spacing w:line="400" w:lineRule="exact"/>
        <w:ind w:firstLine="426"/>
        <w:rPr>
          <w:rFonts w:ascii="宋体" w:hAnsi="宋体" w:cs="宋体"/>
          <w:color w:val="auto"/>
        </w:rPr>
      </w:pPr>
      <w:r>
        <w:rPr>
          <w:rFonts w:hint="eastAsia" w:ascii="宋体" w:hAnsi="宋体" w:cs="宋体"/>
          <w:color w:val="auto"/>
        </w:rPr>
        <w:t>晚餐：供应时间17:00-20:00。</w:t>
      </w:r>
    </w:p>
    <w:p w14:paraId="0EDB3E16">
      <w:pPr>
        <w:pStyle w:val="9"/>
        <w:widowControl/>
        <w:spacing w:line="400" w:lineRule="exact"/>
        <w:ind w:firstLine="426"/>
        <w:rPr>
          <w:rFonts w:ascii="宋体" w:hAnsi="宋体" w:cs="宋体"/>
          <w:color w:val="auto"/>
        </w:rPr>
      </w:pPr>
      <w:r>
        <w:rPr>
          <w:rFonts w:hint="eastAsia" w:ascii="宋体" w:hAnsi="宋体" w:cs="宋体"/>
          <w:color w:val="auto"/>
        </w:rPr>
        <w:t>（我方有权要求中标方根据实际情况更改供应时间）</w:t>
      </w:r>
    </w:p>
    <w:p w14:paraId="1CB382AD">
      <w:pPr>
        <w:pStyle w:val="9"/>
        <w:widowControl/>
        <w:spacing w:line="400" w:lineRule="exact"/>
        <w:ind w:firstLine="426"/>
        <w:rPr>
          <w:rFonts w:ascii="宋体" w:hAnsi="宋体" w:cs="宋体"/>
          <w:color w:val="auto"/>
        </w:rPr>
      </w:pPr>
      <w:r>
        <w:rPr>
          <w:rFonts w:hint="eastAsia" w:ascii="宋体" w:hAnsi="宋体" w:cs="宋体"/>
          <w:color w:val="auto"/>
        </w:rPr>
        <w:t>园区定制安装刷卡机，就餐费用由招标方进行结算。</w:t>
      </w:r>
    </w:p>
    <w:p w14:paraId="5F33FD12">
      <w:pPr>
        <w:pStyle w:val="9"/>
        <w:widowControl/>
        <w:spacing w:line="400" w:lineRule="exact"/>
        <w:ind w:firstLine="426"/>
        <w:rPr>
          <w:rFonts w:ascii="宋体" w:hAnsi="宋体" w:cs="宋体"/>
          <w:color w:val="auto"/>
        </w:rPr>
      </w:pPr>
      <w:r>
        <w:rPr>
          <w:rFonts w:hint="eastAsia" w:ascii="宋体" w:hAnsi="宋体" w:cs="宋体"/>
          <w:color w:val="auto"/>
        </w:rPr>
        <w:t>中标方提供的食物须符合国家相关卫生要求，如因食物问题导致用餐人员发生任何身体不适，我方有权立即封存食物，并将食物送至检验机构检验，如因此给我方或就餐人员造成损失的，由中标方承担一切赔偿责任。</w:t>
      </w:r>
    </w:p>
    <w:p w14:paraId="342B435B">
      <w:pPr>
        <w:pStyle w:val="9"/>
        <w:widowControl/>
        <w:spacing w:line="400" w:lineRule="exact"/>
        <w:ind w:firstLine="426"/>
        <w:rPr>
          <w:rFonts w:ascii="Times New Roman" w:hAnsi="Times New Roman"/>
          <w:color w:val="auto"/>
          <w:sz w:val="20"/>
          <w:szCs w:val="20"/>
        </w:rPr>
      </w:pPr>
      <w:r>
        <w:rPr>
          <w:rFonts w:hint="eastAsia" w:ascii="宋体" w:hAnsi="宋体" w:cs="宋体"/>
          <w:color w:val="auto"/>
        </w:rPr>
        <w:t>备注：如因竞得人违法、违规、不服从管理等原因造成的各项纠纷及法律责任由竞得人负全部责任，招标人不承担任何连带责任。</w:t>
      </w:r>
    </w:p>
    <w:p w14:paraId="476CE613">
      <w:pPr>
        <w:pStyle w:val="9"/>
        <w:widowControl/>
        <w:spacing w:line="400" w:lineRule="exact"/>
        <w:ind w:firstLine="425"/>
        <w:rPr>
          <w:rFonts w:ascii="宋体" w:hAnsi="宋体" w:cs="宋体"/>
          <w:b/>
          <w:bCs/>
          <w:color w:val="auto"/>
        </w:rPr>
      </w:pPr>
      <w:r>
        <w:rPr>
          <w:rFonts w:hint="eastAsia" w:ascii="宋体" w:hAnsi="宋体" w:cs="宋体"/>
          <w:b/>
          <w:bCs/>
          <w:color w:val="auto"/>
          <w:lang w:val="en-US" w:eastAsia="zh-CN"/>
        </w:rPr>
        <w:t>四</w:t>
      </w:r>
      <w:r>
        <w:rPr>
          <w:rFonts w:hint="eastAsia" w:ascii="宋体" w:hAnsi="宋体" w:cs="宋体"/>
          <w:b/>
          <w:bCs/>
          <w:color w:val="auto"/>
        </w:rPr>
        <w:t>、</w:t>
      </w:r>
      <w:r>
        <w:rPr>
          <w:rFonts w:hint="eastAsia" w:ascii="宋体" w:hAnsi="宋体" w:cs="宋体"/>
          <w:b/>
          <w:bCs/>
          <w:color w:val="auto"/>
          <w:lang w:val="en-US" w:eastAsia="zh-CN"/>
        </w:rPr>
        <w:t>投标报价要求</w:t>
      </w:r>
      <w:r>
        <w:rPr>
          <w:rFonts w:hint="eastAsia" w:ascii="宋体" w:hAnsi="宋体" w:cs="宋体"/>
          <w:b/>
          <w:bCs/>
          <w:color w:val="auto"/>
        </w:rPr>
        <w:t>：</w:t>
      </w:r>
    </w:p>
    <w:p w14:paraId="5CCF84BD">
      <w:pPr>
        <w:pStyle w:val="9"/>
        <w:widowControl/>
        <w:spacing w:line="400" w:lineRule="exact"/>
        <w:ind w:firstLine="425"/>
        <w:rPr>
          <w:rFonts w:ascii="宋体" w:hAnsi="宋体" w:cs="宋体"/>
          <w:b/>
          <w:bCs/>
          <w:color w:val="auto"/>
        </w:rPr>
      </w:pPr>
      <w:r>
        <w:rPr>
          <w:rFonts w:hint="eastAsia" w:ascii="宋体" w:hAnsi="宋体" w:cs="宋体"/>
          <w:b/>
          <w:bCs/>
          <w:color w:val="auto"/>
          <w:lang w:val="en-US" w:eastAsia="zh-CN"/>
        </w:rPr>
        <w:t>本项目最低限价为133085.28元/年（不含物业费1元/平方米/月），投标人投标报价不得低于最低限价，否则投标将被拒绝</w:t>
      </w:r>
      <w:r>
        <w:rPr>
          <w:rFonts w:hint="eastAsia" w:ascii="宋体" w:hAnsi="宋体" w:cs="宋体"/>
          <w:b/>
          <w:bCs/>
          <w:color w:val="auto"/>
        </w:rPr>
        <w:t>。 本项目</w:t>
      </w:r>
      <w:r>
        <w:rPr>
          <w:rFonts w:hint="eastAsia" w:ascii="宋体" w:hAnsi="宋体" w:cs="宋体"/>
          <w:b/>
          <w:bCs/>
          <w:color w:val="auto"/>
          <w:lang w:val="en-US" w:eastAsia="zh-CN"/>
        </w:rPr>
        <w:t>采用一次性报价，价高者得</w:t>
      </w:r>
      <w:r>
        <w:rPr>
          <w:rFonts w:hint="eastAsia" w:ascii="宋体" w:hAnsi="宋体" w:cs="宋体"/>
          <w:b/>
          <w:bCs/>
          <w:color w:val="auto"/>
        </w:rPr>
        <w:t>。请</w:t>
      </w:r>
      <w:r>
        <w:rPr>
          <w:rFonts w:hint="eastAsia" w:ascii="宋体" w:hAnsi="宋体" w:cs="宋体"/>
          <w:b/>
          <w:bCs/>
          <w:color w:val="auto"/>
          <w:lang w:eastAsia="zh-CN"/>
        </w:rPr>
        <w:t>投标人</w:t>
      </w:r>
      <w:r>
        <w:rPr>
          <w:rFonts w:hint="eastAsia" w:ascii="宋体" w:hAnsi="宋体" w:cs="宋体"/>
          <w:b/>
          <w:bCs/>
          <w:color w:val="auto"/>
        </w:rPr>
        <w:t>充分考虑各种因素，成交后固定</w:t>
      </w:r>
      <w:r>
        <w:rPr>
          <w:rFonts w:hint="eastAsia" w:ascii="宋体" w:hAnsi="宋体" w:cs="宋体"/>
          <w:b/>
          <w:bCs/>
          <w:color w:val="auto"/>
          <w:lang w:val="en-US" w:eastAsia="zh-CN"/>
        </w:rPr>
        <w:t>总价</w:t>
      </w:r>
      <w:r>
        <w:rPr>
          <w:rFonts w:hint="eastAsia" w:ascii="宋体" w:hAnsi="宋体" w:cs="宋体"/>
          <w:b/>
          <w:bCs/>
          <w:color w:val="auto"/>
        </w:rPr>
        <w:t>不予调整，不得因各种理由拖欠费用。</w:t>
      </w:r>
    </w:p>
    <w:p w14:paraId="29448C16">
      <w:pPr>
        <w:pStyle w:val="9"/>
        <w:widowControl/>
        <w:spacing w:line="400" w:lineRule="exact"/>
        <w:ind w:firstLine="426"/>
        <w:rPr>
          <w:rFonts w:ascii="Times New Roman" w:hAnsi="Times New Roman"/>
          <w:color w:val="auto"/>
          <w:sz w:val="20"/>
          <w:szCs w:val="20"/>
        </w:rPr>
      </w:pPr>
      <w:r>
        <w:rPr>
          <w:rFonts w:hint="eastAsia" w:ascii="宋体" w:hAnsi="宋体" w:cs="宋体"/>
          <w:b/>
          <w:bCs/>
          <w:color w:val="auto"/>
          <w:lang w:val="en-US" w:eastAsia="zh-CN"/>
        </w:rPr>
        <w:t>五</w:t>
      </w:r>
      <w:r>
        <w:rPr>
          <w:rFonts w:hint="eastAsia" w:ascii="宋体" w:hAnsi="宋体" w:cs="宋体"/>
          <w:b/>
          <w:bCs/>
          <w:color w:val="auto"/>
        </w:rPr>
        <w:t>、</w:t>
      </w:r>
      <w:r>
        <w:rPr>
          <w:rFonts w:hint="eastAsia" w:ascii="宋体" w:hAnsi="宋体" w:cs="宋体"/>
          <w:color w:val="auto"/>
        </w:rPr>
        <w:t>本次竞价项目由滁州市城投工程咨询管理有限公司。代理费3000元，由</w:t>
      </w:r>
      <w:r>
        <w:rPr>
          <w:rFonts w:hint="eastAsia" w:ascii="宋体" w:hAnsi="宋体" w:cs="宋体"/>
          <w:color w:val="auto"/>
          <w:lang w:val="en-US" w:eastAsia="zh-CN"/>
        </w:rPr>
        <w:t>中标人</w:t>
      </w:r>
      <w:r>
        <w:rPr>
          <w:rFonts w:hint="eastAsia" w:ascii="宋体" w:hAnsi="宋体" w:cs="宋体"/>
          <w:color w:val="auto"/>
        </w:rPr>
        <w:t>在领取中标通知书前支付给代理公司，请</w:t>
      </w:r>
      <w:r>
        <w:rPr>
          <w:rFonts w:hint="eastAsia" w:ascii="宋体" w:hAnsi="宋体" w:cs="宋体"/>
          <w:color w:val="auto"/>
          <w:lang w:eastAsia="zh-CN"/>
        </w:rPr>
        <w:t>投标人</w:t>
      </w:r>
      <w:r>
        <w:rPr>
          <w:rFonts w:hint="eastAsia" w:ascii="宋体" w:hAnsi="宋体" w:cs="宋体"/>
          <w:color w:val="auto"/>
        </w:rPr>
        <w:t>在竞价过程中充分考虑此项费用。</w:t>
      </w:r>
    </w:p>
    <w:p w14:paraId="265A2A92">
      <w:pPr>
        <w:pStyle w:val="9"/>
        <w:widowControl/>
        <w:spacing w:line="400" w:lineRule="exact"/>
        <w:ind w:firstLine="424"/>
        <w:rPr>
          <w:rFonts w:ascii="Times New Roman" w:hAnsi="Times New Roman"/>
          <w:color w:val="auto"/>
          <w:sz w:val="20"/>
          <w:szCs w:val="20"/>
        </w:rPr>
      </w:pPr>
      <w:r>
        <w:rPr>
          <w:rFonts w:hint="eastAsia" w:ascii="宋体" w:hAnsi="宋体" w:cs="宋体"/>
          <w:b/>
          <w:bCs/>
          <w:color w:val="auto"/>
          <w:lang w:val="en-US" w:eastAsia="zh-CN"/>
        </w:rPr>
        <w:t>六</w:t>
      </w:r>
      <w:r>
        <w:rPr>
          <w:rFonts w:hint="eastAsia" w:ascii="宋体" w:hAnsi="宋体" w:cs="宋体"/>
          <w:b/>
          <w:bCs/>
          <w:color w:val="auto"/>
        </w:rPr>
        <w:t>、咨询、看样的时间：</w:t>
      </w:r>
    </w:p>
    <w:p w14:paraId="3E304BD3">
      <w:pPr>
        <w:pStyle w:val="9"/>
        <w:widowControl/>
        <w:spacing w:line="400" w:lineRule="exact"/>
        <w:ind w:firstLine="422"/>
        <w:rPr>
          <w:rFonts w:ascii="Times New Roman" w:hAnsi="Times New Roman"/>
          <w:color w:val="auto"/>
          <w:sz w:val="20"/>
          <w:szCs w:val="20"/>
        </w:rPr>
      </w:pPr>
      <w:r>
        <w:rPr>
          <w:rFonts w:hint="eastAsia" w:ascii="宋体" w:hAnsi="宋体" w:cs="宋体"/>
          <w:color w:val="auto"/>
        </w:rPr>
        <w:t>自公告之日起至202</w:t>
      </w:r>
      <w:r>
        <w:rPr>
          <w:rFonts w:hint="eastAsia" w:ascii="宋体" w:hAnsi="宋体" w:cs="宋体"/>
          <w:color w:val="auto"/>
          <w:lang w:val="en-US" w:eastAsia="zh-CN"/>
        </w:rPr>
        <w:t>4</w:t>
      </w:r>
      <w:r>
        <w:rPr>
          <w:rFonts w:hint="eastAsia" w:ascii="宋体" w:hAnsi="宋体" w:cs="宋体"/>
          <w:color w:val="auto"/>
        </w:rPr>
        <w:t>年</w:t>
      </w:r>
      <w:r>
        <w:rPr>
          <w:rFonts w:hint="eastAsia" w:ascii="宋体" w:hAnsi="宋体" w:cs="宋体"/>
          <w:color w:val="auto"/>
          <w:lang w:val="en-US" w:eastAsia="zh-CN"/>
        </w:rPr>
        <w:t>11</w:t>
      </w:r>
      <w:r>
        <w:rPr>
          <w:rFonts w:hint="eastAsia" w:ascii="宋体" w:hAnsi="宋体" w:cs="宋体"/>
          <w:color w:val="auto"/>
        </w:rPr>
        <w:t>月</w:t>
      </w:r>
      <w:r>
        <w:rPr>
          <w:rFonts w:hint="eastAsia" w:ascii="宋体" w:hAnsi="宋体" w:cs="宋体"/>
          <w:color w:val="auto"/>
          <w:lang w:val="en-US" w:eastAsia="zh-CN"/>
        </w:rPr>
        <w:t>22</w:t>
      </w:r>
      <w:r>
        <w:rPr>
          <w:rFonts w:hint="eastAsia" w:ascii="宋体" w:hAnsi="宋体" w:cs="宋体"/>
          <w:color w:val="auto"/>
        </w:rPr>
        <w:t>日</w:t>
      </w:r>
      <w:r>
        <w:rPr>
          <w:rFonts w:hint="eastAsia" w:ascii="宋体" w:hAnsi="宋体" w:cs="宋体"/>
          <w:color w:val="auto"/>
          <w:lang w:val="en-US" w:eastAsia="zh-CN"/>
        </w:rPr>
        <w:t>15</w:t>
      </w:r>
      <w:r>
        <w:rPr>
          <w:rFonts w:hint="eastAsia" w:ascii="宋体" w:hAnsi="宋体" w:cs="宋体"/>
          <w:color w:val="auto"/>
        </w:rPr>
        <w:t>时止接受咨询（节假日休息），有意者请与招标人联系。</w:t>
      </w:r>
    </w:p>
    <w:p w14:paraId="51AC84FE">
      <w:pPr>
        <w:pStyle w:val="9"/>
        <w:widowControl/>
        <w:spacing w:line="400" w:lineRule="exact"/>
        <w:ind w:firstLine="424"/>
        <w:rPr>
          <w:rFonts w:ascii="Times New Roman" w:hAnsi="Times New Roman"/>
          <w:color w:val="auto"/>
          <w:sz w:val="20"/>
          <w:szCs w:val="20"/>
        </w:rPr>
      </w:pPr>
      <w:r>
        <w:rPr>
          <w:rFonts w:hint="eastAsia" w:ascii="宋体" w:hAnsi="宋体" w:cs="宋体"/>
          <w:b/>
          <w:bCs/>
          <w:color w:val="auto"/>
          <w:lang w:val="en-US" w:eastAsia="zh-CN"/>
        </w:rPr>
        <w:t>七</w:t>
      </w:r>
      <w:r>
        <w:rPr>
          <w:rFonts w:hint="eastAsia" w:ascii="宋体" w:hAnsi="宋体" w:cs="宋体"/>
          <w:b/>
          <w:bCs/>
          <w:color w:val="auto"/>
        </w:rPr>
        <w:t>、特别提醒：</w:t>
      </w:r>
    </w:p>
    <w:p w14:paraId="02D36ADB">
      <w:pPr>
        <w:pStyle w:val="9"/>
        <w:widowControl/>
        <w:spacing w:line="400" w:lineRule="exact"/>
        <w:ind w:firstLine="422"/>
        <w:rPr>
          <w:rFonts w:ascii="Times New Roman" w:hAnsi="Times New Roman"/>
          <w:color w:val="auto"/>
          <w:sz w:val="20"/>
          <w:szCs w:val="20"/>
        </w:rPr>
      </w:pPr>
      <w:r>
        <w:rPr>
          <w:rFonts w:hint="eastAsia" w:ascii="宋体" w:hAnsi="宋体" w:cs="宋体"/>
          <w:color w:val="auto"/>
        </w:rPr>
        <w:t>1)标的物以现状为准，招标人不承担本标的物的瑕疵担保责任。请慎重决定竞标行为，</w:t>
      </w:r>
      <w:r>
        <w:rPr>
          <w:rFonts w:hint="eastAsia" w:ascii="宋体" w:hAnsi="宋体" w:cs="宋体"/>
          <w:color w:val="auto"/>
          <w:lang w:eastAsia="zh-CN"/>
        </w:rPr>
        <w:t>投标人</w:t>
      </w:r>
      <w:r>
        <w:rPr>
          <w:rFonts w:hint="eastAsia" w:ascii="宋体" w:hAnsi="宋体" w:cs="宋体"/>
          <w:color w:val="auto"/>
        </w:rPr>
        <w:t>一旦作出竞标决定，即表明已完全了解，并接受标的物的现状和一切已知及未知的瑕疵。</w:t>
      </w:r>
    </w:p>
    <w:p w14:paraId="073FBDDA">
      <w:pPr>
        <w:pStyle w:val="9"/>
        <w:widowControl/>
        <w:spacing w:line="400" w:lineRule="exact"/>
        <w:ind w:firstLine="425"/>
        <w:rPr>
          <w:rFonts w:ascii="Times New Roman" w:hAnsi="Times New Roman"/>
          <w:color w:val="auto"/>
          <w:sz w:val="20"/>
          <w:szCs w:val="20"/>
        </w:rPr>
      </w:pPr>
      <w:r>
        <w:rPr>
          <w:rFonts w:hint="eastAsia" w:ascii="宋体" w:hAnsi="宋体" w:cs="宋体"/>
          <w:color w:val="auto"/>
        </w:rPr>
        <w:t>2)</w:t>
      </w:r>
      <w:r>
        <w:rPr>
          <w:rFonts w:hint="eastAsia" w:ascii="宋体" w:hAnsi="宋体" w:cs="宋体"/>
          <w:color w:val="auto"/>
          <w:lang w:eastAsia="zh-CN"/>
        </w:rPr>
        <w:t>投标人</w:t>
      </w:r>
      <w:r>
        <w:rPr>
          <w:rFonts w:hint="eastAsia" w:ascii="宋体" w:hAnsi="宋体" w:cs="宋体"/>
          <w:color w:val="auto"/>
        </w:rPr>
        <w:t>在竞标前自行做好尽职调查，</w:t>
      </w:r>
      <w:r>
        <w:rPr>
          <w:rFonts w:hint="eastAsia" w:ascii="宋体" w:hAnsi="宋体" w:cs="宋体"/>
          <w:color w:val="auto"/>
          <w:lang w:eastAsia="zh-CN"/>
        </w:rPr>
        <w:t>投标人</w:t>
      </w:r>
      <w:r>
        <w:rPr>
          <w:rFonts w:hint="eastAsia" w:ascii="宋体" w:hAnsi="宋体" w:cs="宋体"/>
          <w:color w:val="auto"/>
        </w:rPr>
        <w:t>自行判断是否符合受让本项目资格。因不符合条件参加竞标的，由</w:t>
      </w:r>
      <w:r>
        <w:rPr>
          <w:rFonts w:hint="eastAsia" w:ascii="宋体" w:hAnsi="宋体" w:cs="宋体"/>
          <w:color w:val="auto"/>
          <w:lang w:eastAsia="zh-CN"/>
        </w:rPr>
        <w:t>投标人</w:t>
      </w:r>
      <w:r>
        <w:rPr>
          <w:rFonts w:hint="eastAsia" w:ascii="宋体" w:hAnsi="宋体" w:cs="宋体"/>
          <w:color w:val="auto"/>
        </w:rPr>
        <w:t>自行承担相应的法律责任，并自行承担由此产生的全部责任及后果，包括但不限于费用、风险和损失。</w:t>
      </w:r>
    </w:p>
    <w:p w14:paraId="4C66918F">
      <w:pPr>
        <w:pStyle w:val="9"/>
        <w:widowControl/>
        <w:spacing w:line="400" w:lineRule="exact"/>
        <w:ind w:firstLine="425"/>
        <w:rPr>
          <w:rFonts w:ascii="宋体" w:hAnsi="宋体" w:cs="宋体"/>
          <w:color w:val="auto"/>
        </w:rPr>
      </w:pPr>
      <w:r>
        <w:rPr>
          <w:rFonts w:hint="eastAsia" w:ascii="宋体" w:hAnsi="宋体" w:cs="宋体"/>
          <w:color w:val="auto"/>
        </w:rPr>
        <w:t>3)竞得人在中标通知书发放之日起15日内缴纳履约保证金并主动与招标人签订合同，否则视为竞得人自动放弃成交资格，竞价保证金不予退还，且招标人有权对外重新公开竞价。</w:t>
      </w:r>
    </w:p>
    <w:p w14:paraId="5F5D0E84">
      <w:pPr>
        <w:pStyle w:val="9"/>
        <w:widowControl/>
        <w:spacing w:line="400" w:lineRule="exact"/>
        <w:ind w:firstLine="425"/>
        <w:rPr>
          <w:rFonts w:ascii="宋体" w:hAnsi="宋体" w:cs="宋体"/>
          <w:color w:val="auto"/>
        </w:rPr>
      </w:pPr>
      <w:r>
        <w:rPr>
          <w:rFonts w:hint="eastAsia" w:ascii="宋体" w:hAnsi="宋体" w:cs="宋体"/>
          <w:color w:val="auto"/>
        </w:rPr>
        <w:t>4)标的物经营登记手续由经营人自行办理，所涉及的一切税费均由经营人承担。</w:t>
      </w:r>
    </w:p>
    <w:p w14:paraId="0D39A93F">
      <w:pPr>
        <w:pStyle w:val="9"/>
        <w:widowControl/>
        <w:spacing w:line="400" w:lineRule="exact"/>
        <w:ind w:firstLine="425"/>
        <w:rPr>
          <w:rFonts w:ascii="宋体" w:hAnsi="宋体" w:cs="宋体"/>
          <w:color w:val="auto"/>
        </w:rPr>
      </w:pPr>
    </w:p>
    <w:p w14:paraId="033EF2D8">
      <w:pPr>
        <w:pStyle w:val="9"/>
        <w:widowControl/>
        <w:spacing w:line="400" w:lineRule="exact"/>
        <w:ind w:firstLine="480" w:firstLineChars="200"/>
        <w:rPr>
          <w:color w:val="auto"/>
        </w:rPr>
      </w:pPr>
      <w:r>
        <w:rPr>
          <w:rFonts w:hint="eastAsia"/>
          <w:color w:val="auto"/>
        </w:rPr>
        <w:t>联系方式：</w:t>
      </w:r>
    </w:p>
    <w:p w14:paraId="1C577C10">
      <w:pPr>
        <w:pStyle w:val="9"/>
        <w:widowControl/>
        <w:spacing w:line="400" w:lineRule="exact"/>
        <w:ind w:firstLine="480" w:firstLineChars="200"/>
        <w:rPr>
          <w:color w:val="auto"/>
        </w:rPr>
      </w:pPr>
      <w:r>
        <w:rPr>
          <w:rFonts w:hint="eastAsia"/>
          <w:color w:val="auto"/>
        </w:rPr>
        <w:t>代理公司：滁州市城投工程咨询管理有限公司</w:t>
      </w:r>
    </w:p>
    <w:p w14:paraId="6487B6FD">
      <w:pPr>
        <w:pStyle w:val="9"/>
        <w:widowControl/>
        <w:spacing w:line="400" w:lineRule="exact"/>
        <w:ind w:firstLine="480" w:firstLineChars="200"/>
        <w:rPr>
          <w:color w:val="auto"/>
        </w:rPr>
      </w:pPr>
      <w:r>
        <w:rPr>
          <w:rFonts w:hint="eastAsia"/>
          <w:color w:val="auto"/>
        </w:rPr>
        <w:t>联系人：曹思敏 电话：</w:t>
      </w:r>
      <w:r>
        <w:rPr>
          <w:color w:val="auto"/>
        </w:rPr>
        <w:t>0550-</w:t>
      </w:r>
      <w:r>
        <w:rPr>
          <w:rFonts w:hint="eastAsia"/>
          <w:color w:val="auto"/>
        </w:rPr>
        <w:t>3519516、18712012204</w:t>
      </w:r>
    </w:p>
    <w:p w14:paraId="00053D4F">
      <w:pPr>
        <w:pStyle w:val="9"/>
        <w:widowControl/>
        <w:spacing w:line="400" w:lineRule="exact"/>
        <w:ind w:firstLine="480" w:firstLineChars="200"/>
        <w:rPr>
          <w:color w:val="auto"/>
        </w:rPr>
      </w:pPr>
      <w:r>
        <w:rPr>
          <w:rFonts w:hint="eastAsia"/>
          <w:color w:val="auto"/>
        </w:rPr>
        <w:t xml:space="preserve">联系地址：滁州市龙蟠大道109号房产大厦6楼605 </w:t>
      </w:r>
    </w:p>
    <w:p w14:paraId="301C4FC6">
      <w:pPr>
        <w:pStyle w:val="9"/>
        <w:widowControl/>
        <w:spacing w:line="400" w:lineRule="exact"/>
        <w:ind w:firstLine="480" w:firstLineChars="200"/>
        <w:rPr>
          <w:color w:val="auto"/>
        </w:rPr>
      </w:pPr>
      <w:r>
        <w:rPr>
          <w:rFonts w:hint="eastAsia"/>
          <w:color w:val="auto"/>
        </w:rPr>
        <w:t>招标单位：</w:t>
      </w:r>
      <w:r>
        <w:rPr>
          <w:rFonts w:hint="eastAsia"/>
          <w:color w:val="auto"/>
          <w:lang w:eastAsia="zh-CN"/>
        </w:rPr>
        <w:t>滁州工投高新科技园有限公司</w:t>
      </w:r>
      <w:r>
        <w:rPr>
          <w:rFonts w:hint="eastAsia"/>
          <w:color w:val="auto"/>
        </w:rPr>
        <w:t xml:space="preserve">  </w:t>
      </w:r>
    </w:p>
    <w:p w14:paraId="14ADB3F3">
      <w:pPr>
        <w:pStyle w:val="9"/>
        <w:widowControl/>
        <w:spacing w:line="400" w:lineRule="exact"/>
        <w:ind w:firstLine="480" w:firstLineChars="200"/>
        <w:rPr>
          <w:rFonts w:hint="eastAsia"/>
          <w:color w:val="auto"/>
        </w:rPr>
      </w:pPr>
      <w:r>
        <w:rPr>
          <w:rFonts w:hint="eastAsia"/>
          <w:color w:val="auto"/>
        </w:rPr>
        <w:t>联系人：王昊  联系方式：0550-3990933</w:t>
      </w:r>
    </w:p>
    <w:p w14:paraId="0F56E8B8">
      <w:pPr>
        <w:pStyle w:val="9"/>
        <w:widowControl/>
        <w:spacing w:line="400" w:lineRule="exact"/>
        <w:ind w:firstLine="2160" w:firstLineChars="900"/>
        <w:rPr>
          <w:color w:val="auto"/>
        </w:rPr>
      </w:pPr>
      <w:r>
        <w:rPr>
          <w:rFonts w:hint="eastAsia"/>
          <w:color w:val="auto"/>
        </w:rPr>
        <w:t>监督电话：0550-3017855</w:t>
      </w:r>
    </w:p>
    <w:p w14:paraId="55726CC2">
      <w:pPr>
        <w:pStyle w:val="9"/>
        <w:widowControl/>
        <w:spacing w:line="400" w:lineRule="exact"/>
        <w:ind w:firstLine="480" w:firstLineChars="200"/>
        <w:rPr>
          <w:color w:val="auto"/>
        </w:rPr>
      </w:pPr>
      <w:r>
        <w:rPr>
          <w:rFonts w:hint="eastAsia"/>
          <w:color w:val="auto"/>
        </w:rPr>
        <w:t xml:space="preserve">联系地址：滁州市醉翁路与中都大道交叉口西南侧城投大厦 </w:t>
      </w:r>
    </w:p>
    <w:p w14:paraId="1E60CF91">
      <w:pPr>
        <w:pStyle w:val="9"/>
        <w:widowControl/>
        <w:spacing w:line="400" w:lineRule="exact"/>
        <w:ind w:firstLine="5280" w:firstLineChars="2200"/>
        <w:rPr>
          <w:rFonts w:hint="eastAsia" w:ascii="宋体" w:hAnsi="宋体" w:cs="宋体"/>
          <w:color w:val="auto"/>
          <w:lang w:val="en-US" w:eastAsia="zh-CN"/>
        </w:rPr>
      </w:pPr>
      <w:r>
        <w:rPr>
          <w:rFonts w:hint="eastAsia"/>
          <w:color w:val="auto"/>
        </w:rPr>
        <w:tab/>
      </w:r>
      <w:r>
        <w:rPr>
          <w:color w:val="auto"/>
        </w:rPr>
        <w:t>202</w:t>
      </w:r>
      <w:r>
        <w:rPr>
          <w:rFonts w:hint="eastAsia"/>
          <w:color w:val="auto"/>
          <w:lang w:val="en-US" w:eastAsia="zh-CN"/>
        </w:rPr>
        <w:t>4</w:t>
      </w:r>
      <w:r>
        <w:rPr>
          <w:rFonts w:hint="eastAsia" w:ascii="宋体" w:hAnsi="宋体" w:cs="宋体"/>
          <w:color w:val="auto"/>
        </w:rPr>
        <w:t>年</w:t>
      </w:r>
      <w:r>
        <w:rPr>
          <w:rFonts w:hint="eastAsia"/>
          <w:color w:val="auto"/>
          <w:lang w:val="en-US" w:eastAsia="zh-CN"/>
        </w:rPr>
        <w:t>11</w:t>
      </w:r>
      <w:r>
        <w:rPr>
          <w:rFonts w:hint="eastAsia" w:ascii="宋体" w:hAnsi="宋体" w:cs="宋体"/>
          <w:color w:val="auto"/>
        </w:rPr>
        <w:t>月</w:t>
      </w:r>
      <w:r>
        <w:rPr>
          <w:rFonts w:hint="eastAsia" w:ascii="宋体" w:hAnsi="宋体" w:cs="宋体"/>
          <w:color w:val="auto"/>
          <w:lang w:val="en-US" w:eastAsia="zh-CN"/>
        </w:rPr>
        <w:t>7日</w:t>
      </w:r>
    </w:p>
    <w:p w14:paraId="7F20FAE1">
      <w:pPr>
        <w:pStyle w:val="9"/>
        <w:widowControl/>
        <w:spacing w:line="400" w:lineRule="exact"/>
        <w:ind w:firstLine="5280" w:firstLineChars="2200"/>
        <w:rPr>
          <w:rFonts w:hint="eastAsia" w:ascii="宋体" w:hAnsi="宋体" w:cs="宋体"/>
          <w:color w:val="auto"/>
          <w:lang w:val="en-US" w:eastAsia="zh-CN"/>
        </w:rPr>
      </w:pPr>
    </w:p>
    <w:p w14:paraId="1EBEBF37">
      <w:pPr>
        <w:pStyle w:val="9"/>
        <w:widowControl/>
        <w:spacing w:line="400" w:lineRule="exact"/>
        <w:rPr>
          <w:rFonts w:hint="eastAsia" w:ascii="宋体" w:hAnsi="宋体" w:cs="宋体"/>
          <w:color w:val="auto"/>
          <w:lang w:val="en-US" w:eastAsia="zh-CN"/>
        </w:rPr>
      </w:pPr>
    </w:p>
    <w:p w14:paraId="0535108D">
      <w:pPr>
        <w:pStyle w:val="9"/>
        <w:widowControl/>
        <w:spacing w:line="360" w:lineRule="auto"/>
        <w:ind w:firstLine="1446" w:firstLineChars="400"/>
        <w:rPr>
          <w:rFonts w:ascii="宋体" w:hAnsi="宋体" w:cs="宋体"/>
          <w:b/>
          <w:color w:val="auto"/>
          <w:sz w:val="36"/>
          <w:szCs w:val="36"/>
        </w:rPr>
      </w:pPr>
      <w:bookmarkStart w:id="0" w:name="_Toc469495741"/>
      <w:r>
        <w:rPr>
          <w:rFonts w:hint="eastAsia" w:ascii="宋体" w:hAnsi="宋体" w:cs="宋体"/>
          <w:b/>
          <w:color w:val="auto"/>
          <w:sz w:val="36"/>
          <w:szCs w:val="36"/>
        </w:rPr>
        <w:t>食堂经营权合同协议书</w:t>
      </w:r>
      <w:bookmarkEnd w:id="0"/>
      <w:r>
        <w:rPr>
          <w:rFonts w:hint="eastAsia" w:ascii="宋体" w:hAnsi="宋体" w:cs="宋体"/>
          <w:b/>
          <w:color w:val="auto"/>
          <w:sz w:val="36"/>
          <w:szCs w:val="36"/>
        </w:rPr>
        <w:t>（样版）</w:t>
      </w:r>
    </w:p>
    <w:p w14:paraId="2FC6832D">
      <w:pPr>
        <w:spacing w:line="380" w:lineRule="exact"/>
        <w:rPr>
          <w:rFonts w:ascii="宋体" w:hAnsi="宋体" w:cs="宋体"/>
          <w:color w:val="auto"/>
          <w:sz w:val="28"/>
          <w:szCs w:val="28"/>
        </w:rPr>
      </w:pPr>
      <w:r>
        <w:rPr>
          <w:rFonts w:hint="eastAsia" w:ascii="宋体" w:hAnsi="宋体" w:cs="宋体"/>
          <w:color w:val="auto"/>
          <w:sz w:val="28"/>
          <w:szCs w:val="28"/>
        </w:rPr>
        <w:t xml:space="preserve">                      </w:t>
      </w:r>
    </w:p>
    <w:p w14:paraId="122D44A9">
      <w:pPr>
        <w:wordWrap w:val="0"/>
        <w:spacing w:line="1000" w:lineRule="exact"/>
        <w:rPr>
          <w:rFonts w:ascii="宋体" w:hAnsi="宋体" w:cs="宋体"/>
          <w:color w:val="auto"/>
          <w:sz w:val="28"/>
          <w:szCs w:val="28"/>
        </w:rPr>
      </w:pPr>
      <w:r>
        <w:rPr>
          <w:rFonts w:hint="eastAsia" w:ascii="宋体" w:hAnsi="宋体" w:cs="宋体"/>
          <w:color w:val="auto"/>
          <w:sz w:val="28"/>
          <w:szCs w:val="28"/>
        </w:rPr>
        <w:t xml:space="preserve">名    称（以下简称甲方）： </w:t>
      </w:r>
    </w:p>
    <w:p w14:paraId="2B008A78">
      <w:pPr>
        <w:wordWrap w:val="0"/>
        <w:spacing w:line="1000" w:lineRule="exact"/>
        <w:rPr>
          <w:rFonts w:ascii="宋体" w:hAnsi="宋体" w:cs="宋体"/>
          <w:color w:val="auto"/>
          <w:sz w:val="28"/>
          <w:szCs w:val="28"/>
        </w:rPr>
      </w:pPr>
      <w:r>
        <w:rPr>
          <w:rFonts w:hint="eastAsia" w:ascii="宋体" w:hAnsi="宋体" w:cs="宋体"/>
          <w:color w:val="auto"/>
          <w:sz w:val="28"/>
          <w:szCs w:val="28"/>
        </w:rPr>
        <w:t>法定代表人：</w:t>
      </w:r>
    </w:p>
    <w:p w14:paraId="709E62A1">
      <w:pPr>
        <w:wordWrap w:val="0"/>
        <w:spacing w:line="1000" w:lineRule="exact"/>
        <w:rPr>
          <w:rFonts w:ascii="宋体" w:hAnsi="宋体" w:cs="宋体"/>
          <w:color w:val="auto"/>
          <w:sz w:val="28"/>
          <w:szCs w:val="28"/>
        </w:rPr>
      </w:pPr>
      <w:r>
        <w:rPr>
          <w:rFonts w:hint="eastAsia" w:ascii="宋体" w:hAnsi="宋体" w:cs="宋体"/>
          <w:color w:val="auto"/>
          <w:sz w:val="28"/>
          <w:szCs w:val="28"/>
        </w:rPr>
        <w:t xml:space="preserve">地    址： </w:t>
      </w:r>
    </w:p>
    <w:p w14:paraId="56F9C559">
      <w:pPr>
        <w:wordWrap w:val="0"/>
        <w:spacing w:line="1000" w:lineRule="exact"/>
        <w:rPr>
          <w:rFonts w:ascii="宋体" w:hAnsi="宋体" w:cs="宋体"/>
          <w:color w:val="auto"/>
          <w:sz w:val="28"/>
          <w:szCs w:val="28"/>
        </w:rPr>
      </w:pPr>
      <w:r>
        <w:rPr>
          <w:rFonts w:hint="eastAsia" w:ascii="宋体" w:hAnsi="宋体" w:cs="宋体"/>
          <w:color w:val="auto"/>
          <w:sz w:val="28"/>
          <w:szCs w:val="28"/>
        </w:rPr>
        <w:t>企业名称（以下简称乙方）：</w:t>
      </w:r>
    </w:p>
    <w:p w14:paraId="26D51A18">
      <w:pPr>
        <w:wordWrap w:val="0"/>
        <w:spacing w:line="1000" w:lineRule="exact"/>
        <w:rPr>
          <w:rFonts w:ascii="宋体" w:hAnsi="宋体" w:cs="宋体"/>
          <w:color w:val="auto"/>
          <w:sz w:val="28"/>
          <w:szCs w:val="28"/>
        </w:rPr>
      </w:pPr>
      <w:r>
        <w:rPr>
          <w:rFonts w:hint="eastAsia" w:ascii="宋体" w:hAnsi="宋体" w:cs="宋体"/>
          <w:color w:val="auto"/>
          <w:sz w:val="28"/>
          <w:szCs w:val="28"/>
        </w:rPr>
        <w:t>法定代表人：</w:t>
      </w:r>
    </w:p>
    <w:p w14:paraId="44F35C73">
      <w:pPr>
        <w:wordWrap w:val="0"/>
        <w:spacing w:line="1000" w:lineRule="exact"/>
        <w:rPr>
          <w:rFonts w:ascii="宋体" w:hAnsi="宋体" w:cs="宋体"/>
          <w:color w:val="auto"/>
          <w:sz w:val="28"/>
          <w:szCs w:val="28"/>
        </w:rPr>
      </w:pPr>
      <w:r>
        <w:rPr>
          <w:rFonts w:hint="eastAsia" w:ascii="宋体" w:hAnsi="宋体" w:cs="宋体"/>
          <w:color w:val="auto"/>
          <w:sz w:val="28"/>
          <w:szCs w:val="28"/>
        </w:rPr>
        <w:t>注册地址：</w:t>
      </w:r>
    </w:p>
    <w:p w14:paraId="51D65D0A">
      <w:pPr>
        <w:pStyle w:val="25"/>
        <w:spacing w:line="500" w:lineRule="atLeast"/>
        <w:rPr>
          <w:rFonts w:hint="default" w:ascii="宋体" w:hAnsi="宋体"/>
          <w:color w:val="auto"/>
          <w:sz w:val="28"/>
          <w:szCs w:val="28"/>
        </w:rPr>
      </w:pPr>
    </w:p>
    <w:p w14:paraId="02C04542">
      <w:pPr>
        <w:pStyle w:val="25"/>
        <w:spacing w:line="500" w:lineRule="atLeast"/>
        <w:rPr>
          <w:rFonts w:hint="default" w:ascii="宋体" w:hAnsi="宋体"/>
          <w:color w:val="auto"/>
          <w:sz w:val="28"/>
          <w:szCs w:val="28"/>
        </w:rPr>
      </w:pPr>
    </w:p>
    <w:p w14:paraId="3A53D1CF">
      <w:pPr>
        <w:pStyle w:val="25"/>
        <w:spacing w:line="500" w:lineRule="atLeast"/>
        <w:rPr>
          <w:rFonts w:hint="default" w:ascii="宋体" w:hAnsi="宋体"/>
          <w:color w:val="auto"/>
          <w:sz w:val="28"/>
          <w:szCs w:val="28"/>
        </w:rPr>
      </w:pPr>
    </w:p>
    <w:p w14:paraId="293464F2">
      <w:pPr>
        <w:pStyle w:val="25"/>
        <w:spacing w:line="500" w:lineRule="atLeast"/>
        <w:rPr>
          <w:rFonts w:hint="default" w:ascii="宋体" w:hAnsi="宋体"/>
          <w:color w:val="auto"/>
          <w:sz w:val="28"/>
          <w:szCs w:val="28"/>
        </w:rPr>
      </w:pPr>
    </w:p>
    <w:p w14:paraId="041324DC">
      <w:pPr>
        <w:pStyle w:val="25"/>
        <w:spacing w:line="500" w:lineRule="atLeast"/>
        <w:jc w:val="center"/>
        <w:rPr>
          <w:rFonts w:hint="default" w:ascii="宋体" w:hAnsi="宋体"/>
          <w:b/>
          <w:color w:val="auto"/>
          <w:sz w:val="32"/>
          <w:szCs w:val="32"/>
        </w:rPr>
      </w:pPr>
    </w:p>
    <w:p w14:paraId="12788AB4">
      <w:pPr>
        <w:pStyle w:val="25"/>
        <w:spacing w:line="500" w:lineRule="atLeast"/>
        <w:jc w:val="center"/>
        <w:rPr>
          <w:rFonts w:hint="default" w:ascii="宋体" w:hAnsi="宋体"/>
          <w:b/>
          <w:color w:val="auto"/>
          <w:sz w:val="32"/>
          <w:szCs w:val="32"/>
        </w:rPr>
      </w:pPr>
    </w:p>
    <w:p w14:paraId="7933121A">
      <w:pPr>
        <w:pStyle w:val="25"/>
        <w:spacing w:line="500" w:lineRule="atLeast"/>
        <w:jc w:val="center"/>
        <w:rPr>
          <w:rFonts w:hint="default" w:ascii="宋体" w:hAnsi="宋体"/>
          <w:b/>
          <w:color w:val="auto"/>
          <w:sz w:val="32"/>
          <w:szCs w:val="32"/>
        </w:rPr>
      </w:pPr>
    </w:p>
    <w:p w14:paraId="69888CAA">
      <w:pPr>
        <w:pStyle w:val="25"/>
        <w:spacing w:line="500" w:lineRule="atLeast"/>
        <w:jc w:val="center"/>
        <w:rPr>
          <w:rFonts w:hint="default" w:ascii="宋体" w:hAnsi="宋体"/>
          <w:b/>
          <w:color w:val="auto"/>
          <w:sz w:val="32"/>
          <w:szCs w:val="32"/>
        </w:rPr>
      </w:pPr>
    </w:p>
    <w:p w14:paraId="572F0AE8">
      <w:pPr>
        <w:pStyle w:val="25"/>
        <w:spacing w:line="500" w:lineRule="atLeast"/>
        <w:rPr>
          <w:rFonts w:hint="default" w:ascii="宋体" w:hAnsi="宋体"/>
          <w:color w:val="auto"/>
          <w:sz w:val="28"/>
          <w:szCs w:val="28"/>
        </w:rPr>
      </w:pPr>
    </w:p>
    <w:p w14:paraId="1D4822C0">
      <w:pPr>
        <w:pStyle w:val="25"/>
        <w:spacing w:line="500" w:lineRule="atLeast"/>
        <w:rPr>
          <w:rFonts w:hint="default" w:ascii="宋体" w:hAnsi="宋体"/>
          <w:b/>
          <w:bCs/>
          <w:color w:val="auto"/>
          <w:sz w:val="28"/>
          <w:szCs w:val="28"/>
        </w:rPr>
      </w:pPr>
    </w:p>
    <w:p w14:paraId="302F381D">
      <w:pPr>
        <w:pStyle w:val="25"/>
        <w:spacing w:line="500" w:lineRule="atLeast"/>
        <w:jc w:val="center"/>
        <w:rPr>
          <w:rFonts w:hint="default" w:ascii="黑体" w:eastAsia="黑体"/>
          <w:color w:val="auto"/>
          <w:sz w:val="36"/>
          <w:szCs w:val="36"/>
        </w:rPr>
      </w:pPr>
    </w:p>
    <w:p w14:paraId="4C1D6FD1">
      <w:pPr>
        <w:pStyle w:val="25"/>
        <w:spacing w:line="500" w:lineRule="atLeast"/>
        <w:jc w:val="center"/>
        <w:rPr>
          <w:rFonts w:hint="default" w:ascii="黑体" w:eastAsia="黑体"/>
          <w:b/>
          <w:color w:val="auto"/>
          <w:sz w:val="36"/>
          <w:szCs w:val="36"/>
        </w:rPr>
      </w:pPr>
      <w:r>
        <w:rPr>
          <w:rFonts w:ascii="黑体" w:eastAsia="黑体"/>
          <w:color w:val="auto"/>
          <w:sz w:val="36"/>
          <w:szCs w:val="36"/>
        </w:rPr>
        <w:t>合同书</w:t>
      </w:r>
    </w:p>
    <w:p w14:paraId="73D88D25">
      <w:pPr>
        <w:rPr>
          <w:rFonts w:ascii="楷体_GB2312" w:hAnsi="楷体_GB2312" w:eastAsia="楷体_GB2312"/>
          <w:color w:val="auto"/>
          <w:sz w:val="28"/>
        </w:rPr>
      </w:pPr>
      <w:r>
        <w:rPr>
          <w:rFonts w:hint="eastAsia" w:ascii="楷体_GB2312" w:hAnsi="宋体" w:eastAsia="楷体_GB2312"/>
          <w:color w:val="auto"/>
          <w:sz w:val="28"/>
        </w:rPr>
        <w:t xml:space="preserve">    </w:t>
      </w:r>
      <w:r>
        <w:rPr>
          <w:rFonts w:hint="eastAsia" w:ascii="楷体_GB2312" w:hAnsi="楷体_GB2312" w:eastAsia="楷体_GB2312"/>
          <w:color w:val="auto"/>
          <w:sz w:val="28"/>
        </w:rPr>
        <w:t>乙方于</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rPr>
        <w:t>年</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rPr>
        <w:t>月</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rPr>
        <w:t>日通过公开竞价的方式竞得本合同标的物的食堂经营权。根据《中华人民共和国民法典》等法律、法规的规定，甲、乙双方本着平等自愿、公平合理原则，经充分协商一致，就资产经营事宜签订如下协议：</w:t>
      </w:r>
    </w:p>
    <w:p w14:paraId="3B841BA9">
      <w:pPr>
        <w:spacing w:line="520" w:lineRule="exact"/>
        <w:ind w:firstLine="551" w:firstLineChars="196"/>
        <w:rPr>
          <w:rFonts w:ascii="楷体_GB2312" w:hAnsi="楷体_GB2312" w:eastAsia="楷体_GB2312"/>
          <w:b/>
          <w:color w:val="auto"/>
          <w:sz w:val="28"/>
        </w:rPr>
      </w:pPr>
      <w:r>
        <w:rPr>
          <w:rFonts w:hint="eastAsia" w:ascii="楷体_GB2312" w:hAnsi="楷体_GB2312" w:eastAsia="楷体_GB2312"/>
          <w:b/>
          <w:color w:val="auto"/>
          <w:sz w:val="28"/>
        </w:rPr>
        <w:t>第一条  合同标的物及使用用途</w:t>
      </w:r>
    </w:p>
    <w:p w14:paraId="7546FBA8">
      <w:pPr>
        <w:rPr>
          <w:rFonts w:ascii="楷体_GB2312" w:hAnsi="楷体_GB2312" w:eastAsia="楷体_GB2312"/>
          <w:color w:val="auto"/>
          <w:sz w:val="28"/>
        </w:rPr>
      </w:pPr>
      <w:r>
        <w:rPr>
          <w:rFonts w:hint="eastAsia" w:ascii="楷体_GB2312" w:hAnsi="楷体_GB2312" w:eastAsia="楷体_GB2312"/>
          <w:color w:val="auto"/>
          <w:sz w:val="28"/>
        </w:rPr>
        <w:t xml:space="preserve">    1、合同标的物：甲方将位于</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u w:val="single"/>
          <w:lang w:val="en-US" w:eastAsia="zh-CN"/>
        </w:rPr>
        <w:t xml:space="preserve">安徽省滁州市南谯区乌衣镇永兴路与文华路交叉口西南侧 </w:t>
      </w:r>
      <w:r>
        <w:rPr>
          <w:rFonts w:hint="eastAsia" w:ascii="楷体_GB2312" w:hAnsi="楷体_GB2312" w:eastAsia="楷体_GB2312"/>
          <w:color w:val="auto"/>
          <w:sz w:val="28"/>
          <w:u w:val="none"/>
          <w:lang w:val="en-US" w:eastAsia="zh-CN"/>
        </w:rPr>
        <w:t>滁州</w:t>
      </w:r>
      <w:r>
        <w:rPr>
          <w:rFonts w:hint="eastAsia" w:ascii="楷体_GB2312" w:hAnsi="楷体_GB2312" w:eastAsia="楷体_GB2312"/>
          <w:color w:val="auto"/>
          <w:sz w:val="28"/>
          <w:lang w:eastAsia="zh-CN"/>
        </w:rPr>
        <w:t>工投南谯毗邻区科技产业园</w:t>
      </w:r>
      <w:r>
        <w:rPr>
          <w:rFonts w:hint="eastAsia" w:ascii="楷体_GB2312" w:hAnsi="楷体_GB2312" w:eastAsia="楷体_GB2312"/>
          <w:color w:val="auto"/>
          <w:sz w:val="28"/>
        </w:rPr>
        <w:t>的食堂经营权，招标给乙方使用。</w:t>
      </w:r>
    </w:p>
    <w:p w14:paraId="7813BECB">
      <w:pPr>
        <w:rPr>
          <w:rFonts w:ascii="楷体_GB2312" w:hAnsi="楷体_GB2312" w:eastAsia="楷体_GB2312"/>
          <w:color w:val="auto"/>
          <w:sz w:val="28"/>
        </w:rPr>
      </w:pPr>
      <w:r>
        <w:rPr>
          <w:rFonts w:hint="eastAsia" w:ascii="楷体_GB2312" w:hAnsi="楷体_GB2312" w:eastAsia="楷体_GB2312"/>
          <w:color w:val="auto"/>
          <w:sz w:val="28"/>
        </w:rPr>
        <w:t xml:space="preserve">    2、甲方拥有</w:t>
      </w:r>
      <w:r>
        <w:rPr>
          <w:rFonts w:hint="eastAsia" w:ascii="楷体_GB2312" w:hAnsi="楷体_GB2312" w:eastAsia="楷体_GB2312"/>
          <w:color w:val="auto"/>
          <w:sz w:val="28"/>
          <w:lang w:eastAsia="zh-CN"/>
        </w:rPr>
        <w:t>工投南谯毗邻区科技产业园</w:t>
      </w:r>
      <w:r>
        <w:rPr>
          <w:rFonts w:hint="eastAsia" w:ascii="楷体_GB2312" w:hAnsi="楷体_GB2312" w:eastAsia="楷体_GB2312"/>
          <w:color w:val="auto"/>
          <w:sz w:val="28"/>
        </w:rPr>
        <w:t>食堂为新建，新购置食堂设施及物品为新购置，上述设施及物品等经清点移交乙方后，此类修缮、更换一律由乙方自行负责（含有关费用）；合同期满，乙方需完整无偿归还甲方。</w:t>
      </w:r>
    </w:p>
    <w:p w14:paraId="0A7A4419">
      <w:pPr>
        <w:rPr>
          <w:rFonts w:ascii="楷体_GB2312" w:hAnsi="楷体_GB2312" w:eastAsia="楷体_GB2312"/>
          <w:color w:val="auto"/>
          <w:sz w:val="28"/>
        </w:rPr>
      </w:pPr>
      <w:r>
        <w:rPr>
          <w:rFonts w:hint="eastAsia" w:ascii="楷体_GB2312" w:hAnsi="楷体_GB2312" w:eastAsia="楷体_GB2312"/>
          <w:color w:val="auto"/>
          <w:sz w:val="28"/>
        </w:rPr>
        <w:t xml:space="preserve">    3、签订本合同之前，甲方已告知乙方有关该资产</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rPr>
        <w:t>（已/未）设定抵押等情况。</w:t>
      </w:r>
    </w:p>
    <w:p w14:paraId="417E48F1">
      <w:pPr>
        <w:rPr>
          <w:rFonts w:ascii="楷体_GB2312" w:hAnsi="楷体_GB2312" w:eastAsia="楷体_GB2312"/>
          <w:color w:val="auto"/>
          <w:sz w:val="28"/>
        </w:rPr>
      </w:pPr>
      <w:r>
        <w:rPr>
          <w:rFonts w:hint="eastAsia" w:ascii="楷体_GB2312" w:hAnsi="楷体_GB2312" w:eastAsia="楷体_GB2312"/>
          <w:color w:val="auto"/>
          <w:sz w:val="28"/>
        </w:rPr>
        <w:t xml:space="preserve">    4、合同标的物的质量和装修状况以标的物交付乙方时的现状为准。乙方对合同标的物已进行了实地了解，同意依照本合同规定的条款使用该资产。</w:t>
      </w:r>
    </w:p>
    <w:p w14:paraId="6132B82A">
      <w:pPr>
        <w:rPr>
          <w:rFonts w:ascii="楷体_GB2312" w:hAnsi="楷体_GB2312" w:eastAsia="楷体_GB2312"/>
          <w:color w:val="auto"/>
          <w:sz w:val="28"/>
        </w:rPr>
      </w:pPr>
      <w:r>
        <w:rPr>
          <w:rFonts w:hint="eastAsia" w:ascii="楷体_GB2312" w:hAnsi="楷体_GB2312" w:eastAsia="楷体_GB2312"/>
          <w:color w:val="auto"/>
          <w:sz w:val="28"/>
        </w:rPr>
        <w:t xml:space="preserve">    5、使用用途：乙方使用合同标的物的用途为</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rPr>
        <w:t>。乙方不能擅自改变标的约定用途。如乙方未经甲方同意擅自改变合同约定用途的，甲方有权单方面解除合同并将合同标的物收回。</w:t>
      </w:r>
    </w:p>
    <w:p w14:paraId="7871355C">
      <w:pPr>
        <w:spacing w:line="520" w:lineRule="exact"/>
        <w:ind w:firstLine="632" w:firstLineChars="225"/>
        <w:rPr>
          <w:rFonts w:hint="default" w:ascii="楷体_GB2312" w:hAnsi="楷体_GB2312" w:eastAsia="楷体_GB2312"/>
          <w:b/>
          <w:color w:val="auto"/>
          <w:sz w:val="28"/>
          <w:lang w:val="en-US" w:eastAsia="zh-CN"/>
        </w:rPr>
      </w:pPr>
      <w:r>
        <w:rPr>
          <w:rFonts w:hint="eastAsia" w:ascii="楷体_GB2312" w:hAnsi="楷体_GB2312" w:eastAsia="楷体_GB2312"/>
          <w:b/>
          <w:color w:val="auto"/>
          <w:sz w:val="28"/>
        </w:rPr>
        <w:t>第二条  经营期限</w:t>
      </w:r>
      <w:r>
        <w:rPr>
          <w:rFonts w:hint="eastAsia" w:ascii="楷体_GB2312" w:hAnsi="楷体_GB2312" w:eastAsia="楷体_GB2312"/>
          <w:b/>
          <w:color w:val="auto"/>
          <w:sz w:val="28"/>
          <w:lang w:val="en-US" w:eastAsia="zh-CN"/>
        </w:rPr>
        <w:t>及费用</w:t>
      </w:r>
    </w:p>
    <w:p w14:paraId="47ED858B">
      <w:pPr>
        <w:spacing w:line="520" w:lineRule="exact"/>
        <w:ind w:firstLine="645"/>
        <w:rPr>
          <w:rFonts w:hint="eastAsia" w:ascii="楷体_GB2312" w:hAnsi="楷体_GB2312" w:eastAsia="楷体_GB2312"/>
          <w:color w:val="auto"/>
          <w:sz w:val="28"/>
        </w:rPr>
      </w:pPr>
      <w:r>
        <w:rPr>
          <w:rFonts w:hint="eastAsia" w:ascii="楷体_GB2312" w:hAnsi="楷体_GB2312" w:eastAsia="楷体_GB2312"/>
          <w:color w:val="auto"/>
          <w:sz w:val="28"/>
        </w:rPr>
        <w:t>本合同的有效期限为</w:t>
      </w:r>
      <w:r>
        <w:rPr>
          <w:rFonts w:hint="eastAsia" w:ascii="楷体_GB2312" w:hAnsi="楷体_GB2312" w:eastAsia="楷体_GB2312"/>
          <w:color w:val="auto"/>
          <w:sz w:val="28"/>
          <w:u w:val="single"/>
        </w:rPr>
        <w:t xml:space="preserve"> 3 </w:t>
      </w:r>
      <w:r>
        <w:rPr>
          <w:rFonts w:hint="eastAsia" w:ascii="楷体_GB2312" w:hAnsi="楷体_GB2312" w:eastAsia="楷体_GB2312"/>
          <w:color w:val="auto"/>
          <w:sz w:val="28"/>
        </w:rPr>
        <w:t>年（不含一个月免费试运营期，试运营期不收取租金和物业费），即从</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rPr>
        <w:t>年</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rPr>
        <w:t xml:space="preserve"> 月</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rPr>
        <w:t xml:space="preserve"> 日起至</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rPr>
        <w:t>年</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rPr>
        <w:t>月</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rPr>
        <w:t>日止。</w:t>
      </w:r>
    </w:p>
    <w:p w14:paraId="7A3507C2">
      <w:pPr>
        <w:pStyle w:val="2"/>
        <w:ind w:firstLine="561"/>
        <w:rPr>
          <w:rFonts w:hint="eastAsia" w:eastAsia="楷体_GB2312"/>
          <w:color w:val="auto"/>
          <w:lang w:val="en-US" w:eastAsia="zh-CN"/>
        </w:rPr>
      </w:pPr>
      <w:r>
        <w:rPr>
          <w:rFonts w:hint="eastAsia" w:ascii="楷体_GB2312" w:hAnsi="楷体_GB2312" w:eastAsia="楷体_GB2312"/>
          <w:b w:val="0"/>
          <w:bCs w:val="0"/>
          <w:color w:val="auto"/>
          <w:sz w:val="28"/>
          <w:lang w:val="en-US" w:eastAsia="zh-CN"/>
        </w:rPr>
        <w:t>承包费用：</w:t>
      </w:r>
      <w:r>
        <w:rPr>
          <w:rFonts w:hint="eastAsia" w:ascii="楷体_GB2312" w:hAnsi="楷体_GB2312" w:eastAsia="楷体_GB2312"/>
          <w:b w:val="0"/>
          <w:bCs w:val="0"/>
          <w:color w:val="auto"/>
          <w:sz w:val="28"/>
          <w:u w:val="single"/>
          <w:lang w:val="en-US" w:eastAsia="zh-CN"/>
        </w:rPr>
        <w:t xml:space="preserve">             元/年，费用每半年缴纳一次，先付后租，第一次缴纳租金在合同签订之前，以后每半年缴纳一次，在半年期到达前一个月内缴纳完毕。</w:t>
      </w:r>
    </w:p>
    <w:p w14:paraId="09905E45">
      <w:pPr>
        <w:pStyle w:val="2"/>
        <w:ind w:firstLine="561"/>
        <w:rPr>
          <w:rFonts w:ascii="楷体_GB2312" w:hAnsi="楷体_GB2312" w:eastAsia="楷体_GB2312"/>
          <w:b/>
          <w:color w:val="auto"/>
          <w:sz w:val="28"/>
        </w:rPr>
      </w:pPr>
      <w:r>
        <w:rPr>
          <w:rFonts w:hint="eastAsia" w:ascii="楷体_GB2312" w:hAnsi="楷体_GB2312" w:eastAsia="楷体_GB2312"/>
          <w:b/>
          <w:color w:val="auto"/>
          <w:sz w:val="28"/>
        </w:rPr>
        <w:t>第三条  有关保证金缴交的规定</w:t>
      </w:r>
    </w:p>
    <w:p w14:paraId="1AE01DC8">
      <w:pPr>
        <w:spacing w:line="520" w:lineRule="exact"/>
        <w:ind w:firstLine="645"/>
        <w:jc w:val="left"/>
        <w:rPr>
          <w:rFonts w:ascii="楷体_GB2312" w:hAnsi="楷体_GB2312" w:eastAsia="楷体_GB2312"/>
          <w:color w:val="auto"/>
          <w:sz w:val="28"/>
        </w:rPr>
      </w:pPr>
      <w:r>
        <w:rPr>
          <w:rFonts w:hint="eastAsia" w:ascii="楷体_GB2312" w:hAnsi="楷体_GB2312" w:eastAsia="楷体_GB2312"/>
          <w:color w:val="auto"/>
          <w:sz w:val="28"/>
        </w:rPr>
        <w:t>1、履约保证金：在签订本合同时，乙方必须先向甲方交纳履约保证金，合计：（大写）</w:t>
      </w:r>
      <w:r>
        <w:rPr>
          <w:rFonts w:hint="eastAsia" w:ascii="楷体_GB2312" w:hAnsi="楷体_GB2312" w:eastAsia="楷体_GB2312"/>
          <w:color w:val="auto"/>
          <w:sz w:val="28"/>
          <w:u w:val="single"/>
          <w:lang w:val="en-US" w:eastAsia="zh-CN"/>
        </w:rPr>
        <w:t>壹拾</w:t>
      </w:r>
      <w:r>
        <w:rPr>
          <w:rFonts w:hint="eastAsia" w:ascii="楷体_GB2312" w:hAnsi="楷体_GB2312" w:eastAsia="楷体_GB2312"/>
          <w:color w:val="auto"/>
          <w:sz w:val="28"/>
          <w:u w:val="single"/>
        </w:rPr>
        <w:t>万</w:t>
      </w:r>
      <w:r>
        <w:rPr>
          <w:rFonts w:hint="eastAsia" w:ascii="楷体_GB2312" w:hAnsi="楷体_GB2312" w:eastAsia="楷体_GB2312"/>
          <w:color w:val="auto"/>
          <w:sz w:val="28"/>
        </w:rPr>
        <w:t>元。</w:t>
      </w:r>
    </w:p>
    <w:p w14:paraId="634919EC">
      <w:pPr>
        <w:ind w:firstLine="560" w:firstLineChars="200"/>
        <w:rPr>
          <w:rFonts w:ascii="楷体_GB2312" w:hAnsi="楷体_GB2312" w:eastAsia="楷体_GB2312"/>
          <w:color w:val="auto"/>
          <w:sz w:val="28"/>
        </w:rPr>
      </w:pPr>
      <w:r>
        <w:rPr>
          <w:rFonts w:hint="eastAsia" w:ascii="楷体_GB2312" w:hAnsi="楷体_GB2312" w:eastAsia="楷体_GB2312"/>
          <w:color w:val="auto"/>
          <w:sz w:val="28"/>
        </w:rPr>
        <w:t>2、甲方负责收取保证金。乙方应按合同约定及时交纳保证金，每迟交一天，甲方按欠交保证金1%向乙方收取滞纳金，迟交15 天甲方有权解除合同。并从第16天开始，甲方每天向乙方收取经营合同约定保证金200%的房屋</w:t>
      </w:r>
      <w:r>
        <w:rPr>
          <w:rFonts w:hint="eastAsia" w:ascii="楷体_GB2312" w:hAnsi="楷体_GB2312" w:eastAsia="楷体_GB2312"/>
          <w:color w:val="auto"/>
          <w:sz w:val="28"/>
          <w:lang w:eastAsia="zh-CN"/>
        </w:rPr>
        <w:t>（</w:t>
      </w:r>
      <w:r>
        <w:rPr>
          <w:rFonts w:hint="eastAsia" w:ascii="楷体_GB2312" w:hAnsi="楷体_GB2312" w:eastAsia="楷体_GB2312"/>
          <w:color w:val="auto"/>
          <w:sz w:val="28"/>
          <w:lang w:val="en-US" w:eastAsia="zh-CN"/>
        </w:rPr>
        <w:t>食堂</w:t>
      </w:r>
      <w:r>
        <w:rPr>
          <w:rFonts w:hint="eastAsia" w:ascii="楷体_GB2312" w:hAnsi="楷体_GB2312" w:eastAsia="楷体_GB2312"/>
          <w:color w:val="auto"/>
          <w:sz w:val="28"/>
          <w:lang w:eastAsia="zh-CN"/>
        </w:rPr>
        <w:t>）</w:t>
      </w:r>
      <w:r>
        <w:rPr>
          <w:rFonts w:hint="eastAsia" w:ascii="楷体_GB2312" w:hAnsi="楷体_GB2312" w:eastAsia="楷体_GB2312"/>
          <w:color w:val="auto"/>
          <w:sz w:val="28"/>
        </w:rPr>
        <w:t>占用费，直到乙方全部搬迁并将房屋交付甲方时结束。</w:t>
      </w:r>
    </w:p>
    <w:p w14:paraId="34EFC585">
      <w:pPr>
        <w:spacing w:line="520" w:lineRule="exact"/>
        <w:ind w:firstLine="551" w:firstLineChars="196"/>
        <w:rPr>
          <w:rFonts w:ascii="楷体_GB2312" w:hAnsi="楷体_GB2312" w:eastAsia="楷体_GB2312"/>
          <w:b/>
          <w:color w:val="auto"/>
          <w:sz w:val="28"/>
        </w:rPr>
      </w:pPr>
      <w:r>
        <w:rPr>
          <w:rFonts w:hint="eastAsia" w:ascii="楷体_GB2312" w:hAnsi="楷体_GB2312" w:eastAsia="楷体_GB2312"/>
          <w:b/>
          <w:color w:val="auto"/>
          <w:sz w:val="28"/>
        </w:rPr>
        <w:t>第四条  有关履约保证金、水、电、气、有线电视等费用的规定</w:t>
      </w:r>
    </w:p>
    <w:p w14:paraId="56C63CF7">
      <w:pPr>
        <w:widowControl/>
        <w:spacing w:line="520" w:lineRule="exact"/>
        <w:ind w:left="1" w:firstLine="548" w:firstLineChars="196"/>
        <w:jc w:val="left"/>
        <w:rPr>
          <w:rFonts w:ascii="楷体_GB2312" w:hAnsi="楷体_GB2312" w:eastAsia="楷体_GB2312"/>
          <w:b/>
          <w:color w:val="auto"/>
          <w:sz w:val="28"/>
        </w:rPr>
      </w:pPr>
      <w:r>
        <w:rPr>
          <w:rFonts w:hint="eastAsia" w:ascii="楷体_GB2312" w:hAnsi="楷体_GB2312" w:eastAsia="楷体_GB2312"/>
          <w:color w:val="auto"/>
          <w:sz w:val="28"/>
        </w:rPr>
        <w:t>1、履约保证金：在签订本合同时，乙方必须先向甲方交纳履约保证金，合计：（大写）</w:t>
      </w:r>
      <w:r>
        <w:rPr>
          <w:rFonts w:hint="eastAsia" w:ascii="楷体_GB2312" w:hAnsi="楷体_GB2312" w:eastAsia="楷体_GB2312"/>
          <w:color w:val="auto"/>
          <w:sz w:val="28"/>
          <w:u w:val="single"/>
          <w:lang w:val="en-US" w:eastAsia="zh-CN"/>
        </w:rPr>
        <w:t>壹拾</w:t>
      </w:r>
      <w:r>
        <w:rPr>
          <w:rFonts w:hint="eastAsia" w:ascii="楷体_GB2312" w:hAnsi="楷体_GB2312" w:eastAsia="楷体_GB2312"/>
          <w:color w:val="auto"/>
          <w:sz w:val="28"/>
          <w:u w:val="single"/>
        </w:rPr>
        <w:t>万</w:t>
      </w:r>
      <w:r>
        <w:rPr>
          <w:rFonts w:hint="eastAsia" w:ascii="楷体_GB2312" w:hAnsi="楷体_GB2312" w:eastAsia="楷体_GB2312"/>
          <w:color w:val="auto"/>
          <w:sz w:val="28"/>
        </w:rPr>
        <w:t xml:space="preserve"> 元。经营期满或合同解除，如不存在需扣除履约保证金的情形时甲方不计息退还。</w:t>
      </w:r>
    </w:p>
    <w:p w14:paraId="3CB84D59">
      <w:pPr>
        <w:spacing w:line="520" w:lineRule="exact"/>
        <w:ind w:firstLine="645"/>
        <w:rPr>
          <w:rFonts w:ascii="楷体_GB2312" w:hAnsi="楷体_GB2312" w:eastAsia="楷体_GB2312"/>
          <w:color w:val="auto"/>
          <w:sz w:val="28"/>
        </w:rPr>
      </w:pPr>
      <w:r>
        <w:rPr>
          <w:rFonts w:hint="eastAsia" w:ascii="楷体_GB2312" w:hAnsi="楷体_GB2312" w:eastAsia="楷体_GB2312"/>
          <w:color w:val="auto"/>
          <w:sz w:val="28"/>
        </w:rPr>
        <w:t>2、经营期满或合同解除后，在乙方无违约情形下，甲方按乙方提供的原甲方开出的履约保证金凭证原件在</w:t>
      </w:r>
      <w:r>
        <w:rPr>
          <w:rFonts w:hint="eastAsia" w:ascii="楷体_GB2312" w:hAnsi="楷体_GB2312" w:eastAsia="楷体_GB2312"/>
          <w:b/>
          <w:color w:val="auto"/>
          <w:sz w:val="28"/>
        </w:rPr>
        <w:t>10</w:t>
      </w:r>
      <w:r>
        <w:rPr>
          <w:rFonts w:hint="eastAsia" w:ascii="楷体_GB2312" w:hAnsi="楷体_GB2312" w:eastAsia="楷体_GB2312"/>
          <w:color w:val="auto"/>
          <w:sz w:val="28"/>
        </w:rPr>
        <w:t>个工作日内退还。在经营期满或合同解除前，乙方不得利用该保证金冲抵任何应由乙方承担的费用。</w:t>
      </w:r>
    </w:p>
    <w:p w14:paraId="2F4F9EB8">
      <w:pPr>
        <w:spacing w:line="520" w:lineRule="exact"/>
        <w:ind w:firstLine="645"/>
        <w:rPr>
          <w:rFonts w:ascii="楷体_GB2312" w:hAnsi="楷体_GB2312" w:eastAsia="楷体_GB2312"/>
          <w:b/>
          <w:color w:val="auto"/>
          <w:sz w:val="28"/>
        </w:rPr>
      </w:pPr>
      <w:r>
        <w:rPr>
          <w:rFonts w:hint="eastAsia" w:ascii="楷体_GB2312" w:hAnsi="楷体_GB2312" w:eastAsia="楷体_GB2312"/>
          <w:color w:val="auto"/>
          <w:sz w:val="28"/>
        </w:rPr>
        <w:t>乙方如因自己行为不能提供甲方原开出的履约保证金凭证原件或有违约情形的，甲方将不负责退还该履约保证金。</w:t>
      </w:r>
    </w:p>
    <w:p w14:paraId="6521A6B1">
      <w:pPr>
        <w:spacing w:line="520" w:lineRule="exact"/>
        <w:ind w:firstLine="645"/>
        <w:rPr>
          <w:rFonts w:ascii="楷体_GB2312" w:hAnsi="楷体_GB2312" w:eastAsia="楷体_GB2312"/>
          <w:color w:val="auto"/>
          <w:sz w:val="28"/>
        </w:rPr>
      </w:pPr>
      <w:r>
        <w:rPr>
          <w:rFonts w:hint="eastAsia" w:ascii="楷体_GB2312" w:hAnsi="楷体_GB2312" w:eastAsia="楷体_GB2312"/>
          <w:color w:val="auto"/>
          <w:sz w:val="28"/>
        </w:rPr>
        <w:t>3、税费、水、电、气、有线电视等费用计收办法：经营期内的税费、水、电、气、有线电视、物业管理及本合同中未列明的其他费用等，由乙方支付。</w:t>
      </w:r>
    </w:p>
    <w:p w14:paraId="393B78F7">
      <w:pPr>
        <w:spacing w:line="520" w:lineRule="exact"/>
        <w:ind w:firstLine="551" w:firstLineChars="196"/>
        <w:rPr>
          <w:rFonts w:ascii="楷体_GB2312" w:hAnsi="楷体_GB2312" w:eastAsia="楷体_GB2312"/>
          <w:b/>
          <w:color w:val="auto"/>
          <w:sz w:val="28"/>
        </w:rPr>
      </w:pPr>
      <w:r>
        <w:rPr>
          <w:rFonts w:hint="eastAsia" w:ascii="楷体_GB2312" w:hAnsi="楷体_GB2312" w:eastAsia="楷体_GB2312"/>
          <w:b/>
          <w:color w:val="auto"/>
          <w:sz w:val="28"/>
        </w:rPr>
        <w:t>第五条  物业管理</w:t>
      </w:r>
    </w:p>
    <w:p w14:paraId="21175128">
      <w:pPr>
        <w:pStyle w:val="6"/>
        <w:rPr>
          <w:rFonts w:eastAsia="楷体_GB2312"/>
          <w:color w:val="auto"/>
        </w:rPr>
      </w:pPr>
      <w:r>
        <w:rPr>
          <w:rFonts w:hint="eastAsia" w:ascii="楷体_GB2312" w:hAnsi="楷体_GB2312" w:eastAsia="楷体_GB2312"/>
          <w:color w:val="auto"/>
          <w:sz w:val="28"/>
        </w:rPr>
        <w:t xml:space="preserve">    物业管理费为1元/平方/月，每半年缴纳一次</w:t>
      </w:r>
      <w:r>
        <w:rPr>
          <w:rFonts w:hint="eastAsia" w:ascii="楷体_GB2312" w:hAnsi="楷体_GB2312" w:eastAsia="楷体_GB2312"/>
          <w:color w:val="auto"/>
          <w:sz w:val="28"/>
          <w:lang w:eastAsia="zh-CN"/>
        </w:rPr>
        <w:t>，</w:t>
      </w:r>
      <w:r>
        <w:rPr>
          <w:rFonts w:hint="eastAsia" w:ascii="楷体_GB2312" w:hAnsi="楷体_GB2312" w:eastAsia="楷体_GB2312"/>
          <w:color w:val="auto"/>
          <w:sz w:val="28"/>
          <w:lang w:val="en-US" w:eastAsia="zh-CN"/>
        </w:rPr>
        <w:t>与租金一同缴纳</w:t>
      </w:r>
      <w:r>
        <w:rPr>
          <w:rFonts w:hint="eastAsia" w:ascii="楷体_GB2312" w:hAnsi="楷体_GB2312" w:eastAsia="楷体_GB2312"/>
          <w:color w:val="auto"/>
          <w:sz w:val="28"/>
        </w:rPr>
        <w:t>。</w:t>
      </w:r>
    </w:p>
    <w:p w14:paraId="0F078958">
      <w:pPr>
        <w:spacing w:line="520" w:lineRule="exact"/>
        <w:ind w:firstLine="551" w:firstLineChars="196"/>
        <w:rPr>
          <w:rFonts w:ascii="楷体_GB2312" w:hAnsi="楷体_GB2312" w:eastAsia="楷体_GB2312"/>
          <w:b/>
          <w:color w:val="auto"/>
          <w:sz w:val="28"/>
        </w:rPr>
      </w:pPr>
      <w:r>
        <w:rPr>
          <w:rFonts w:hint="eastAsia" w:ascii="楷体_GB2312" w:hAnsi="楷体_GB2312" w:eastAsia="楷体_GB2312"/>
          <w:b/>
          <w:color w:val="auto"/>
          <w:sz w:val="28"/>
        </w:rPr>
        <w:t>第六条  甲方的权利和义务</w:t>
      </w:r>
    </w:p>
    <w:p w14:paraId="16D4F5A4">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1、依据本合同的规定，按时收取履约保证金，当乙方出现拖欠缴交履约保证金现象时，有权向乙方追缴拖欠履约保证金及逾期违约金。</w:t>
      </w:r>
    </w:p>
    <w:p w14:paraId="6B84E42E">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2、根据合同约定按期将合同标的物交付给乙方。</w:t>
      </w:r>
    </w:p>
    <w:p w14:paraId="13BE9F0E">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3、负责对合同标的物进行定期检查。经营有效期内由不归责于乙方的原因导致屋面漏水、房屋裂缝由甲方负责维修并承担相关费用，以保障乙方安全和正常使用；由此对乙方造成的损坏和损失，甲方不负有修缮和赔偿的义务。</w:t>
      </w:r>
    </w:p>
    <w:p w14:paraId="71A1883A">
      <w:pPr>
        <w:rPr>
          <w:rFonts w:ascii="楷体_GB2312" w:hAnsi="楷体_GB2312" w:eastAsia="楷体_GB2312"/>
          <w:color w:val="auto"/>
          <w:sz w:val="28"/>
        </w:rPr>
      </w:pPr>
      <w:r>
        <w:rPr>
          <w:rFonts w:hint="eastAsia" w:ascii="楷体_GB2312" w:hAnsi="楷体_GB2312" w:eastAsia="楷体_GB2312"/>
          <w:color w:val="auto"/>
          <w:sz w:val="28"/>
        </w:rPr>
        <w:t xml:space="preserve">     4、合同标的物经营期内，如遇不可抗力因素及城市规划、城市公益事业建设、房屋征收等原因致使合同无法继续履行的，甲方有权无偿收回标的物，乙方应无条件服从，本合同自行终止。</w:t>
      </w:r>
    </w:p>
    <w:p w14:paraId="6C3CD276">
      <w:pPr>
        <w:rPr>
          <w:rFonts w:ascii="楷体_GB2312" w:hAnsi="楷体_GB2312" w:eastAsia="楷体_GB2312"/>
          <w:color w:val="auto"/>
          <w:sz w:val="28"/>
        </w:rPr>
      </w:pPr>
      <w:r>
        <w:rPr>
          <w:rFonts w:hint="eastAsia" w:ascii="楷体_GB2312" w:hAnsi="楷体_GB2312" w:eastAsia="楷体_GB2312"/>
          <w:color w:val="auto"/>
          <w:sz w:val="28"/>
        </w:rPr>
        <w:t xml:space="preserve">     5、经营期满，如甲方房屋不再招标，甲方在经营期满之日的30日前通知乙方，乙方应在经营期满之日起</w:t>
      </w:r>
      <w:r>
        <w:rPr>
          <w:rFonts w:hint="eastAsia" w:ascii="楷体_GB2312" w:hAnsi="楷体_GB2312" w:eastAsia="楷体_GB2312"/>
          <w:b/>
          <w:color w:val="auto"/>
          <w:sz w:val="28"/>
        </w:rPr>
        <w:t>2日</w:t>
      </w:r>
      <w:r>
        <w:rPr>
          <w:rFonts w:hint="eastAsia" w:ascii="楷体_GB2312" w:hAnsi="楷体_GB2312" w:eastAsia="楷体_GB2312"/>
          <w:color w:val="auto"/>
          <w:sz w:val="28"/>
        </w:rPr>
        <w:t>内将经营房屋交还给甲方，且不得提出任何补偿要求。否则，甲方按照经营合同约定的保证金200%向乙方收取房屋占用费，直到乙方全部搬迁并将房屋交付甲方时结束。</w:t>
      </w:r>
    </w:p>
    <w:p w14:paraId="06DBFF7C">
      <w:pPr>
        <w:spacing w:line="520" w:lineRule="exact"/>
        <w:ind w:firstLine="551" w:firstLineChars="196"/>
        <w:rPr>
          <w:rFonts w:ascii="楷体_GB2312" w:hAnsi="楷体_GB2312" w:eastAsia="楷体_GB2312"/>
          <w:b/>
          <w:color w:val="auto"/>
          <w:sz w:val="28"/>
        </w:rPr>
      </w:pPr>
      <w:r>
        <w:rPr>
          <w:rFonts w:hint="eastAsia" w:ascii="楷体_GB2312" w:hAnsi="楷体_GB2312" w:eastAsia="楷体_GB2312"/>
          <w:b/>
          <w:color w:val="auto"/>
          <w:sz w:val="28"/>
        </w:rPr>
        <w:t>第七条  乙方的权利和义务</w:t>
      </w:r>
    </w:p>
    <w:p w14:paraId="7D456539">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1、依据本合同的有关规定取得合同标的物的经营权。</w:t>
      </w:r>
    </w:p>
    <w:p w14:paraId="12AF4740">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2、按规定按时交付保证金和一切与经营有关的费用，如水电气费、物业管理费、税费等。</w:t>
      </w:r>
    </w:p>
    <w:p w14:paraId="3EEDDB8F">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3、合同有效期间，凡除公共部分的维修之外其他一切维修及费用均由乙方负责，即在合同标的物使用期间，室内设施（含水龙头、灯管、卷闸门等）的维修及费用由乙方负责；同时有关的治安费、卫生费、物业管理费等也由乙方自行负责。</w:t>
      </w:r>
    </w:p>
    <w:p w14:paraId="441BA19F">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4、合同有效期间，乙方不得擅自改变合同标的物的结构及用途，乙方如因故意或过失造成合同标的物毁损的，应负责恢复原状或赔偿甲方的损失；乙方如需对合同标的物进行装修、装饰或添置新物，须事先经甲方书面同意并报有关部门取得许可，方可实施；如装修需改造、改变房屋结构，需提交申请报告及改造方案，在征得甲方书面同意后，方可施工；有关房屋装修和所需的报批、报审、报建、报装水电等工作及相关费用，均由乙方负责，甲方不承担乙方改造、装修部分的任何费用；合同期满，乙方应保持合同标的物完好，合同标的物内不可移动的固定装修、设施等不得拆除，应无偿移交给甲方。</w:t>
      </w:r>
    </w:p>
    <w:p w14:paraId="4838B26F">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5、乙方在装修施工过程中，必须严格执行国家有关规定，采取严格安全防护措施进行装修施工，并对由此造成的一切后果负责。</w:t>
      </w:r>
    </w:p>
    <w:p w14:paraId="0860F045">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6、合同有效期间，乙方必须依照国家有关法律、法规及政策规定做好治安、消防防范工作；禁止私自乱拉电线，存放任何易燃、易爆违禁品等，否则由此造成的一切后果由乙方负责。</w:t>
      </w:r>
    </w:p>
    <w:p w14:paraId="7DA0BF42">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7、合同有效期间，乙方必须守法经营，不得利用合同标的物进行违法活动、损害公共利益；认真做好消防、安全、计划生育等工作，并自行负责有关该资产治安、消防等的办证事宜和有关费用。</w:t>
      </w:r>
    </w:p>
    <w:p w14:paraId="0EAD0079">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8、禁止乙方私自占用或妨碍他人使用公共设施及公共场地，禁止在公共场地搭建任何建筑物。</w:t>
      </w:r>
    </w:p>
    <w:p w14:paraId="3164FB30">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9、合同有效期间，乙方必须妥善保管、维护好甲方的资产，因乙方的责任给甲方造成损失的，应承担赔偿责任。</w:t>
      </w:r>
    </w:p>
    <w:p w14:paraId="55DC2735">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10、乙方对合同标的物周围卫生环境有管理的义务，做好门前“三包”的工作。</w:t>
      </w:r>
    </w:p>
    <w:p w14:paraId="02C7F12F">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11、合同标的物外立面等共用部分，非经甲方书面同意，乙方不得擅自使用。</w:t>
      </w:r>
    </w:p>
    <w:p w14:paraId="636D9293">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12、经营期内原则上不得转包（让），特殊情况下确需转包（让）的，须经甲方书面同意并由甲方和乙方共同商定转包（让）相关事宜。否则，乙方不得以任何形式或理由将合同标的物全部或部分转包、转借他人或擅自调换使用。</w:t>
      </w:r>
    </w:p>
    <w:p w14:paraId="3814EC00">
      <w:pPr>
        <w:spacing w:line="520" w:lineRule="exact"/>
        <w:ind w:firstLine="570"/>
        <w:rPr>
          <w:color w:val="auto"/>
        </w:rPr>
      </w:pPr>
      <w:r>
        <w:rPr>
          <w:rFonts w:hint="eastAsia" w:ascii="楷体_GB2312" w:hAnsi="楷体_GB2312" w:eastAsia="楷体_GB2312"/>
          <w:color w:val="auto"/>
          <w:sz w:val="28"/>
        </w:rPr>
        <w:t>13、乙方如需设置任何广告、招牌等，事先须经甲方书面同意，同时自行负责向政府主管部门申请、自行办理有关手续，并遵守国家、地方有关法规政策等规定。</w:t>
      </w:r>
    </w:p>
    <w:p w14:paraId="6BE6488A">
      <w:pPr>
        <w:spacing w:line="520" w:lineRule="exact"/>
        <w:ind w:firstLine="570"/>
        <w:rPr>
          <w:rFonts w:ascii="楷体_GB2312" w:hAnsi="楷体_GB2312" w:eastAsia="楷体_GB2312"/>
          <w:color w:val="auto"/>
          <w:sz w:val="28"/>
        </w:rPr>
      </w:pPr>
      <w:r>
        <w:rPr>
          <w:rFonts w:hint="eastAsia" w:ascii="楷体_GB2312" w:hAnsi="楷体_GB2312" w:eastAsia="楷体_GB2312"/>
          <w:b/>
          <w:color w:val="auto"/>
          <w:sz w:val="28"/>
        </w:rPr>
        <w:t>第八条  合同的变更、解除与终止</w:t>
      </w:r>
    </w:p>
    <w:p w14:paraId="5B7DFD4F">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1、双方协商一致可以变更或终止合同。</w:t>
      </w:r>
    </w:p>
    <w:p w14:paraId="042F878D">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2、甲方未尽合同标的物的修缮义务，严重影响乙方使用的，造成乙方重大损失的，乙方有权解除合同。</w:t>
      </w:r>
    </w:p>
    <w:p w14:paraId="74ECD5D7">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3、乙方违反本合同第七条规定的应尽义务，经甲方催告的合理期限内仍未全面履行的，甲方有权解除本合同，同时，乙方应按本合同约定承担违约责任和由此给甲方造成的损失。</w:t>
      </w:r>
    </w:p>
    <w:p w14:paraId="1E558439">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4、合同有效期间，乙方有下列行为之一的，甲方有权随时单方解除合同并没收履约保证金：</w:t>
      </w:r>
    </w:p>
    <w:p w14:paraId="5FD94DAB">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(1)未经甲方书面同意转包、转借合同标的物或未经甲方书面同意擅自拆改变动房屋结构以及改变经营用途的；</w:t>
      </w:r>
    </w:p>
    <w:p w14:paraId="550979A2">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(2)损坏合同标的物，在甲方提出的合理期限内仍未修复的；</w:t>
      </w:r>
    </w:p>
    <w:p w14:paraId="38215F50">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(3)利用合同标的物存放危险品、进行违法活动、损害公共利益、他人利益或者妨碍他人正常工作、生活的；</w:t>
      </w:r>
    </w:p>
    <w:p w14:paraId="76F94FE1">
      <w:pPr>
        <w:ind w:firstLine="560" w:firstLineChars="200"/>
        <w:rPr>
          <w:rFonts w:ascii="楷体_GB2312" w:hAnsi="楷体_GB2312" w:eastAsia="楷体_GB2312"/>
          <w:color w:val="auto"/>
          <w:sz w:val="28"/>
        </w:rPr>
      </w:pPr>
      <w:r>
        <w:rPr>
          <w:rFonts w:hint="eastAsia" w:ascii="楷体_GB2312" w:hAnsi="楷体_GB2312" w:eastAsia="楷体_GB2312"/>
          <w:color w:val="auto"/>
          <w:sz w:val="28"/>
        </w:rPr>
        <w:t>(4)逾期 30 日未交纳按约定应当由乙方交纳的水电气费、管理费等各项经营费用或累计拖欠管理费、水电气费等各项经营费用达（大写）</w:t>
      </w:r>
      <w:r>
        <w:rPr>
          <w:rFonts w:hint="eastAsia" w:ascii="楷体_GB2312" w:hAnsi="楷体_GB2312" w:eastAsia="楷体_GB2312"/>
          <w:color w:val="auto"/>
          <w:sz w:val="28"/>
          <w:u w:val="single"/>
        </w:rPr>
        <w:t xml:space="preserve">   </w:t>
      </w:r>
      <w:r>
        <w:rPr>
          <w:rFonts w:hint="eastAsia" w:ascii="楷体_GB2312" w:hAnsi="楷体_GB2312" w:eastAsia="楷体_GB2312"/>
          <w:color w:val="auto"/>
          <w:sz w:val="28"/>
        </w:rPr>
        <w:t>元或以上的；</w:t>
      </w:r>
    </w:p>
    <w:p w14:paraId="0EAB8996">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(5)逾期</w:t>
      </w:r>
      <w:r>
        <w:rPr>
          <w:rFonts w:hint="eastAsia" w:ascii="楷体_GB2312" w:hAnsi="楷体_GB2312" w:eastAsia="楷体_GB2312"/>
          <w:b/>
          <w:color w:val="auto"/>
          <w:sz w:val="28"/>
        </w:rPr>
        <w:t xml:space="preserve"> 15 </w:t>
      </w:r>
      <w:r>
        <w:rPr>
          <w:rFonts w:hint="eastAsia" w:ascii="楷体_GB2312" w:hAnsi="楷体_GB2312" w:eastAsia="楷体_GB2312"/>
          <w:color w:val="auto"/>
          <w:sz w:val="28"/>
        </w:rPr>
        <w:t>日未按时交纳保证金或累计拖欠保证金达（大写）</w:t>
      </w:r>
      <w:r>
        <w:rPr>
          <w:rFonts w:hint="eastAsia" w:ascii="楷体_GB2312" w:hAnsi="楷体_GB2312" w:eastAsia="楷体_GB2312"/>
          <w:b/>
          <w:color w:val="auto"/>
          <w:sz w:val="28"/>
          <w:u w:val="single"/>
        </w:rPr>
        <w:t xml:space="preserve">    </w:t>
      </w:r>
      <w:r>
        <w:rPr>
          <w:rFonts w:hint="eastAsia" w:ascii="楷体_GB2312" w:hAnsi="楷体_GB2312" w:eastAsia="楷体_GB2312"/>
          <w:color w:val="auto"/>
          <w:sz w:val="28"/>
        </w:rPr>
        <w:t>元或以上的；</w:t>
      </w:r>
    </w:p>
    <w:p w14:paraId="34410EE7">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(6)保管不当或不合理使用导致附属物品、设备设施损坏并拒不赔偿的。</w:t>
      </w:r>
    </w:p>
    <w:p w14:paraId="5FEFB26F">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5、经营期满后，乙方要继续经营的，应当在经营期满之日的30日前，向甲方提出书面申请，经甲方同意，按规定程序参加公开竞价招标，在房产招标价格相同的条件下，乙方享有优先经营权；如乙方在规定期限内未提出书面申请，视为放弃优先经营权。</w:t>
      </w:r>
    </w:p>
    <w:p w14:paraId="4057F777">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6、因自然灾害等不可抗力致使合同无法继续履行的，本合同自动终止，甲乙双方互不承担违约责任。</w:t>
      </w:r>
    </w:p>
    <w:p w14:paraId="747E6547">
      <w:pPr>
        <w:rPr>
          <w:rFonts w:ascii="楷体_GB2312" w:hAnsi="楷体_GB2312" w:eastAsia="楷体_GB2312"/>
          <w:color w:val="auto"/>
          <w:sz w:val="28"/>
        </w:rPr>
      </w:pPr>
      <w:r>
        <w:rPr>
          <w:rFonts w:hint="eastAsia" w:ascii="楷体_GB2312" w:hAnsi="楷体_GB2312" w:eastAsia="楷体_GB2312"/>
          <w:color w:val="auto"/>
          <w:sz w:val="28"/>
        </w:rPr>
        <w:t xml:space="preserve">     7、合同有效期间，因城市规划、城市公益事业建设、拆迁、改造等原因致使合同无法继续履行需解除的，甲方有权单方解除合同，无条件收回招标的资产，由此给乙方造成的一切损失，甲方不负责赔偿。</w:t>
      </w:r>
    </w:p>
    <w:p w14:paraId="099F5DCC">
      <w:pPr>
        <w:rPr>
          <w:rFonts w:ascii="楷体_GB2312" w:hAnsi="楷体_GB2312" w:eastAsia="楷体_GB2312"/>
          <w:color w:val="auto"/>
          <w:sz w:val="28"/>
        </w:rPr>
      </w:pPr>
      <w:r>
        <w:rPr>
          <w:rFonts w:hint="eastAsia" w:ascii="楷体_GB2312" w:hAnsi="楷体_GB2312" w:eastAsia="楷体_GB2312"/>
          <w:color w:val="auto"/>
          <w:sz w:val="28"/>
        </w:rPr>
        <w:t xml:space="preserve">     8、法律规定的其他情形。</w:t>
      </w:r>
    </w:p>
    <w:p w14:paraId="756E7887">
      <w:pPr>
        <w:rPr>
          <w:rFonts w:ascii="楷体_GB2312" w:hAnsi="楷体_GB2312" w:eastAsia="楷体_GB2312"/>
          <w:color w:val="auto"/>
          <w:sz w:val="28"/>
        </w:rPr>
      </w:pPr>
      <w:r>
        <w:rPr>
          <w:rFonts w:hint="eastAsia" w:ascii="楷体_GB2312" w:hAnsi="楷体_GB2312" w:eastAsia="楷体_GB2312"/>
          <w:color w:val="auto"/>
          <w:sz w:val="28"/>
        </w:rPr>
        <w:t xml:space="preserve">     因乙方违约甲方单方解除合同或者因本合同第六条第4款原因甲方提出终止合同收回房屋的，甲方书面解除或终止合同通知送达乙方时即发生法律效力。乙方应该在甲方书面通知日期内（原则上为两日）自行搬迁并将标的物按照合同约定交还给甲方。乙方逾期不交付房屋的，自逾期之日起，乙方按照合同约定保证金额200%向甲方支付标的物占用费，直至标的物交付甲方时止。</w:t>
      </w:r>
    </w:p>
    <w:p w14:paraId="4EC19C57">
      <w:pPr>
        <w:spacing w:line="520" w:lineRule="exact"/>
        <w:ind w:firstLine="570"/>
        <w:rPr>
          <w:rFonts w:ascii="楷体_GB2312" w:hAnsi="楷体_GB2312" w:eastAsia="楷体_GB2312"/>
          <w:b/>
          <w:color w:val="auto"/>
          <w:sz w:val="28"/>
        </w:rPr>
      </w:pPr>
      <w:r>
        <w:rPr>
          <w:rFonts w:hint="eastAsia" w:ascii="楷体_GB2312" w:hAnsi="楷体_GB2312" w:eastAsia="楷体_GB2312"/>
          <w:b/>
          <w:color w:val="auto"/>
          <w:sz w:val="28"/>
        </w:rPr>
        <w:t>第九条  合同标的物交付及收回的验收</w:t>
      </w:r>
    </w:p>
    <w:p w14:paraId="535E4883">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1、合同标的物交付时，甲乙双方应共同参与，如对装修、器物等硬件设施、附属设施有异议的，应当场提出，协商解决。乙方接受标的物钥匙后视为甲方已按合同约定完成了交付，且乙方对房屋的现状无异议。</w:t>
      </w:r>
    </w:p>
    <w:p w14:paraId="363B84D4">
      <w:pPr>
        <w:spacing w:line="520" w:lineRule="exact"/>
        <w:ind w:firstLine="570"/>
        <w:rPr>
          <w:rFonts w:ascii="楷体_GB2312" w:hAnsi="楷体_GB2312" w:eastAsia="楷体_GB2312"/>
          <w:color w:val="auto"/>
          <w:sz w:val="28"/>
        </w:rPr>
      </w:pPr>
      <w:r>
        <w:rPr>
          <w:rFonts w:hint="eastAsia" w:ascii="楷体_GB2312" w:hAnsi="楷体_GB2312" w:eastAsia="楷体_GB2312"/>
          <w:color w:val="auto"/>
          <w:sz w:val="28"/>
        </w:rPr>
        <w:t>2、乙方应于合同期满、自动终止或解除合同后2日内，将经营房屋及设施设备等完好地交还甲方；乙方添置新物可移动部分由其自行收回；而对于乙方添置新物不可移动部分及乙方装饰、装修的部分，具体处理方法为：归甲方所有并且乙方不得要求甲方给予乙方任何补偿。若有甲方不需要的物品、装饰装修物等部分，乙方应无条件根据甲方要求将物品、装饰装修物予以拆除，因拆除造成标的物毁损的，乙方应当恢复原状。乙方如违反该规定则履约保证金作为违约金支付给甲方，不予退还。对于该标的物内乙方未经甲方书面同意遗留的物品，视为乙方自愿放弃其所有权和处分权，甲方有权自行处置，并且不承担任何责任。</w:t>
      </w:r>
    </w:p>
    <w:p w14:paraId="1CF2143C">
      <w:pPr>
        <w:spacing w:line="520" w:lineRule="exact"/>
        <w:ind w:firstLine="570"/>
        <w:rPr>
          <w:rFonts w:ascii="楷体_GB2312" w:hAnsi="楷体_GB2312" w:eastAsia="楷体_GB2312"/>
          <w:b/>
          <w:color w:val="auto"/>
          <w:sz w:val="28"/>
        </w:rPr>
      </w:pPr>
      <w:r>
        <w:rPr>
          <w:rFonts w:hint="eastAsia" w:ascii="楷体_GB2312" w:hAnsi="楷体_GB2312" w:eastAsia="楷体_GB2312"/>
          <w:b/>
          <w:color w:val="auto"/>
          <w:sz w:val="28"/>
        </w:rPr>
        <w:t>第十条  甲方违约责任</w:t>
      </w:r>
    </w:p>
    <w:p w14:paraId="60309E8F">
      <w:pPr>
        <w:spacing w:line="520" w:lineRule="exact"/>
        <w:ind w:firstLine="480"/>
        <w:rPr>
          <w:rFonts w:ascii="楷体_GB2312" w:hAnsi="楷体_GB2312" w:eastAsia="楷体_GB2312"/>
          <w:color w:val="auto"/>
          <w:sz w:val="28"/>
        </w:rPr>
      </w:pPr>
      <w:r>
        <w:rPr>
          <w:rFonts w:hint="eastAsia" w:ascii="楷体_GB2312" w:hAnsi="楷体_GB2312" w:eastAsia="楷体_GB2312"/>
          <w:color w:val="auto"/>
          <w:sz w:val="28"/>
        </w:rPr>
        <w:t>l、不按本合同约定按时交付合同标的物给乙方的，每逾期1日应按约定的日保证金1%向乙方支付违约金，逾期交付不得超过2个月；双方一致同意，若逾期交付超过2个月的，自逾期届满2个月之日，本合同自动终止，甲方仅就逾期2个月以内承担违约责任。</w:t>
      </w:r>
    </w:p>
    <w:p w14:paraId="0EF50F2F">
      <w:pPr>
        <w:spacing w:line="520" w:lineRule="exact"/>
        <w:ind w:firstLine="480"/>
        <w:rPr>
          <w:rFonts w:ascii="楷体_GB2312" w:hAnsi="楷体_GB2312" w:eastAsia="楷体_GB2312"/>
          <w:color w:val="auto"/>
          <w:sz w:val="28"/>
        </w:rPr>
      </w:pPr>
      <w:r>
        <w:rPr>
          <w:rFonts w:hint="eastAsia" w:ascii="楷体_GB2312" w:hAnsi="楷体_GB2312" w:eastAsia="楷体_GB2312"/>
          <w:color w:val="auto"/>
          <w:sz w:val="28"/>
        </w:rPr>
        <w:t>2、违反本合同约定提前收回合同标的物的，应按本合同年保证金总额的20%，向乙方支付违约金。</w:t>
      </w:r>
    </w:p>
    <w:p w14:paraId="73EE2F5A">
      <w:pPr>
        <w:spacing w:line="520" w:lineRule="exact"/>
        <w:ind w:firstLine="570"/>
        <w:rPr>
          <w:rFonts w:ascii="楷体_GB2312" w:hAnsi="楷体_GB2312" w:eastAsia="楷体_GB2312"/>
          <w:b/>
          <w:color w:val="auto"/>
          <w:sz w:val="28"/>
        </w:rPr>
      </w:pPr>
      <w:r>
        <w:rPr>
          <w:rFonts w:hint="eastAsia" w:ascii="楷体_GB2312" w:hAnsi="楷体_GB2312" w:eastAsia="楷体_GB2312"/>
          <w:b/>
          <w:color w:val="auto"/>
          <w:sz w:val="28"/>
        </w:rPr>
        <w:t>第十一条  乙方违约责任</w:t>
      </w:r>
    </w:p>
    <w:p w14:paraId="331EE60B">
      <w:pPr>
        <w:spacing w:line="520" w:lineRule="exact"/>
        <w:rPr>
          <w:rFonts w:ascii="楷体_GB2312" w:hAnsi="楷体_GB2312" w:eastAsia="楷体_GB2312"/>
          <w:color w:val="auto"/>
          <w:sz w:val="28"/>
        </w:rPr>
      </w:pPr>
      <w:r>
        <w:rPr>
          <w:rFonts w:hint="eastAsia" w:ascii="楷体_GB2312" w:hAnsi="楷体_GB2312" w:eastAsia="楷体_GB2312"/>
          <w:color w:val="auto"/>
          <w:sz w:val="28"/>
        </w:rPr>
        <w:t xml:space="preserve">    l、不按本合同约定按时足额交付保证金的，每逾期1日乙方应按欠交保证金的1%向甲方支付违约金；乙方不按本合同约定按时足额支付水电气、物业管理等相关费用的，应如数补交并支付滞纳金。如因乙方未按时交纳上述费用造成停水停电等后果的，由乙方承担责任。</w:t>
      </w:r>
    </w:p>
    <w:p w14:paraId="676731E9">
      <w:pPr>
        <w:spacing w:line="520" w:lineRule="exact"/>
        <w:ind w:firstLine="480"/>
        <w:rPr>
          <w:rFonts w:ascii="楷体_GB2312" w:hAnsi="楷体_GB2312" w:eastAsia="楷体_GB2312"/>
          <w:color w:val="auto"/>
          <w:sz w:val="28"/>
        </w:rPr>
      </w:pPr>
      <w:r>
        <w:rPr>
          <w:rFonts w:hint="eastAsia" w:ascii="楷体_GB2312" w:hAnsi="楷体_GB2312" w:eastAsia="楷体_GB2312"/>
          <w:color w:val="auto"/>
          <w:sz w:val="28"/>
        </w:rPr>
        <w:t>2、合同有效期间，乙方有本合同第八条第4项行为之一的，甲方有权解除合同，收回合同标的物，已收取的保证金及履约保证金不予退还；乙方还应按照本合同年保证金总额的20％向甲方支付违约金。若支付的违约金不足弥补甲方损失的，乙方还应赔偿相应损失。</w:t>
      </w:r>
    </w:p>
    <w:p w14:paraId="3D4B3116">
      <w:pPr>
        <w:spacing w:line="520" w:lineRule="exact"/>
        <w:ind w:firstLine="480"/>
        <w:rPr>
          <w:rFonts w:ascii="楷体_GB2312" w:hAnsi="楷体_GB2312" w:eastAsia="楷体_GB2312"/>
          <w:color w:val="auto"/>
          <w:sz w:val="28"/>
        </w:rPr>
      </w:pPr>
      <w:r>
        <w:rPr>
          <w:rFonts w:hint="eastAsia" w:ascii="楷体_GB2312" w:hAnsi="楷体_GB2312" w:eastAsia="楷体_GB2312"/>
          <w:color w:val="auto"/>
          <w:sz w:val="28"/>
        </w:rPr>
        <w:t>3、在合同有效期间，乙方中途违反本合同约定擅自退场的，甲方已收取的保证金及履约保证金不予退还；乙方还应按本合同年保证金总额20％向甲方支付违约金。若支付的违约金不足弥补甲方损失的，还应赔偿相应损失。</w:t>
      </w:r>
    </w:p>
    <w:p w14:paraId="45326EAD">
      <w:pPr>
        <w:spacing w:line="520" w:lineRule="exact"/>
        <w:ind w:firstLine="480"/>
        <w:rPr>
          <w:rFonts w:ascii="楷体_GB2312" w:hAnsi="楷体_GB2312" w:eastAsia="楷体_GB2312"/>
          <w:color w:val="auto"/>
          <w:sz w:val="28"/>
        </w:rPr>
      </w:pPr>
      <w:r>
        <w:rPr>
          <w:rFonts w:hint="eastAsia" w:ascii="楷体_GB2312" w:hAnsi="楷体_GB2312" w:eastAsia="楷体_GB2312"/>
          <w:color w:val="auto"/>
          <w:sz w:val="28"/>
        </w:rPr>
        <w:t>4、合同期满、自动终止或解除合同，乙方必须在合同期满、自动终止之日或解除合同之日起</w:t>
      </w:r>
      <w:r>
        <w:rPr>
          <w:rFonts w:hint="eastAsia" w:ascii="楷体_GB2312" w:hAnsi="楷体_GB2312" w:eastAsia="楷体_GB2312"/>
          <w:b/>
          <w:color w:val="auto"/>
          <w:sz w:val="28"/>
        </w:rPr>
        <w:t>2日</w:t>
      </w:r>
      <w:r>
        <w:rPr>
          <w:rFonts w:hint="eastAsia" w:ascii="楷体_GB2312" w:hAnsi="楷体_GB2312" w:eastAsia="楷体_GB2312"/>
          <w:color w:val="auto"/>
          <w:sz w:val="28"/>
        </w:rPr>
        <w:t>内将自有物、商品全部搬走，不得提出任何补偿要求；逾期未搬走，视同乙方放弃该房屋内属于乙方的商品和自有物，甲方有权处置，所造成的必要费用（公证费、保管费等）由乙方承担(可从未搬走商品和物的处置收益中支付），乙方不得提出任何异议和补偿要求。</w:t>
      </w:r>
    </w:p>
    <w:p w14:paraId="21432062">
      <w:pPr>
        <w:spacing w:line="520" w:lineRule="exact"/>
        <w:ind w:firstLine="480"/>
        <w:rPr>
          <w:rFonts w:ascii="楷体_GB2312" w:hAnsi="楷体_GB2312" w:eastAsia="楷体_GB2312"/>
          <w:color w:val="auto"/>
          <w:sz w:val="28"/>
        </w:rPr>
      </w:pPr>
      <w:r>
        <w:rPr>
          <w:rFonts w:hint="eastAsia" w:ascii="楷体_GB2312" w:hAnsi="楷体_GB2312" w:eastAsia="楷体_GB2312"/>
          <w:color w:val="auto"/>
          <w:sz w:val="28"/>
        </w:rPr>
        <w:t>5、合同解除或终止后不按甲方要求搬出该房屋，或者不按甲方要求恢复原状的，甲方可以采取相关措施（包括但不限于停电、停水等），所造成的一切损失由乙方自行承担，与甲方无关。</w:t>
      </w:r>
    </w:p>
    <w:p w14:paraId="72E6BEE1">
      <w:pPr>
        <w:spacing w:line="520" w:lineRule="exact"/>
        <w:ind w:firstLine="570"/>
        <w:rPr>
          <w:rFonts w:ascii="楷体_GB2312" w:hAnsi="楷体_GB2312" w:eastAsia="楷体_GB2312"/>
          <w:b/>
          <w:color w:val="auto"/>
          <w:sz w:val="28"/>
        </w:rPr>
      </w:pPr>
      <w:r>
        <w:rPr>
          <w:rFonts w:hint="eastAsia" w:ascii="楷体_GB2312" w:hAnsi="楷体_GB2312" w:eastAsia="楷体_GB2312"/>
          <w:b/>
          <w:color w:val="auto"/>
          <w:sz w:val="28"/>
        </w:rPr>
        <w:t>第十二条  免责条款</w:t>
      </w:r>
    </w:p>
    <w:p w14:paraId="03C7E01D">
      <w:pPr>
        <w:spacing w:line="520" w:lineRule="exact"/>
        <w:rPr>
          <w:rFonts w:ascii="楷体_GB2312" w:hAnsi="楷体_GB2312" w:eastAsia="楷体_GB2312"/>
          <w:color w:val="auto"/>
          <w:sz w:val="28"/>
        </w:rPr>
      </w:pPr>
      <w:r>
        <w:rPr>
          <w:rFonts w:hint="eastAsia" w:ascii="楷体_GB2312" w:hAnsi="楷体_GB2312" w:eastAsia="楷体_GB2312"/>
          <w:color w:val="auto"/>
          <w:sz w:val="28"/>
        </w:rPr>
        <w:t xml:space="preserve">    1、因不可抗力原因致使本合同不能继续履行，造成损失的，甲、乙双方互不承担责任。</w:t>
      </w:r>
    </w:p>
    <w:p w14:paraId="20F9F6A8">
      <w:pPr>
        <w:spacing w:line="520" w:lineRule="exact"/>
        <w:ind w:firstLine="480"/>
        <w:rPr>
          <w:rFonts w:ascii="楷体_GB2312" w:hAnsi="楷体_GB2312" w:eastAsia="楷体_GB2312"/>
          <w:color w:val="auto"/>
          <w:sz w:val="28"/>
        </w:rPr>
      </w:pPr>
      <w:r>
        <w:rPr>
          <w:rFonts w:hint="eastAsia" w:ascii="楷体_GB2312" w:hAnsi="楷体_GB2312" w:eastAsia="楷体_GB2312"/>
          <w:color w:val="auto"/>
          <w:sz w:val="28"/>
        </w:rPr>
        <w:t>2、因国家政策、国家建设需要征用或拆除、改造合同标的物，对甲、乙双方造成损失的，互不承担责任，乙方应无条件搬迁。政府因以上行为给予的补偿，除经核准属于乙方室内装修补偿的归乙方所有外，其余补偿全部归甲方所有。</w:t>
      </w:r>
    </w:p>
    <w:p w14:paraId="7AD88361">
      <w:pPr>
        <w:spacing w:line="520" w:lineRule="exact"/>
        <w:ind w:firstLine="480"/>
        <w:rPr>
          <w:rFonts w:ascii="楷体_GB2312" w:hAnsi="楷体_GB2312" w:eastAsia="楷体_GB2312"/>
          <w:color w:val="auto"/>
          <w:sz w:val="28"/>
        </w:rPr>
      </w:pPr>
      <w:r>
        <w:rPr>
          <w:rFonts w:hint="eastAsia" w:ascii="楷体_GB2312" w:hAnsi="楷体_GB2312" w:eastAsia="楷体_GB2312"/>
          <w:color w:val="auto"/>
          <w:sz w:val="28"/>
        </w:rPr>
        <w:t>3、因上述第1、2项原因而终止合同的，保证金按照实际使用的天数计算，多退少补。</w:t>
      </w:r>
    </w:p>
    <w:p w14:paraId="42032D90">
      <w:pPr>
        <w:spacing w:line="520" w:lineRule="exact"/>
        <w:ind w:firstLine="570"/>
        <w:rPr>
          <w:rFonts w:ascii="楷体_GB2312" w:hAnsi="楷体_GB2312" w:eastAsia="楷体_GB2312"/>
          <w:b/>
          <w:color w:val="auto"/>
          <w:sz w:val="28"/>
        </w:rPr>
      </w:pPr>
      <w:r>
        <w:rPr>
          <w:rFonts w:hint="eastAsia" w:ascii="楷体_GB2312" w:hAnsi="楷体_GB2312" w:eastAsia="楷体_GB2312"/>
          <w:b/>
          <w:color w:val="auto"/>
          <w:sz w:val="28"/>
        </w:rPr>
        <w:t>第十三条  合同争议的解决</w:t>
      </w:r>
    </w:p>
    <w:p w14:paraId="403CF247">
      <w:pPr>
        <w:spacing w:line="520" w:lineRule="exact"/>
        <w:ind w:firstLine="560" w:firstLineChars="200"/>
        <w:rPr>
          <w:rFonts w:ascii="楷体_GB2312" w:hAnsi="楷体_GB2312" w:eastAsia="楷体_GB2312"/>
          <w:color w:val="auto"/>
          <w:sz w:val="28"/>
        </w:rPr>
      </w:pPr>
      <w:r>
        <w:rPr>
          <w:rFonts w:hint="eastAsia" w:ascii="楷体_GB2312" w:hAnsi="楷体_GB2312" w:eastAsia="楷体_GB2312"/>
          <w:color w:val="auto"/>
          <w:sz w:val="28"/>
        </w:rPr>
        <w:t>甲、乙双方在履行合同期间如发生纠纷，由甲、乙双方协商解决。协商一致的，另行签订补充协议，该补充协议构成本合同的组成部分；协商不成的，任何一方均可依法提起诉讼。</w:t>
      </w:r>
    </w:p>
    <w:p w14:paraId="156AE6F1">
      <w:pPr>
        <w:spacing w:line="520" w:lineRule="exact"/>
        <w:ind w:firstLine="570"/>
        <w:rPr>
          <w:rFonts w:ascii="楷体_GB2312" w:hAnsi="楷体_GB2312" w:eastAsia="楷体_GB2312"/>
          <w:b/>
          <w:color w:val="auto"/>
          <w:sz w:val="28"/>
        </w:rPr>
      </w:pPr>
      <w:r>
        <w:rPr>
          <w:rFonts w:hint="eastAsia" w:ascii="楷体_GB2312" w:hAnsi="楷体_GB2312" w:eastAsia="楷体_GB2312"/>
          <w:b/>
          <w:color w:val="auto"/>
          <w:sz w:val="28"/>
        </w:rPr>
        <w:t>第十四条  其他约定的事项</w:t>
      </w:r>
    </w:p>
    <w:p w14:paraId="6EAD15B6">
      <w:pPr>
        <w:spacing w:line="520" w:lineRule="exact"/>
        <w:ind w:firstLine="560" w:firstLineChars="200"/>
        <w:rPr>
          <w:rFonts w:ascii="楷体_GB2312" w:hAnsi="楷体_GB2312" w:eastAsia="楷体_GB2312"/>
          <w:color w:val="auto"/>
          <w:sz w:val="28"/>
        </w:rPr>
      </w:pPr>
      <w:r>
        <w:rPr>
          <w:rFonts w:hint="eastAsia" w:ascii="楷体_GB2312" w:hAnsi="楷体_GB2312" w:eastAsia="楷体_GB2312"/>
          <w:color w:val="auto"/>
          <w:sz w:val="28"/>
        </w:rPr>
        <w:t>1、本合同未尽事宜，甲、乙双方应另行协商并签订补充协议，该补充协议是构成本合同的组成部分，具有同等法律效力。</w:t>
      </w:r>
    </w:p>
    <w:p w14:paraId="2D0FF6B2">
      <w:pPr>
        <w:spacing w:line="520" w:lineRule="exact"/>
        <w:ind w:firstLine="560" w:firstLineChars="200"/>
        <w:rPr>
          <w:rFonts w:ascii="楷体_GB2312" w:hAnsi="楷体_GB2312" w:eastAsia="楷体_GB2312"/>
          <w:color w:val="auto"/>
          <w:sz w:val="28"/>
        </w:rPr>
      </w:pPr>
      <w:r>
        <w:rPr>
          <w:rFonts w:hint="eastAsia" w:ascii="楷体_GB2312" w:hAnsi="楷体_GB2312" w:eastAsia="楷体_GB2312"/>
          <w:color w:val="auto"/>
          <w:sz w:val="28"/>
        </w:rPr>
        <w:t>2、乙方已对本合同所有条款充分了解，标的物情况充分知悉，愿意签订本合同。</w:t>
      </w:r>
    </w:p>
    <w:p w14:paraId="774CCDC1">
      <w:pPr>
        <w:spacing w:line="520" w:lineRule="exact"/>
        <w:ind w:firstLine="560" w:firstLineChars="200"/>
        <w:rPr>
          <w:rFonts w:ascii="楷体_GB2312" w:hAnsi="楷体_GB2312" w:eastAsia="楷体_GB2312"/>
          <w:color w:val="auto"/>
          <w:sz w:val="28"/>
        </w:rPr>
      </w:pPr>
      <w:r>
        <w:rPr>
          <w:rFonts w:hint="eastAsia" w:ascii="楷体_GB2312" w:hAnsi="楷体_GB2312" w:eastAsia="楷体_GB2312"/>
          <w:color w:val="auto"/>
          <w:sz w:val="28"/>
        </w:rPr>
        <w:t>3、本合同双方签字（盖章）后生效。本合同正本一式四份，甲方、乙方各执两份，副本若干份。</w:t>
      </w:r>
    </w:p>
    <w:p w14:paraId="754BFEEA">
      <w:pPr>
        <w:pStyle w:val="25"/>
        <w:spacing w:line="500" w:lineRule="atLeast"/>
        <w:ind w:firstLine="560" w:firstLineChars="200"/>
        <w:rPr>
          <w:rFonts w:hint="default" w:ascii="楷体_GB2312" w:eastAsia="楷体_GB2312"/>
          <w:color w:val="auto"/>
          <w:sz w:val="28"/>
          <w:szCs w:val="28"/>
        </w:rPr>
      </w:pPr>
      <w:r>
        <w:rPr>
          <w:rFonts w:ascii="楷体_GB2312" w:hAnsi="楷体_GB2312" w:eastAsia="楷体_GB2312"/>
          <w:color w:val="auto"/>
          <w:sz w:val="28"/>
        </w:rPr>
        <w:t>4、其他有关规定：</w:t>
      </w:r>
      <w:r>
        <w:rPr>
          <w:rFonts w:ascii="楷体_GB2312" w:eastAsia="楷体_GB2312"/>
          <w:color w:val="auto"/>
          <w:sz w:val="28"/>
          <w:szCs w:val="28"/>
        </w:rPr>
        <w:t>详见相关要求。</w:t>
      </w:r>
    </w:p>
    <w:p w14:paraId="38FD741F">
      <w:pPr>
        <w:spacing w:line="440" w:lineRule="exact"/>
        <w:ind w:firstLine="560" w:firstLineChars="200"/>
        <w:jc w:val="center"/>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相关要求</w:t>
      </w:r>
    </w:p>
    <w:p w14:paraId="0D54C0C3">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一、经营要求</w:t>
      </w:r>
    </w:p>
    <w:p w14:paraId="412E4F41">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1、经营人不允许分包、转包或委托他人经营管理，更不能违法经营。一经发现，采购人有权取消其承包资格，并给予经济处罚或诉诸法律。在条件允许，确需引进特色经营时，需经采购人同意后决定。</w:t>
      </w:r>
    </w:p>
    <w:p w14:paraId="26552F38">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2、普餐获取利润不得超过直接成本30％，特色餐饮不得超过直接成本的40％。</w:t>
      </w:r>
    </w:p>
    <w:p w14:paraId="3DC46177">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3.1中标方在经营期间须保证早、中、晚餐正点、足量、安全、优质供应，饭菜价格不得高于市场价格，各类饭菜须明码标价。</w:t>
      </w:r>
    </w:p>
    <w:p w14:paraId="40A1BF35">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早餐：供应时间6:30-8:00;</w:t>
      </w:r>
    </w:p>
    <w:p w14:paraId="12C91012">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午餐：供应时间11:00-13:00，须有一类荤素搭配10元左右平价工作套餐；</w:t>
      </w:r>
    </w:p>
    <w:p w14:paraId="36E13E35">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晚餐：供应时间17:00-19:00。（我方有权要求中标方根据实际情况更改供应时间）</w:t>
      </w:r>
    </w:p>
    <w:p w14:paraId="22389B88">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3.2.园区定制安装刷卡机，就餐费用结算至招标单位账户。</w:t>
      </w:r>
    </w:p>
    <w:p w14:paraId="27BE0C51">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3.3.中标方提供的食物须符合国家相关卫生要求，如因食物问题导致用餐人员发生任何身体不适，我方有权立即封存食物，并将食物送至检验机构检验，如因此给我方或就餐人员造成损失的，由中标方承担一切赔偿责任。</w:t>
      </w:r>
    </w:p>
    <w:p w14:paraId="4F96232B">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4、食堂的菜价要本着微利经营的原则，如因原材料大幅涨价，上调菜价需经采购人同意，且采购人可根据市场行情随时要求中标方恢复菜价；</w:t>
      </w:r>
    </w:p>
    <w:p w14:paraId="2A8FE11C">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5、经营者有明显违反合同且不服从采购人管理的，采购人有权解除合同、扣除履约保证金，另招承包商，直至解除合同。</w:t>
      </w:r>
    </w:p>
    <w:p w14:paraId="5318E676">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6、招标人有权不定期进行检查，经营人直接自主经营，自负盈亏。经营毛利润，实行价格最高限价制度，严禁暴利，售卖货物、菜品必须明码标价，接受监督。</w:t>
      </w:r>
    </w:p>
    <w:p w14:paraId="5D739588">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7、重视和搞好食品卫生安全和食堂卫生防疫工作，就餐环境必须达到招标人和上级主管部门制定的标准。如因经营人的管理不善造成安全事故，由经营人负全部责任。</w:t>
      </w:r>
    </w:p>
    <w:p w14:paraId="23FF44C8">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8、水电燃气费用由中标方自行承担，</w:t>
      </w:r>
    </w:p>
    <w:p w14:paraId="61804DA6">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9、经营人卫生区域划分：招标公告中规定的区域及经营范围内由中标方负责</w:t>
      </w:r>
    </w:p>
    <w:p w14:paraId="2CED6496">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10、基础及硬件设施按现状提供，中标方如因经营需要，在保障现场布局及安全的前提下可自行添置或改造，改造方案等须事先报批至招标单位，招标单位批准后方可实施。经营期满后5日内，中标方撤走由中标方自备物资及自行添置设备，必须完好地移交招标人提供的场地、物资、设备等，如损坏按价赔偿。</w:t>
      </w:r>
    </w:p>
    <w:p w14:paraId="1B6988D7">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11、经营期间，食堂员工住宿安排及费用由中标方负责，费用自理。</w:t>
      </w:r>
    </w:p>
    <w:p w14:paraId="2D1D67D3">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12、中标方必须保证食品绿色、安全、卫生；米、面及食用油、酱油、食醋要有供货方卫生许可证及产品质量合格和市场准入标志，肉类须经检疫合格。</w:t>
      </w:r>
    </w:p>
    <w:p w14:paraId="480BCFA5">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 xml:space="preserve"> 13、采购人对经营者处违约金标准 </w:t>
      </w:r>
    </w:p>
    <w:p w14:paraId="11A920A6">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 xml:space="preserve">（1）不明码标价，处违约金 100 元/次。 </w:t>
      </w:r>
    </w:p>
    <w:p w14:paraId="3D257BAD">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 xml:space="preserve">（2）饭菜价格利润超过采购人规定要求，第一次处违约金200 元，以后加倍罚款。 </w:t>
      </w:r>
    </w:p>
    <w:p w14:paraId="6EF1A3E6">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 xml:space="preserve">（3）餐厅、操作间苍蝇密度不得超过卫生条例的规定，否则处违约金100 元。 </w:t>
      </w:r>
    </w:p>
    <w:p w14:paraId="01538C16">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 xml:space="preserve">（4）垃圾必须送到指定地点，乱倒垃圾，发现一次处违约金 100 元。 </w:t>
      </w:r>
    </w:p>
    <w:p w14:paraId="40177072">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（5）不准超范围经营，否则发现一次处违约金500 元。</w:t>
      </w:r>
    </w:p>
    <w:p w14:paraId="20EC4BDD">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（6）经营人如受到工商、税务、公安、环卫等部门罚款的，采购人将对经营人处同样数量的违约金。</w:t>
      </w:r>
    </w:p>
    <w:p w14:paraId="5FA53A47">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14、经营人经营期结束后，必须完好地移交采购人提供的物资、设备。在经营期满后3 日内，撤走经营人自备物资，把场所交给采购人，迟交一天处违约金 1000 元，直至采购人强制搬出。</w:t>
      </w:r>
    </w:p>
    <w:p w14:paraId="3C383708">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 xml:space="preserve"> 15、食堂（含餐厅、操作间）的饭脚水处理，经营人必须与具有相关资质的回收处理企业签订餐余垃圾回收协议。 </w:t>
      </w:r>
    </w:p>
    <w:p w14:paraId="57B62FB1">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16、在食堂经营过程中出现安全、食品卫生等重大问题时，由中标方承担全部责任。</w:t>
      </w:r>
    </w:p>
    <w:p w14:paraId="1BFF0985">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二、设备管理</w:t>
      </w:r>
    </w:p>
    <w:p w14:paraId="2AD821A9">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1、采购人提供食堂现有的厨具设备，在合同期间内由经营单位自行维护，修理并承担相关费用，损失按价赔偿。</w:t>
      </w:r>
    </w:p>
    <w:p w14:paraId="02EC8DF3">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2、采购人拥有食堂内采购人投资的设施设备的所有权，交由中标单位经营管理，保证设备完好率、维修及时率100%。</w:t>
      </w:r>
    </w:p>
    <w:p w14:paraId="6B31E8DC">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3、合同终止和解除后，中标方必须保证所有设施设备的完好，若由中标单位改造的，需恢复原样，否则照价赔偿。</w:t>
      </w:r>
    </w:p>
    <w:p w14:paraId="6D4E8376">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4、食堂厨房内部及餐厅需重新装修和设备投入的，中标方在不改变食堂内部结构、厨房的总体流程的情况下，根据餐饮操作规范及现行的国家有关规定、满足“明厨亮灶”的要求，无偿投入资金进行装修及购买设备，确保通过政府管理部门和采购人的检查验收，期间产生的费用由中标方自理。</w:t>
      </w:r>
    </w:p>
    <w:p w14:paraId="3BA8A247">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5、中标方的改造升级食堂设计方案、预算清单、设备清单及相关方案必须经过采购人的审核批准方可实施。</w:t>
      </w:r>
    </w:p>
    <w:p w14:paraId="1EF73DAE">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三、安全卫生管理</w:t>
      </w:r>
    </w:p>
    <w:p w14:paraId="2A922C2D">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中标方为采购人食堂卫生、防火、防盗、防食物中毒等安全责任人，对相应工作负有全部组织和管理义务。</w:t>
      </w:r>
    </w:p>
    <w:p w14:paraId="0D5D2E39">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1、中标方必须自行做好安全、防盗、防火和食品卫生等工作，维护好消防设施，定期检查消防器材，如发生失窃、火灾、食物中毒等事故，造成的一切损失均由中标方自行承担。发现消防器材过期、失效须及时向甲方报告更换。</w:t>
      </w:r>
    </w:p>
    <w:p w14:paraId="51A68596">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2、严格执行《食品安全法》，所有员工都要经过卫生防疫部门的体检、办理健康证才能上岗；按时到卫生防疫部门办理食堂卫生许可证的年检手续，接受卫生防疫部门的各类检查。</w:t>
      </w:r>
    </w:p>
    <w:p w14:paraId="0B077418">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3、负责落实食堂经营范围内及采购人指定区域的卫生工作（含排烟管道清洗、周边环境、下水、隔油池、厕所等），建立和健全一整套生产管理、卫生管理和安全管理制度。</w:t>
      </w:r>
    </w:p>
    <w:p w14:paraId="554A8BD4">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4、中标方必须接受采购人、政府相关职能部门的监督检查和管理，积极配合采购人开展工作，自觉接受对财务管理、食品采购、生产流程、卫生消毒、供应价格、服务规范等方面的全方位监控。</w:t>
      </w:r>
    </w:p>
    <w:p w14:paraId="6A1CC94F">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四、用工管理</w:t>
      </w:r>
    </w:p>
    <w:p w14:paraId="7A9A160F">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1、中标方要对食堂员工的思想道德、业务素质、安全健康等进行全面管理，所有人员应规范服务操作程序，做到文明用语、礼貌服务，特别是要尊重少数民族的饮食习惯。</w:t>
      </w:r>
    </w:p>
    <w:p w14:paraId="66B14FF2">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2、中标方自行承担所聘员工劳动合同的签订、劳务纠纷的处理等相关经济和法律责任。</w:t>
      </w:r>
    </w:p>
    <w:p w14:paraId="16502BA7">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3、中标方从事的一切经营活动必须严格执行合同约定，严格遵守食品管理的各项法律法规及采购人制定的一切管理制度。努力创造良好就餐环境，提供优质的餐饮服务。</w:t>
      </w:r>
    </w:p>
    <w:p w14:paraId="2D23A805">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（1）饭菜销售明码标价，工作人员服务程序操作规范，文明用语、礼貌服务、热情、周到、便捷。</w:t>
      </w:r>
    </w:p>
    <w:p w14:paraId="474BF510">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（2）创造文明就餐的食堂文化氛围，食堂就餐秩序良好。</w:t>
      </w:r>
    </w:p>
    <w:p w14:paraId="7D965B62">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（3）主动了解厂区职工的要求，调查就餐人员满意程度。</w:t>
      </w:r>
    </w:p>
    <w:p w14:paraId="4143F82B">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（4）接受监督，对其提出的改进意见中标方有义务予以改进。</w:t>
      </w:r>
    </w:p>
    <w:p w14:paraId="4BC599BB">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五、风险责任承诺</w:t>
      </w:r>
    </w:p>
    <w:p w14:paraId="0F4AB64B">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中标方必须对自主经营风险承担全部的后果，并对有关卫生安全责任做出明确的承诺。</w:t>
      </w:r>
    </w:p>
    <w:p w14:paraId="1D1D1E11">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1、中标方承担全部的安全、卫生、质量、效益、风险等责任。</w:t>
      </w:r>
    </w:p>
    <w:p w14:paraId="523A0642">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2、中标方在经营过程中与外界发生的一切债权、债务等纠纷均与采购人无关。</w:t>
      </w:r>
    </w:p>
    <w:p w14:paraId="20683CE6">
      <w:pPr>
        <w:spacing w:line="440" w:lineRule="exact"/>
        <w:ind w:firstLine="560" w:firstLineChars="200"/>
        <w:jc w:val="left"/>
        <w:rPr>
          <w:rFonts w:hint="eastAsia" w:ascii="楷体_GB2312" w:hAnsi="楷体_GB2312" w:eastAsia="楷体_GB2312" w:cs="Times New Roman"/>
          <w:color w:val="auto"/>
          <w:kern w:val="2"/>
          <w:sz w:val="28"/>
          <w:szCs w:val="24"/>
          <w:lang w:val="en-US" w:eastAsia="zh-CN" w:bidi="ar-SA"/>
        </w:rPr>
      </w:pPr>
      <w:r>
        <w:rPr>
          <w:rFonts w:hint="eastAsia" w:ascii="楷体_GB2312" w:hAnsi="楷体_GB2312" w:eastAsia="楷体_GB2312" w:cs="Times New Roman"/>
          <w:color w:val="auto"/>
          <w:kern w:val="2"/>
          <w:sz w:val="28"/>
          <w:szCs w:val="24"/>
          <w:lang w:val="en-US" w:eastAsia="zh-CN" w:bidi="ar-SA"/>
        </w:rPr>
        <w:t>3、除不可抗力因素外，中标方不得以任何理由不按时或不充足供应食堂膳食，否则视为违约，每出现一次，采购人有权要求中标方支付违约金2000元，出现2次以上，采购人有权解除合同，由此造成的一切损失均由中标方承担。</w:t>
      </w:r>
    </w:p>
    <w:p w14:paraId="1E26BD6F">
      <w:pPr>
        <w:pStyle w:val="25"/>
        <w:spacing w:line="500" w:lineRule="atLeast"/>
        <w:ind w:firstLine="700" w:firstLineChars="250"/>
        <w:rPr>
          <w:rFonts w:hint="default" w:ascii="楷体_GB2312" w:hAnsi="楷体_GB2312" w:eastAsia="楷体_GB2312"/>
          <w:color w:val="auto"/>
          <w:sz w:val="28"/>
        </w:rPr>
      </w:pPr>
    </w:p>
    <w:p w14:paraId="1E6F48B3">
      <w:pPr>
        <w:pStyle w:val="25"/>
        <w:spacing w:line="500" w:lineRule="atLeast"/>
        <w:ind w:firstLine="700" w:firstLineChars="250"/>
        <w:rPr>
          <w:rFonts w:hint="default" w:ascii="楷体_GB2312" w:hAnsi="楷体_GB2312" w:eastAsia="楷体_GB2312"/>
          <w:color w:val="auto"/>
          <w:sz w:val="28"/>
        </w:rPr>
      </w:pPr>
      <w:r>
        <w:rPr>
          <w:rFonts w:ascii="楷体_GB2312" w:hAnsi="楷体_GB2312" w:eastAsia="楷体_GB2312"/>
          <w:color w:val="auto"/>
          <w:sz w:val="28"/>
        </w:rPr>
        <w:t>甲方（盖章）：                乙方（盖章）：</w:t>
      </w:r>
    </w:p>
    <w:p w14:paraId="7067A6FA">
      <w:pPr>
        <w:pStyle w:val="25"/>
        <w:spacing w:line="500" w:lineRule="atLeast"/>
        <w:ind w:firstLine="630"/>
        <w:rPr>
          <w:rFonts w:hint="default" w:ascii="楷体_GB2312" w:hAnsi="楷体_GB2312" w:eastAsia="楷体_GB2312"/>
          <w:color w:val="auto"/>
          <w:sz w:val="28"/>
        </w:rPr>
      </w:pPr>
      <w:r>
        <w:rPr>
          <w:rFonts w:ascii="楷体_GB2312" w:hAnsi="楷体_GB2312" w:eastAsia="楷体_GB2312"/>
          <w:color w:val="auto"/>
          <w:sz w:val="28"/>
        </w:rPr>
        <w:t>法定代表人：                   法定代表人：</w:t>
      </w:r>
    </w:p>
    <w:p w14:paraId="25D2F364">
      <w:pPr>
        <w:pStyle w:val="25"/>
        <w:spacing w:line="500" w:lineRule="atLeast"/>
        <w:ind w:firstLine="630"/>
        <w:rPr>
          <w:rFonts w:hint="default" w:ascii="楷体_GB2312" w:hAnsi="楷体_GB2312" w:eastAsia="楷体_GB2312"/>
          <w:color w:val="auto"/>
          <w:sz w:val="28"/>
        </w:rPr>
      </w:pPr>
      <w:r>
        <w:rPr>
          <w:rFonts w:ascii="楷体_GB2312" w:hAnsi="楷体_GB2312" w:eastAsia="楷体_GB2312"/>
          <w:color w:val="auto"/>
          <w:sz w:val="28"/>
        </w:rPr>
        <w:t>委托办理人：                   身份证号：</w:t>
      </w:r>
    </w:p>
    <w:p w14:paraId="1B64D184">
      <w:pPr>
        <w:pStyle w:val="25"/>
        <w:spacing w:line="500" w:lineRule="atLeast"/>
        <w:ind w:firstLine="630"/>
        <w:rPr>
          <w:rFonts w:hint="default" w:ascii="楷体_GB2312" w:hAnsi="楷体_GB2312" w:eastAsia="楷体_GB2312"/>
          <w:color w:val="auto"/>
          <w:sz w:val="28"/>
        </w:rPr>
      </w:pPr>
      <w:r>
        <w:rPr>
          <w:rFonts w:ascii="楷体_GB2312" w:hAnsi="楷体_GB2312" w:eastAsia="楷体_GB2312"/>
          <w:color w:val="auto"/>
          <w:sz w:val="28"/>
        </w:rPr>
        <w:t>联系电话：                     委托办理人：</w:t>
      </w:r>
    </w:p>
    <w:p w14:paraId="6276EE20">
      <w:pPr>
        <w:pStyle w:val="25"/>
        <w:spacing w:line="500" w:lineRule="atLeast"/>
        <w:ind w:firstLine="630"/>
        <w:rPr>
          <w:rFonts w:hint="default" w:ascii="楷体_GB2312" w:hAnsi="楷体_GB2312" w:eastAsia="楷体_GB2312"/>
          <w:color w:val="auto"/>
          <w:sz w:val="28"/>
        </w:rPr>
      </w:pPr>
      <w:r>
        <w:rPr>
          <w:rFonts w:ascii="楷体_GB2312" w:hAnsi="楷体_GB2312" w:eastAsia="楷体_GB2312"/>
          <w:color w:val="auto"/>
          <w:sz w:val="28"/>
        </w:rPr>
        <w:t>通讯地址：                     联系电话：</w:t>
      </w:r>
    </w:p>
    <w:p w14:paraId="2CA160C0">
      <w:pPr>
        <w:pStyle w:val="25"/>
        <w:spacing w:line="500" w:lineRule="atLeast"/>
        <w:ind w:firstLine="630"/>
        <w:rPr>
          <w:rFonts w:hint="default" w:ascii="楷体_GB2312" w:hAnsi="楷体_GB2312" w:eastAsia="楷体_GB2312"/>
          <w:color w:val="auto"/>
          <w:sz w:val="28"/>
        </w:rPr>
      </w:pPr>
      <w:r>
        <w:rPr>
          <w:rFonts w:ascii="楷体_GB2312" w:hAnsi="楷体_GB2312" w:eastAsia="楷体_GB2312"/>
          <w:color w:val="auto"/>
          <w:sz w:val="28"/>
        </w:rPr>
        <w:t xml:space="preserve">                               通讯地址：</w:t>
      </w:r>
    </w:p>
    <w:p w14:paraId="25D6E7DE">
      <w:pPr>
        <w:pStyle w:val="25"/>
        <w:spacing w:line="500" w:lineRule="atLeast"/>
        <w:ind w:firstLine="630"/>
        <w:rPr>
          <w:rFonts w:hint="default" w:ascii="楷体_GB2312" w:hAnsi="楷体_GB2312" w:eastAsia="楷体_GB2312"/>
          <w:color w:val="auto"/>
          <w:sz w:val="28"/>
        </w:rPr>
      </w:pPr>
    </w:p>
    <w:p w14:paraId="7EA7D1FD">
      <w:pPr>
        <w:pStyle w:val="25"/>
        <w:spacing w:line="500" w:lineRule="atLeast"/>
        <w:ind w:firstLine="630"/>
        <w:rPr>
          <w:rFonts w:hint="default" w:ascii="楷体_GB2312" w:hAnsi="楷体_GB2312" w:eastAsia="楷体_GB2312"/>
          <w:color w:val="auto"/>
          <w:sz w:val="28"/>
        </w:rPr>
      </w:pPr>
      <w:r>
        <w:rPr>
          <w:rFonts w:ascii="楷体_GB2312" w:hAnsi="楷体_GB2312" w:eastAsia="楷体_GB2312"/>
          <w:color w:val="auto"/>
          <w:sz w:val="28"/>
        </w:rPr>
        <w:t xml:space="preserve">                     年       月   日</w:t>
      </w:r>
    </w:p>
    <w:p w14:paraId="174F0998">
      <w:pPr>
        <w:pStyle w:val="25"/>
        <w:spacing w:line="500" w:lineRule="atLeast"/>
        <w:rPr>
          <w:rFonts w:hint="default" w:ascii="楷体_GB2312" w:hAnsi="楷体_GB2312" w:eastAsia="楷体_GB2312"/>
          <w:color w:val="auto"/>
          <w:sz w:val="28"/>
        </w:rPr>
      </w:pPr>
      <w:r>
        <w:rPr>
          <w:rFonts w:ascii="楷体_GB2312" w:hAnsi="楷体_GB2312" w:eastAsia="楷体_GB2312"/>
          <w:color w:val="auto"/>
          <w:sz w:val="28"/>
        </w:rPr>
        <w:t>附件：</w:t>
      </w:r>
    </w:p>
    <w:p w14:paraId="5B560974">
      <w:pPr>
        <w:pStyle w:val="25"/>
        <w:spacing w:line="500" w:lineRule="atLeast"/>
        <w:ind w:firstLine="560"/>
        <w:rPr>
          <w:rFonts w:hint="default" w:ascii="楷体_GB2312" w:hAnsi="楷体_GB2312" w:eastAsia="楷体_GB2312"/>
          <w:color w:val="auto"/>
          <w:sz w:val="28"/>
        </w:rPr>
      </w:pPr>
      <w:r>
        <w:rPr>
          <w:rFonts w:ascii="楷体_GB2312" w:hAnsi="楷体_GB2312" w:eastAsia="楷体_GB2312"/>
          <w:color w:val="auto"/>
          <w:sz w:val="28"/>
        </w:rPr>
        <w:t>1、乙方单位《营业执照》及授权代表人身份证复印件；</w:t>
      </w:r>
    </w:p>
    <w:p w14:paraId="4DFDF66D">
      <w:pPr>
        <w:pStyle w:val="25"/>
        <w:spacing w:line="500" w:lineRule="atLeast"/>
        <w:ind w:firstLine="560"/>
        <w:rPr>
          <w:rFonts w:hint="default" w:ascii="楷体_GB2312" w:hAnsi="楷体_GB2312" w:eastAsia="楷体_GB2312"/>
          <w:color w:val="auto"/>
          <w:sz w:val="28"/>
        </w:rPr>
      </w:pPr>
      <w:r>
        <w:rPr>
          <w:rFonts w:ascii="楷体_GB2312" w:hAnsi="楷体_GB2312" w:eastAsia="楷体_GB2312"/>
          <w:color w:val="auto"/>
          <w:sz w:val="28"/>
        </w:rPr>
        <w:t>2、乙方委托代理人身份证复印件；</w:t>
      </w:r>
    </w:p>
    <w:p w14:paraId="2B21355D">
      <w:pPr>
        <w:pStyle w:val="25"/>
        <w:spacing w:line="500" w:lineRule="atLeast"/>
        <w:ind w:firstLine="560"/>
        <w:rPr>
          <w:rFonts w:hint="default" w:ascii="楷体_GB2312" w:hAnsi="楷体_GB2312" w:eastAsia="楷体_GB2312"/>
          <w:color w:val="auto"/>
          <w:sz w:val="28"/>
        </w:rPr>
      </w:pPr>
      <w:r>
        <w:rPr>
          <w:rFonts w:ascii="楷体_GB2312" w:hAnsi="楷体_GB2312" w:eastAsia="楷体_GB2312"/>
          <w:color w:val="auto"/>
          <w:sz w:val="28"/>
        </w:rPr>
        <w:t>3、《招标情况说明》。</w:t>
      </w:r>
    </w:p>
    <w:p w14:paraId="2962031D">
      <w:pPr>
        <w:pStyle w:val="25"/>
        <w:spacing w:line="500" w:lineRule="atLeast"/>
        <w:ind w:firstLine="560"/>
        <w:rPr>
          <w:color w:val="auto"/>
        </w:rPr>
      </w:pPr>
      <w:r>
        <w:rPr>
          <w:rFonts w:ascii="楷体_GB2312" w:hAnsi="楷体_GB2312" w:eastAsia="楷体_GB2312"/>
          <w:color w:val="auto"/>
          <w:sz w:val="28"/>
        </w:rPr>
        <w:t>4、详见下列附件，下列附件作为合同的组成部分。</w:t>
      </w:r>
    </w:p>
    <w:p w14:paraId="07910A51">
      <w:pPr>
        <w:jc w:val="center"/>
        <w:rPr>
          <w:rFonts w:hint="eastAsia" w:ascii="黑体" w:eastAsia="黑体"/>
          <w:b/>
          <w:color w:val="auto"/>
          <w:sz w:val="32"/>
          <w:szCs w:val="32"/>
        </w:rPr>
      </w:pPr>
    </w:p>
    <w:p w14:paraId="475CE675">
      <w:pPr>
        <w:jc w:val="both"/>
        <w:rPr>
          <w:rFonts w:hint="eastAsia" w:ascii="黑体" w:eastAsia="黑体"/>
          <w:b/>
          <w:color w:val="auto"/>
          <w:sz w:val="32"/>
          <w:szCs w:val="32"/>
        </w:rPr>
      </w:pPr>
    </w:p>
    <w:p w14:paraId="383D1E4B">
      <w:pPr>
        <w:jc w:val="center"/>
        <w:rPr>
          <w:rFonts w:ascii="黑体" w:eastAsia="黑体"/>
          <w:b/>
          <w:color w:val="auto"/>
          <w:sz w:val="32"/>
          <w:szCs w:val="32"/>
        </w:rPr>
      </w:pPr>
      <w:r>
        <w:rPr>
          <w:rFonts w:hint="eastAsia" w:ascii="黑体" w:eastAsia="黑体"/>
          <w:b/>
          <w:color w:val="auto"/>
          <w:sz w:val="32"/>
          <w:szCs w:val="32"/>
        </w:rPr>
        <w:t>滁州</w:t>
      </w:r>
      <w:r>
        <w:rPr>
          <w:rFonts w:hint="eastAsia" w:ascii="黑体" w:eastAsia="黑体"/>
          <w:b/>
          <w:color w:val="auto"/>
          <w:sz w:val="32"/>
          <w:szCs w:val="32"/>
          <w:lang w:eastAsia="zh-CN"/>
        </w:rPr>
        <w:t>工投南谯毗邻区科技产业园</w:t>
      </w:r>
      <w:r>
        <w:rPr>
          <w:rFonts w:hint="eastAsia" w:ascii="黑体" w:eastAsia="黑体"/>
          <w:b/>
          <w:color w:val="auto"/>
          <w:sz w:val="32"/>
          <w:szCs w:val="32"/>
        </w:rPr>
        <w:t>食堂考核实施细则</w:t>
      </w:r>
    </w:p>
    <w:p w14:paraId="6561EA8E">
      <w:pPr>
        <w:spacing w:line="360" w:lineRule="auto"/>
        <w:rPr>
          <w:b/>
          <w:color w:val="auto"/>
          <w:sz w:val="24"/>
        </w:rPr>
      </w:pPr>
      <w:r>
        <w:rPr>
          <w:rFonts w:hint="eastAsia"/>
          <w:b/>
          <w:color w:val="auto"/>
          <w:sz w:val="24"/>
        </w:rPr>
        <w:t>一、考核目的</w:t>
      </w:r>
    </w:p>
    <w:p w14:paraId="6EA758B8">
      <w:pPr>
        <w:numPr>
          <w:ilvl w:val="0"/>
          <w:numId w:val="1"/>
        </w:numPr>
        <w:spacing w:line="360" w:lineRule="auto"/>
        <w:rPr>
          <w:color w:val="auto"/>
          <w:sz w:val="24"/>
        </w:rPr>
      </w:pPr>
      <w:r>
        <w:rPr>
          <w:rFonts w:hint="eastAsia"/>
          <w:color w:val="auto"/>
          <w:sz w:val="24"/>
        </w:rPr>
        <w:t>加强对滁州</w:t>
      </w:r>
      <w:r>
        <w:rPr>
          <w:rFonts w:hint="eastAsia"/>
          <w:color w:val="auto"/>
          <w:sz w:val="24"/>
          <w:lang w:eastAsia="zh-CN"/>
        </w:rPr>
        <w:t>工投南谯毗邻区科技产业园</w:t>
      </w:r>
      <w:r>
        <w:rPr>
          <w:rFonts w:hint="eastAsia"/>
          <w:color w:val="auto"/>
          <w:sz w:val="24"/>
        </w:rPr>
        <w:t>食堂的规范化、制度化、标准化管理；</w:t>
      </w:r>
    </w:p>
    <w:p w14:paraId="078DF92C">
      <w:pPr>
        <w:numPr>
          <w:ilvl w:val="0"/>
          <w:numId w:val="1"/>
        </w:numPr>
        <w:spacing w:line="360" w:lineRule="auto"/>
        <w:rPr>
          <w:color w:val="auto"/>
          <w:sz w:val="24"/>
        </w:rPr>
      </w:pPr>
      <w:r>
        <w:rPr>
          <w:rFonts w:hint="eastAsia"/>
          <w:color w:val="auto"/>
          <w:sz w:val="24"/>
        </w:rPr>
        <w:t>提升滁州</w:t>
      </w:r>
      <w:r>
        <w:rPr>
          <w:rFonts w:hint="eastAsia"/>
          <w:color w:val="auto"/>
          <w:sz w:val="24"/>
          <w:lang w:eastAsia="zh-CN"/>
        </w:rPr>
        <w:t>工投南谯毗邻区科技产业园</w:t>
      </w:r>
      <w:r>
        <w:rPr>
          <w:rFonts w:hint="eastAsia"/>
          <w:color w:val="auto"/>
          <w:sz w:val="24"/>
        </w:rPr>
        <w:t>食堂的形象、不断满足市场需求，提高顾客满意度；</w:t>
      </w:r>
    </w:p>
    <w:p w14:paraId="3B2707AE">
      <w:pPr>
        <w:spacing w:line="360" w:lineRule="auto"/>
        <w:rPr>
          <w:b/>
          <w:color w:val="auto"/>
          <w:sz w:val="24"/>
        </w:rPr>
      </w:pPr>
      <w:r>
        <w:rPr>
          <w:rFonts w:hint="eastAsia"/>
          <w:b/>
          <w:color w:val="auto"/>
          <w:sz w:val="24"/>
        </w:rPr>
        <w:t>二、考核对象</w:t>
      </w:r>
    </w:p>
    <w:p w14:paraId="62856B18">
      <w:pPr>
        <w:spacing w:line="360" w:lineRule="auto"/>
        <w:ind w:firstLine="480" w:firstLineChars="200"/>
        <w:rPr>
          <w:color w:val="auto"/>
          <w:sz w:val="24"/>
        </w:rPr>
      </w:pPr>
      <w:r>
        <w:rPr>
          <w:rFonts w:hint="eastAsia"/>
          <w:color w:val="auto"/>
          <w:sz w:val="24"/>
        </w:rPr>
        <w:t>滁州</w:t>
      </w:r>
      <w:r>
        <w:rPr>
          <w:rFonts w:hint="eastAsia"/>
          <w:color w:val="auto"/>
          <w:sz w:val="24"/>
          <w:lang w:eastAsia="zh-CN"/>
        </w:rPr>
        <w:t>工投南谯毗邻区科技产业园</w:t>
      </w:r>
      <w:r>
        <w:rPr>
          <w:rFonts w:hint="eastAsia"/>
          <w:color w:val="auto"/>
          <w:sz w:val="24"/>
        </w:rPr>
        <w:t>食堂中标人</w:t>
      </w:r>
    </w:p>
    <w:p w14:paraId="27D2A6D0">
      <w:pPr>
        <w:tabs>
          <w:tab w:val="right" w:pos="8306"/>
        </w:tabs>
        <w:spacing w:line="360" w:lineRule="auto"/>
        <w:rPr>
          <w:b/>
          <w:color w:val="auto"/>
          <w:sz w:val="24"/>
        </w:rPr>
      </w:pPr>
      <w:r>
        <w:rPr>
          <w:rFonts w:hint="eastAsia"/>
          <w:b/>
          <w:color w:val="auto"/>
          <w:sz w:val="24"/>
        </w:rPr>
        <w:t>三、考核标准</w:t>
      </w:r>
      <w:r>
        <w:rPr>
          <w:b/>
          <w:color w:val="auto"/>
          <w:sz w:val="24"/>
        </w:rPr>
        <w:tab/>
      </w:r>
    </w:p>
    <w:p w14:paraId="457BE796">
      <w:pPr>
        <w:spacing w:line="360" w:lineRule="auto"/>
        <w:rPr>
          <w:b/>
          <w:color w:val="auto"/>
          <w:sz w:val="24"/>
        </w:rPr>
      </w:pPr>
      <w:r>
        <w:rPr>
          <w:rFonts w:hint="eastAsia"/>
          <w:b/>
          <w:color w:val="auto"/>
          <w:sz w:val="24"/>
        </w:rPr>
        <w:t>（一）一般违规扣分标准</w:t>
      </w:r>
    </w:p>
    <w:tbl>
      <w:tblPr>
        <w:tblStyle w:val="10"/>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5096"/>
        <w:gridCol w:w="1620"/>
        <w:gridCol w:w="1744"/>
      </w:tblGrid>
      <w:tr w14:paraId="37AA4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828" w:type="dxa"/>
            <w:noWrap/>
          </w:tcPr>
          <w:p w14:paraId="1AA1D17C">
            <w:pPr>
              <w:jc w:val="center"/>
              <w:rPr>
                <w:b/>
                <w:color w:val="auto"/>
                <w:sz w:val="28"/>
                <w:szCs w:val="28"/>
              </w:rPr>
            </w:pPr>
            <w:r>
              <w:rPr>
                <w:rFonts w:hint="eastAsia"/>
                <w:b/>
                <w:color w:val="auto"/>
                <w:sz w:val="28"/>
                <w:szCs w:val="28"/>
              </w:rPr>
              <w:t>序号</w:t>
            </w:r>
          </w:p>
        </w:tc>
        <w:tc>
          <w:tcPr>
            <w:tcW w:w="5096" w:type="dxa"/>
            <w:noWrap/>
          </w:tcPr>
          <w:p w14:paraId="7C09B045">
            <w:pPr>
              <w:jc w:val="center"/>
              <w:rPr>
                <w:b/>
                <w:color w:val="auto"/>
                <w:sz w:val="28"/>
                <w:szCs w:val="28"/>
              </w:rPr>
            </w:pPr>
            <w:r>
              <w:rPr>
                <w:rFonts w:hint="eastAsia"/>
                <w:b/>
                <w:color w:val="auto"/>
                <w:sz w:val="28"/>
                <w:szCs w:val="28"/>
              </w:rPr>
              <w:t>违规扣分内容</w:t>
            </w:r>
          </w:p>
        </w:tc>
        <w:tc>
          <w:tcPr>
            <w:tcW w:w="1620" w:type="dxa"/>
            <w:noWrap/>
          </w:tcPr>
          <w:p w14:paraId="2F059244">
            <w:pPr>
              <w:jc w:val="center"/>
              <w:rPr>
                <w:b/>
                <w:color w:val="auto"/>
                <w:sz w:val="28"/>
                <w:szCs w:val="28"/>
              </w:rPr>
            </w:pPr>
            <w:r>
              <w:rPr>
                <w:rFonts w:hint="eastAsia"/>
                <w:b/>
                <w:color w:val="auto"/>
                <w:sz w:val="28"/>
                <w:szCs w:val="28"/>
              </w:rPr>
              <w:t>扣分标准</w:t>
            </w:r>
          </w:p>
        </w:tc>
        <w:tc>
          <w:tcPr>
            <w:tcW w:w="1744" w:type="dxa"/>
            <w:noWrap/>
          </w:tcPr>
          <w:p w14:paraId="797D041B">
            <w:pPr>
              <w:jc w:val="center"/>
              <w:rPr>
                <w:b/>
                <w:color w:val="auto"/>
                <w:sz w:val="28"/>
                <w:szCs w:val="28"/>
              </w:rPr>
            </w:pPr>
            <w:r>
              <w:rPr>
                <w:rFonts w:hint="eastAsia"/>
                <w:b/>
                <w:color w:val="auto"/>
                <w:sz w:val="28"/>
                <w:szCs w:val="28"/>
              </w:rPr>
              <w:t>备注</w:t>
            </w:r>
          </w:p>
        </w:tc>
      </w:tr>
      <w:tr w14:paraId="1265B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28" w:type="dxa"/>
            <w:noWrap/>
            <w:vAlign w:val="center"/>
          </w:tcPr>
          <w:p w14:paraId="0C0CA60F">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5096" w:type="dxa"/>
            <w:noWrap/>
            <w:vAlign w:val="center"/>
          </w:tcPr>
          <w:p w14:paraId="0F16623F">
            <w:pPr>
              <w:widowControl/>
              <w:rPr>
                <w:rFonts w:ascii="宋体" w:hAnsi="宋体" w:cs="宋体"/>
                <w:color w:val="auto"/>
                <w:kern w:val="0"/>
                <w:szCs w:val="21"/>
              </w:rPr>
            </w:pPr>
            <w:r>
              <w:rPr>
                <w:rFonts w:hint="eastAsia" w:ascii="宋体" w:hAnsi="宋体" w:cs="宋体"/>
                <w:color w:val="auto"/>
                <w:kern w:val="0"/>
                <w:szCs w:val="21"/>
              </w:rPr>
              <w:t>证照不全、证照不在有效期内或擅自更改，没按规定亮证经营（营业执照、卫生许可证、税务登记证、健康证、肉类、家禽检疫证、豆制品合格证等）。</w:t>
            </w:r>
          </w:p>
        </w:tc>
        <w:tc>
          <w:tcPr>
            <w:tcW w:w="1620" w:type="dxa"/>
            <w:noWrap/>
            <w:vAlign w:val="center"/>
          </w:tcPr>
          <w:p w14:paraId="1A769538">
            <w:pPr>
              <w:widowControl/>
              <w:jc w:val="center"/>
              <w:rPr>
                <w:rFonts w:ascii="宋体" w:hAnsi="宋体" w:cs="宋体"/>
                <w:b/>
                <w:color w:val="auto"/>
                <w:kern w:val="0"/>
                <w:szCs w:val="21"/>
              </w:rPr>
            </w:pPr>
            <w:r>
              <w:rPr>
                <w:rFonts w:hint="eastAsia" w:ascii="宋体" w:hAnsi="宋体" w:cs="宋体"/>
                <w:b/>
                <w:color w:val="auto"/>
                <w:kern w:val="0"/>
                <w:szCs w:val="21"/>
              </w:rPr>
              <w:t>5</w:t>
            </w:r>
          </w:p>
        </w:tc>
        <w:tc>
          <w:tcPr>
            <w:tcW w:w="1744" w:type="dxa"/>
            <w:noWrap/>
            <w:vAlign w:val="center"/>
          </w:tcPr>
          <w:p w14:paraId="53FAEF34">
            <w:pPr>
              <w:widowControl/>
              <w:jc w:val="center"/>
              <w:rPr>
                <w:rFonts w:ascii="宋体" w:hAnsi="宋体" w:cs="宋体"/>
                <w:color w:val="auto"/>
                <w:kern w:val="0"/>
                <w:szCs w:val="21"/>
              </w:rPr>
            </w:pPr>
            <w:r>
              <w:rPr>
                <w:rFonts w:hint="eastAsia" w:ascii="宋体" w:hAnsi="宋体" w:cs="宋体"/>
                <w:color w:val="auto"/>
                <w:kern w:val="0"/>
                <w:szCs w:val="21"/>
              </w:rPr>
              <w:t>过期3天以上</w:t>
            </w:r>
          </w:p>
        </w:tc>
      </w:tr>
      <w:tr w14:paraId="68E72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28" w:type="dxa"/>
            <w:noWrap/>
            <w:vAlign w:val="center"/>
          </w:tcPr>
          <w:p w14:paraId="5C2F8800">
            <w:pPr>
              <w:widowControl/>
              <w:jc w:val="center"/>
              <w:rPr>
                <w:rFonts w:ascii="宋体" w:hAnsi="宋体" w:cs="宋体"/>
                <w:color w:val="auto"/>
                <w:kern w:val="0"/>
                <w:szCs w:val="21"/>
              </w:rPr>
            </w:pPr>
            <w:r>
              <w:rPr>
                <w:rFonts w:hint="eastAsia" w:ascii="宋体" w:hAnsi="宋体" w:cs="宋体"/>
                <w:color w:val="auto"/>
                <w:kern w:val="0"/>
                <w:szCs w:val="21"/>
              </w:rPr>
              <w:t>2</w:t>
            </w:r>
          </w:p>
        </w:tc>
        <w:tc>
          <w:tcPr>
            <w:tcW w:w="5096" w:type="dxa"/>
            <w:noWrap/>
            <w:vAlign w:val="center"/>
          </w:tcPr>
          <w:p w14:paraId="3B5ADF26">
            <w:pPr>
              <w:widowControl/>
              <w:rPr>
                <w:rFonts w:ascii="宋体" w:hAnsi="宋体" w:cs="宋体"/>
                <w:color w:val="auto"/>
                <w:kern w:val="0"/>
                <w:szCs w:val="21"/>
              </w:rPr>
            </w:pPr>
            <w:r>
              <w:rPr>
                <w:rFonts w:hint="eastAsia" w:ascii="宋体" w:hAnsi="宋体" w:cs="宋体"/>
                <w:color w:val="auto"/>
                <w:kern w:val="0"/>
                <w:szCs w:val="21"/>
              </w:rPr>
              <w:t>营业时间衣冠不整。</w:t>
            </w:r>
          </w:p>
        </w:tc>
        <w:tc>
          <w:tcPr>
            <w:tcW w:w="1620" w:type="dxa"/>
            <w:noWrap/>
            <w:vAlign w:val="center"/>
          </w:tcPr>
          <w:p w14:paraId="373EF393">
            <w:pPr>
              <w:widowControl/>
              <w:jc w:val="center"/>
              <w:rPr>
                <w:rFonts w:ascii="宋体" w:hAnsi="宋体" w:cs="宋体"/>
                <w:b/>
                <w:color w:val="auto"/>
                <w:kern w:val="0"/>
                <w:szCs w:val="21"/>
              </w:rPr>
            </w:pPr>
            <w:r>
              <w:rPr>
                <w:rFonts w:hint="eastAsia" w:ascii="宋体" w:hAnsi="宋体" w:cs="宋体"/>
                <w:b/>
                <w:color w:val="auto"/>
                <w:kern w:val="0"/>
                <w:szCs w:val="21"/>
              </w:rPr>
              <w:t>1</w:t>
            </w:r>
          </w:p>
        </w:tc>
        <w:tc>
          <w:tcPr>
            <w:tcW w:w="1744" w:type="dxa"/>
            <w:noWrap/>
            <w:vAlign w:val="center"/>
          </w:tcPr>
          <w:p w14:paraId="18DA29D2">
            <w:pPr>
              <w:widowControl/>
              <w:jc w:val="center"/>
              <w:rPr>
                <w:rFonts w:ascii="宋体" w:hAnsi="宋体" w:cs="宋体"/>
                <w:color w:val="auto"/>
                <w:kern w:val="0"/>
                <w:szCs w:val="21"/>
              </w:rPr>
            </w:pPr>
          </w:p>
        </w:tc>
      </w:tr>
      <w:tr w14:paraId="4387E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28" w:type="dxa"/>
            <w:noWrap/>
            <w:vAlign w:val="center"/>
          </w:tcPr>
          <w:p w14:paraId="4A80AC27">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5096" w:type="dxa"/>
            <w:noWrap/>
            <w:vAlign w:val="center"/>
          </w:tcPr>
          <w:p w14:paraId="2B4A0814">
            <w:pPr>
              <w:widowControl/>
              <w:rPr>
                <w:rFonts w:ascii="宋体" w:hAnsi="宋体" w:cs="宋体"/>
                <w:color w:val="auto"/>
                <w:kern w:val="0"/>
                <w:szCs w:val="21"/>
              </w:rPr>
            </w:pPr>
            <w:r>
              <w:rPr>
                <w:rFonts w:hint="eastAsia" w:ascii="宋体" w:hAnsi="宋体" w:cs="宋体"/>
                <w:color w:val="auto"/>
                <w:kern w:val="0"/>
                <w:szCs w:val="21"/>
              </w:rPr>
              <w:t>营业时间在公共通道堆物、放车、配菜或作业。</w:t>
            </w:r>
          </w:p>
        </w:tc>
        <w:tc>
          <w:tcPr>
            <w:tcW w:w="1620" w:type="dxa"/>
            <w:noWrap/>
            <w:vAlign w:val="center"/>
          </w:tcPr>
          <w:p w14:paraId="7D2F30A0">
            <w:pPr>
              <w:widowControl/>
              <w:jc w:val="center"/>
              <w:rPr>
                <w:rFonts w:ascii="宋体" w:hAnsi="宋体" w:cs="宋体"/>
                <w:b/>
                <w:color w:val="auto"/>
                <w:kern w:val="0"/>
                <w:szCs w:val="21"/>
              </w:rPr>
            </w:pPr>
            <w:r>
              <w:rPr>
                <w:rFonts w:hint="eastAsia" w:ascii="宋体" w:hAnsi="宋体" w:cs="宋体"/>
                <w:b/>
                <w:color w:val="auto"/>
                <w:kern w:val="0"/>
                <w:szCs w:val="21"/>
              </w:rPr>
              <w:t>2</w:t>
            </w:r>
          </w:p>
        </w:tc>
        <w:tc>
          <w:tcPr>
            <w:tcW w:w="1744" w:type="dxa"/>
            <w:noWrap/>
            <w:vAlign w:val="center"/>
          </w:tcPr>
          <w:p w14:paraId="1CE9263A">
            <w:pPr>
              <w:widowControl/>
              <w:jc w:val="center"/>
              <w:rPr>
                <w:rFonts w:ascii="宋体" w:hAnsi="宋体" w:cs="宋体"/>
                <w:color w:val="auto"/>
                <w:kern w:val="0"/>
                <w:szCs w:val="21"/>
              </w:rPr>
            </w:pPr>
          </w:p>
        </w:tc>
      </w:tr>
      <w:tr w14:paraId="284D2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28" w:type="dxa"/>
            <w:noWrap/>
            <w:vAlign w:val="center"/>
          </w:tcPr>
          <w:p w14:paraId="5F43217C">
            <w:pPr>
              <w:widowControl/>
              <w:jc w:val="center"/>
              <w:rPr>
                <w:rFonts w:ascii="宋体" w:hAnsi="宋体" w:cs="宋体"/>
                <w:color w:val="auto"/>
                <w:kern w:val="0"/>
                <w:szCs w:val="21"/>
              </w:rPr>
            </w:pPr>
            <w:r>
              <w:rPr>
                <w:rFonts w:hint="eastAsia" w:ascii="宋体" w:hAnsi="宋体" w:cs="宋体"/>
                <w:color w:val="auto"/>
                <w:kern w:val="0"/>
                <w:szCs w:val="21"/>
              </w:rPr>
              <w:t>4</w:t>
            </w:r>
          </w:p>
        </w:tc>
        <w:tc>
          <w:tcPr>
            <w:tcW w:w="5096" w:type="dxa"/>
            <w:noWrap/>
            <w:vAlign w:val="center"/>
          </w:tcPr>
          <w:p w14:paraId="57E8344A">
            <w:pPr>
              <w:widowControl/>
              <w:rPr>
                <w:rFonts w:ascii="宋体" w:hAnsi="宋体" w:cs="宋体"/>
                <w:color w:val="auto"/>
                <w:kern w:val="0"/>
                <w:szCs w:val="21"/>
              </w:rPr>
            </w:pPr>
            <w:r>
              <w:rPr>
                <w:rFonts w:hint="eastAsia" w:ascii="宋体" w:hAnsi="宋体" w:cs="宋体"/>
                <w:color w:val="auto"/>
                <w:kern w:val="0"/>
                <w:szCs w:val="21"/>
              </w:rPr>
              <w:t>食堂区域内部脏乱差。</w:t>
            </w:r>
          </w:p>
        </w:tc>
        <w:tc>
          <w:tcPr>
            <w:tcW w:w="1620" w:type="dxa"/>
            <w:noWrap/>
            <w:vAlign w:val="center"/>
          </w:tcPr>
          <w:p w14:paraId="667F56F3">
            <w:pPr>
              <w:widowControl/>
              <w:jc w:val="center"/>
              <w:rPr>
                <w:rFonts w:ascii="宋体" w:hAnsi="宋体" w:cs="宋体"/>
                <w:b/>
                <w:color w:val="auto"/>
                <w:kern w:val="0"/>
                <w:szCs w:val="21"/>
              </w:rPr>
            </w:pPr>
            <w:r>
              <w:rPr>
                <w:rFonts w:hint="eastAsia" w:ascii="宋体" w:hAnsi="宋体" w:cs="宋体"/>
                <w:b/>
                <w:color w:val="auto"/>
                <w:kern w:val="0"/>
                <w:szCs w:val="21"/>
              </w:rPr>
              <w:t>1</w:t>
            </w:r>
          </w:p>
        </w:tc>
        <w:tc>
          <w:tcPr>
            <w:tcW w:w="1744" w:type="dxa"/>
            <w:noWrap/>
            <w:vAlign w:val="center"/>
          </w:tcPr>
          <w:p w14:paraId="0D8E3326">
            <w:pPr>
              <w:widowControl/>
              <w:jc w:val="center"/>
              <w:rPr>
                <w:rFonts w:ascii="宋体" w:hAnsi="宋体" w:cs="宋体"/>
                <w:color w:val="auto"/>
                <w:kern w:val="0"/>
                <w:szCs w:val="21"/>
              </w:rPr>
            </w:pPr>
          </w:p>
        </w:tc>
      </w:tr>
      <w:tr w14:paraId="356D7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28" w:type="dxa"/>
            <w:noWrap/>
            <w:vAlign w:val="center"/>
          </w:tcPr>
          <w:p w14:paraId="48C475D3">
            <w:pPr>
              <w:widowControl/>
              <w:jc w:val="center"/>
              <w:rPr>
                <w:rFonts w:ascii="宋体" w:hAnsi="宋体" w:cs="宋体"/>
                <w:color w:val="auto"/>
                <w:kern w:val="0"/>
                <w:szCs w:val="21"/>
              </w:rPr>
            </w:pPr>
            <w:r>
              <w:rPr>
                <w:rFonts w:hint="eastAsia" w:ascii="宋体" w:hAnsi="宋体" w:cs="宋体"/>
                <w:color w:val="auto"/>
                <w:kern w:val="0"/>
                <w:szCs w:val="21"/>
              </w:rPr>
              <w:t>5</w:t>
            </w:r>
          </w:p>
        </w:tc>
        <w:tc>
          <w:tcPr>
            <w:tcW w:w="5096" w:type="dxa"/>
            <w:noWrap/>
            <w:vAlign w:val="center"/>
          </w:tcPr>
          <w:p w14:paraId="43325D5B">
            <w:pPr>
              <w:widowControl/>
              <w:rPr>
                <w:rFonts w:ascii="宋体" w:hAnsi="宋体" w:cs="宋体"/>
                <w:color w:val="auto"/>
                <w:kern w:val="0"/>
                <w:szCs w:val="21"/>
              </w:rPr>
            </w:pPr>
            <w:r>
              <w:rPr>
                <w:rFonts w:hint="eastAsia" w:ascii="宋体" w:hAnsi="宋体" w:cs="宋体"/>
                <w:color w:val="auto"/>
                <w:kern w:val="0"/>
                <w:szCs w:val="21"/>
              </w:rPr>
              <w:t>不按规定做好店内灭蝇、灭鼠、灭虫工作。店内无防蝇、防虫、防尘设施。</w:t>
            </w:r>
          </w:p>
        </w:tc>
        <w:tc>
          <w:tcPr>
            <w:tcW w:w="1620" w:type="dxa"/>
            <w:noWrap/>
            <w:vAlign w:val="center"/>
          </w:tcPr>
          <w:p w14:paraId="07326AD2">
            <w:pPr>
              <w:widowControl/>
              <w:jc w:val="center"/>
              <w:rPr>
                <w:rFonts w:ascii="宋体" w:hAnsi="宋体" w:cs="宋体"/>
                <w:b/>
                <w:color w:val="auto"/>
                <w:kern w:val="0"/>
                <w:szCs w:val="21"/>
              </w:rPr>
            </w:pPr>
            <w:r>
              <w:rPr>
                <w:rFonts w:hint="eastAsia" w:ascii="宋体" w:hAnsi="宋体" w:cs="宋体"/>
                <w:b/>
                <w:color w:val="auto"/>
                <w:kern w:val="0"/>
                <w:szCs w:val="21"/>
              </w:rPr>
              <w:t>5</w:t>
            </w:r>
          </w:p>
        </w:tc>
        <w:tc>
          <w:tcPr>
            <w:tcW w:w="1744" w:type="dxa"/>
            <w:noWrap/>
            <w:vAlign w:val="center"/>
          </w:tcPr>
          <w:p w14:paraId="1EDA6FE8">
            <w:pPr>
              <w:widowControl/>
              <w:jc w:val="center"/>
              <w:rPr>
                <w:rFonts w:ascii="宋体" w:hAnsi="宋体" w:cs="宋体"/>
                <w:color w:val="auto"/>
                <w:kern w:val="0"/>
                <w:szCs w:val="21"/>
              </w:rPr>
            </w:pPr>
          </w:p>
        </w:tc>
      </w:tr>
      <w:tr w14:paraId="4F0F3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28" w:type="dxa"/>
            <w:noWrap/>
            <w:vAlign w:val="center"/>
          </w:tcPr>
          <w:p w14:paraId="0943745C">
            <w:pPr>
              <w:widowControl/>
              <w:jc w:val="center"/>
              <w:rPr>
                <w:rFonts w:ascii="宋体" w:hAnsi="宋体" w:cs="宋体"/>
                <w:color w:val="auto"/>
                <w:kern w:val="0"/>
                <w:szCs w:val="21"/>
              </w:rPr>
            </w:pPr>
            <w:r>
              <w:rPr>
                <w:rFonts w:hint="eastAsia" w:ascii="宋体" w:hAnsi="宋体" w:cs="宋体"/>
                <w:color w:val="auto"/>
                <w:kern w:val="0"/>
                <w:szCs w:val="21"/>
              </w:rPr>
              <w:t>6</w:t>
            </w:r>
          </w:p>
        </w:tc>
        <w:tc>
          <w:tcPr>
            <w:tcW w:w="5096" w:type="dxa"/>
            <w:noWrap/>
            <w:vAlign w:val="center"/>
          </w:tcPr>
          <w:p w14:paraId="6542F3FB">
            <w:pPr>
              <w:widowControl/>
              <w:rPr>
                <w:rFonts w:ascii="宋体" w:hAnsi="宋体" w:cs="宋体"/>
                <w:color w:val="auto"/>
                <w:kern w:val="0"/>
                <w:szCs w:val="21"/>
              </w:rPr>
            </w:pPr>
            <w:r>
              <w:rPr>
                <w:rFonts w:hint="eastAsia" w:ascii="宋体" w:hAnsi="宋体" w:cs="宋体"/>
                <w:color w:val="auto"/>
                <w:kern w:val="0"/>
                <w:szCs w:val="21"/>
              </w:rPr>
              <w:t>创建资料不全或不符合要求（索证材料、进货台账、进货凭证等）。</w:t>
            </w:r>
          </w:p>
        </w:tc>
        <w:tc>
          <w:tcPr>
            <w:tcW w:w="1620" w:type="dxa"/>
            <w:noWrap/>
            <w:vAlign w:val="center"/>
          </w:tcPr>
          <w:p w14:paraId="71A26894">
            <w:pPr>
              <w:widowControl/>
              <w:jc w:val="center"/>
              <w:rPr>
                <w:rFonts w:ascii="宋体" w:hAnsi="宋体" w:cs="宋体"/>
                <w:b/>
                <w:color w:val="auto"/>
                <w:kern w:val="0"/>
                <w:szCs w:val="21"/>
              </w:rPr>
            </w:pPr>
            <w:r>
              <w:rPr>
                <w:rFonts w:hint="eastAsia" w:ascii="宋体" w:hAnsi="宋体" w:cs="宋体"/>
                <w:b/>
                <w:color w:val="auto"/>
                <w:kern w:val="0"/>
                <w:szCs w:val="21"/>
              </w:rPr>
              <w:t>1</w:t>
            </w:r>
          </w:p>
        </w:tc>
        <w:tc>
          <w:tcPr>
            <w:tcW w:w="1744" w:type="dxa"/>
            <w:noWrap/>
            <w:vAlign w:val="center"/>
          </w:tcPr>
          <w:p w14:paraId="40A288E5">
            <w:pPr>
              <w:widowControl/>
              <w:jc w:val="center"/>
              <w:rPr>
                <w:rFonts w:ascii="宋体" w:hAnsi="宋体" w:cs="宋体"/>
                <w:color w:val="auto"/>
                <w:kern w:val="0"/>
                <w:szCs w:val="21"/>
              </w:rPr>
            </w:pPr>
          </w:p>
        </w:tc>
      </w:tr>
      <w:tr w14:paraId="15264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28" w:type="dxa"/>
            <w:noWrap/>
            <w:vAlign w:val="center"/>
          </w:tcPr>
          <w:p w14:paraId="17409457">
            <w:pPr>
              <w:widowControl/>
              <w:jc w:val="center"/>
              <w:rPr>
                <w:rFonts w:ascii="宋体" w:hAnsi="宋体" w:cs="宋体"/>
                <w:color w:val="auto"/>
                <w:kern w:val="0"/>
                <w:szCs w:val="21"/>
              </w:rPr>
            </w:pPr>
            <w:r>
              <w:rPr>
                <w:rFonts w:hint="eastAsia" w:ascii="宋体" w:hAnsi="宋体" w:cs="宋体"/>
                <w:color w:val="auto"/>
                <w:kern w:val="0"/>
                <w:szCs w:val="21"/>
              </w:rPr>
              <w:t>7</w:t>
            </w:r>
          </w:p>
        </w:tc>
        <w:tc>
          <w:tcPr>
            <w:tcW w:w="5096" w:type="dxa"/>
            <w:noWrap/>
            <w:vAlign w:val="center"/>
          </w:tcPr>
          <w:p w14:paraId="15EC427B">
            <w:pPr>
              <w:widowControl/>
              <w:rPr>
                <w:rFonts w:ascii="宋体" w:hAnsi="宋体" w:cs="宋体"/>
                <w:color w:val="auto"/>
                <w:kern w:val="0"/>
                <w:szCs w:val="21"/>
              </w:rPr>
            </w:pPr>
            <w:r>
              <w:rPr>
                <w:rFonts w:hint="eastAsia" w:ascii="宋体" w:hAnsi="宋体" w:cs="宋体"/>
                <w:color w:val="auto"/>
                <w:kern w:val="0"/>
                <w:szCs w:val="21"/>
              </w:rPr>
              <w:t>出售食品未标明生产日期和保质期。</w:t>
            </w:r>
          </w:p>
        </w:tc>
        <w:tc>
          <w:tcPr>
            <w:tcW w:w="1620" w:type="dxa"/>
            <w:noWrap/>
            <w:vAlign w:val="center"/>
          </w:tcPr>
          <w:p w14:paraId="2C3103CC">
            <w:pPr>
              <w:widowControl/>
              <w:jc w:val="center"/>
              <w:rPr>
                <w:rFonts w:ascii="宋体" w:hAnsi="宋体" w:cs="宋体"/>
                <w:b/>
                <w:color w:val="auto"/>
                <w:kern w:val="0"/>
                <w:szCs w:val="21"/>
              </w:rPr>
            </w:pPr>
            <w:r>
              <w:rPr>
                <w:rFonts w:hint="eastAsia" w:ascii="宋体" w:hAnsi="宋体" w:cs="宋体"/>
                <w:b/>
                <w:color w:val="auto"/>
                <w:kern w:val="0"/>
                <w:szCs w:val="21"/>
              </w:rPr>
              <w:t>2</w:t>
            </w:r>
          </w:p>
        </w:tc>
        <w:tc>
          <w:tcPr>
            <w:tcW w:w="1744" w:type="dxa"/>
            <w:noWrap/>
            <w:vAlign w:val="center"/>
          </w:tcPr>
          <w:p w14:paraId="2A14B255">
            <w:pPr>
              <w:widowControl/>
              <w:jc w:val="center"/>
              <w:rPr>
                <w:rFonts w:ascii="宋体" w:hAnsi="宋体" w:cs="宋体"/>
                <w:color w:val="auto"/>
                <w:kern w:val="0"/>
                <w:szCs w:val="21"/>
              </w:rPr>
            </w:pPr>
          </w:p>
        </w:tc>
      </w:tr>
      <w:tr w14:paraId="4140F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28" w:type="dxa"/>
            <w:noWrap/>
            <w:vAlign w:val="center"/>
          </w:tcPr>
          <w:p w14:paraId="1F0D592A">
            <w:pPr>
              <w:widowControl/>
              <w:jc w:val="center"/>
              <w:rPr>
                <w:rFonts w:ascii="宋体" w:hAnsi="宋体" w:cs="宋体"/>
                <w:color w:val="auto"/>
                <w:kern w:val="0"/>
                <w:szCs w:val="21"/>
              </w:rPr>
            </w:pPr>
            <w:r>
              <w:rPr>
                <w:rFonts w:hint="eastAsia" w:ascii="宋体" w:hAnsi="宋体" w:cs="宋体"/>
                <w:color w:val="auto"/>
                <w:kern w:val="0"/>
                <w:szCs w:val="21"/>
              </w:rPr>
              <w:t>8</w:t>
            </w:r>
          </w:p>
        </w:tc>
        <w:tc>
          <w:tcPr>
            <w:tcW w:w="5096" w:type="dxa"/>
            <w:noWrap/>
            <w:vAlign w:val="center"/>
          </w:tcPr>
          <w:p w14:paraId="7683A5D6">
            <w:pPr>
              <w:widowControl/>
              <w:rPr>
                <w:rFonts w:ascii="宋体" w:hAnsi="宋体" w:cs="宋体"/>
                <w:color w:val="auto"/>
                <w:kern w:val="0"/>
                <w:szCs w:val="21"/>
              </w:rPr>
            </w:pPr>
            <w:r>
              <w:rPr>
                <w:rFonts w:hint="eastAsia" w:ascii="宋体" w:hAnsi="宋体" w:cs="宋体"/>
                <w:color w:val="auto"/>
                <w:kern w:val="0"/>
                <w:szCs w:val="21"/>
              </w:rPr>
              <w:t>商品或菜品不明码标价或不按标价售货，擅自提价。</w:t>
            </w:r>
          </w:p>
        </w:tc>
        <w:tc>
          <w:tcPr>
            <w:tcW w:w="1620" w:type="dxa"/>
            <w:noWrap/>
            <w:vAlign w:val="center"/>
          </w:tcPr>
          <w:p w14:paraId="0AFB6152">
            <w:pPr>
              <w:widowControl/>
              <w:jc w:val="center"/>
              <w:rPr>
                <w:rFonts w:ascii="宋体" w:hAnsi="宋体" w:cs="宋体"/>
                <w:b/>
                <w:color w:val="auto"/>
                <w:kern w:val="0"/>
                <w:szCs w:val="21"/>
              </w:rPr>
            </w:pPr>
            <w:r>
              <w:rPr>
                <w:rFonts w:hint="eastAsia" w:ascii="宋体" w:hAnsi="宋体" w:cs="宋体"/>
                <w:b/>
                <w:color w:val="auto"/>
                <w:kern w:val="0"/>
                <w:szCs w:val="21"/>
              </w:rPr>
              <w:t>5</w:t>
            </w:r>
          </w:p>
        </w:tc>
        <w:tc>
          <w:tcPr>
            <w:tcW w:w="1744" w:type="dxa"/>
            <w:noWrap/>
            <w:vAlign w:val="center"/>
          </w:tcPr>
          <w:p w14:paraId="6C73CE10">
            <w:pPr>
              <w:widowControl/>
              <w:jc w:val="center"/>
              <w:rPr>
                <w:rFonts w:ascii="宋体" w:hAnsi="宋体" w:cs="宋体"/>
                <w:color w:val="auto"/>
                <w:kern w:val="0"/>
                <w:szCs w:val="21"/>
              </w:rPr>
            </w:pPr>
          </w:p>
        </w:tc>
      </w:tr>
      <w:tr w14:paraId="2FC75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828" w:type="dxa"/>
            <w:noWrap/>
            <w:vAlign w:val="center"/>
          </w:tcPr>
          <w:p w14:paraId="1A19CF3B">
            <w:pPr>
              <w:widowControl/>
              <w:jc w:val="center"/>
              <w:rPr>
                <w:rFonts w:ascii="宋体" w:hAnsi="宋体" w:cs="宋体"/>
                <w:color w:val="auto"/>
                <w:kern w:val="0"/>
                <w:szCs w:val="21"/>
              </w:rPr>
            </w:pPr>
            <w:r>
              <w:rPr>
                <w:rFonts w:hint="eastAsia" w:ascii="宋体" w:hAnsi="宋体" w:cs="宋体"/>
                <w:color w:val="auto"/>
                <w:kern w:val="0"/>
                <w:szCs w:val="21"/>
              </w:rPr>
              <w:t>9</w:t>
            </w:r>
          </w:p>
        </w:tc>
        <w:tc>
          <w:tcPr>
            <w:tcW w:w="5096" w:type="dxa"/>
            <w:noWrap/>
            <w:vAlign w:val="center"/>
          </w:tcPr>
          <w:p w14:paraId="0D13489F">
            <w:pPr>
              <w:widowControl/>
              <w:rPr>
                <w:rFonts w:ascii="宋体" w:hAnsi="宋体" w:cs="宋体"/>
                <w:color w:val="auto"/>
                <w:kern w:val="0"/>
                <w:szCs w:val="21"/>
              </w:rPr>
            </w:pPr>
            <w:r>
              <w:rPr>
                <w:rFonts w:hint="eastAsia" w:ascii="宋体" w:hAnsi="宋体" w:cs="宋体"/>
                <w:color w:val="auto"/>
                <w:kern w:val="0"/>
                <w:szCs w:val="21"/>
              </w:rPr>
              <w:t>顾客一般投诉或对顾客投诉不服从管理人员仲裁。</w:t>
            </w:r>
          </w:p>
        </w:tc>
        <w:tc>
          <w:tcPr>
            <w:tcW w:w="1620" w:type="dxa"/>
            <w:noWrap/>
            <w:vAlign w:val="center"/>
          </w:tcPr>
          <w:p w14:paraId="4E564AA9">
            <w:pPr>
              <w:widowControl/>
              <w:jc w:val="center"/>
              <w:rPr>
                <w:rFonts w:ascii="宋体" w:hAnsi="宋体" w:cs="宋体"/>
                <w:b/>
                <w:color w:val="auto"/>
                <w:kern w:val="0"/>
                <w:szCs w:val="21"/>
              </w:rPr>
            </w:pPr>
            <w:r>
              <w:rPr>
                <w:rFonts w:hint="eastAsia" w:ascii="宋体" w:hAnsi="宋体" w:cs="宋体"/>
                <w:b/>
                <w:color w:val="auto"/>
                <w:kern w:val="0"/>
                <w:szCs w:val="21"/>
              </w:rPr>
              <w:t>2</w:t>
            </w:r>
          </w:p>
        </w:tc>
        <w:tc>
          <w:tcPr>
            <w:tcW w:w="1744" w:type="dxa"/>
            <w:noWrap/>
            <w:vAlign w:val="center"/>
          </w:tcPr>
          <w:p w14:paraId="72CC334F">
            <w:pPr>
              <w:widowControl/>
              <w:jc w:val="center"/>
              <w:rPr>
                <w:rFonts w:ascii="宋体" w:hAnsi="宋体" w:cs="宋体"/>
                <w:color w:val="auto"/>
                <w:kern w:val="0"/>
                <w:szCs w:val="21"/>
              </w:rPr>
            </w:pPr>
          </w:p>
        </w:tc>
      </w:tr>
      <w:tr w14:paraId="64489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828" w:type="dxa"/>
            <w:noWrap/>
            <w:vAlign w:val="center"/>
          </w:tcPr>
          <w:p w14:paraId="523FB9EE">
            <w:pPr>
              <w:widowControl/>
              <w:jc w:val="center"/>
              <w:rPr>
                <w:rFonts w:ascii="宋体" w:hAnsi="宋体" w:cs="宋体"/>
                <w:color w:val="auto"/>
                <w:kern w:val="0"/>
                <w:szCs w:val="21"/>
              </w:rPr>
            </w:pPr>
            <w:r>
              <w:rPr>
                <w:rFonts w:hint="eastAsia" w:ascii="宋体" w:hAnsi="宋体" w:cs="宋体"/>
                <w:color w:val="auto"/>
                <w:kern w:val="0"/>
                <w:szCs w:val="21"/>
              </w:rPr>
              <w:t>10</w:t>
            </w:r>
          </w:p>
        </w:tc>
        <w:tc>
          <w:tcPr>
            <w:tcW w:w="5096" w:type="dxa"/>
            <w:noWrap/>
            <w:vAlign w:val="center"/>
          </w:tcPr>
          <w:p w14:paraId="0B2545A9">
            <w:pPr>
              <w:widowControl/>
              <w:rPr>
                <w:rFonts w:ascii="宋体" w:hAnsi="宋体" w:cs="宋体"/>
                <w:color w:val="auto"/>
                <w:kern w:val="0"/>
                <w:szCs w:val="21"/>
              </w:rPr>
            </w:pPr>
            <w:r>
              <w:rPr>
                <w:rFonts w:hint="eastAsia" w:ascii="宋体" w:hAnsi="宋体" w:cs="宋体"/>
                <w:color w:val="auto"/>
                <w:kern w:val="0"/>
                <w:szCs w:val="21"/>
              </w:rPr>
              <w:t>管理部已通知的各类会议、培训等活动迟到、缺席。</w:t>
            </w:r>
          </w:p>
        </w:tc>
        <w:tc>
          <w:tcPr>
            <w:tcW w:w="1620" w:type="dxa"/>
            <w:noWrap/>
            <w:vAlign w:val="center"/>
          </w:tcPr>
          <w:p w14:paraId="6BA32A73">
            <w:pPr>
              <w:widowControl/>
              <w:jc w:val="center"/>
              <w:rPr>
                <w:b/>
                <w:color w:val="auto"/>
                <w:kern w:val="0"/>
                <w:szCs w:val="21"/>
              </w:rPr>
            </w:pPr>
            <w:r>
              <w:rPr>
                <w:rFonts w:hint="eastAsia"/>
                <w:b/>
                <w:color w:val="auto"/>
                <w:kern w:val="0"/>
                <w:szCs w:val="21"/>
              </w:rPr>
              <w:t>2</w:t>
            </w:r>
          </w:p>
        </w:tc>
        <w:tc>
          <w:tcPr>
            <w:tcW w:w="1744" w:type="dxa"/>
            <w:noWrap/>
            <w:vAlign w:val="center"/>
          </w:tcPr>
          <w:p w14:paraId="49D68FD7">
            <w:pPr>
              <w:widowControl/>
              <w:jc w:val="center"/>
              <w:rPr>
                <w:rFonts w:ascii="宋体" w:hAnsi="宋体" w:cs="宋体"/>
                <w:color w:val="auto"/>
                <w:kern w:val="0"/>
                <w:szCs w:val="21"/>
              </w:rPr>
            </w:pPr>
          </w:p>
        </w:tc>
      </w:tr>
    </w:tbl>
    <w:p w14:paraId="41D54AF5">
      <w:pPr>
        <w:rPr>
          <w:b/>
          <w:color w:val="auto"/>
          <w:sz w:val="24"/>
        </w:rPr>
      </w:pPr>
    </w:p>
    <w:p w14:paraId="37B0387E">
      <w:pPr>
        <w:rPr>
          <w:b/>
          <w:color w:val="auto"/>
          <w:sz w:val="24"/>
        </w:rPr>
      </w:pPr>
    </w:p>
    <w:p w14:paraId="21367578">
      <w:pPr>
        <w:rPr>
          <w:b/>
          <w:color w:val="auto"/>
          <w:sz w:val="24"/>
        </w:rPr>
      </w:pPr>
      <w:r>
        <w:rPr>
          <w:rFonts w:hint="eastAsia"/>
          <w:b/>
          <w:color w:val="auto"/>
          <w:sz w:val="24"/>
        </w:rPr>
        <w:t>（二）重大违规扣分标准</w:t>
      </w:r>
    </w:p>
    <w:tbl>
      <w:tblPr>
        <w:tblStyle w:val="10"/>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5040"/>
        <w:gridCol w:w="1620"/>
        <w:gridCol w:w="1866"/>
      </w:tblGrid>
      <w:tr w14:paraId="112FF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noWrap/>
          </w:tcPr>
          <w:p w14:paraId="2F5F36F9">
            <w:pPr>
              <w:jc w:val="center"/>
              <w:rPr>
                <w:b/>
                <w:color w:val="auto"/>
                <w:sz w:val="28"/>
                <w:szCs w:val="28"/>
              </w:rPr>
            </w:pPr>
            <w:r>
              <w:rPr>
                <w:rFonts w:hint="eastAsia"/>
                <w:b/>
                <w:color w:val="auto"/>
                <w:sz w:val="28"/>
                <w:szCs w:val="28"/>
              </w:rPr>
              <w:t>序号</w:t>
            </w:r>
          </w:p>
        </w:tc>
        <w:tc>
          <w:tcPr>
            <w:tcW w:w="5040" w:type="dxa"/>
            <w:noWrap/>
          </w:tcPr>
          <w:p w14:paraId="2A42D978">
            <w:pPr>
              <w:jc w:val="center"/>
              <w:rPr>
                <w:b/>
                <w:color w:val="auto"/>
                <w:sz w:val="28"/>
                <w:szCs w:val="28"/>
              </w:rPr>
            </w:pPr>
            <w:r>
              <w:rPr>
                <w:rFonts w:hint="eastAsia"/>
                <w:b/>
                <w:color w:val="auto"/>
                <w:sz w:val="28"/>
                <w:szCs w:val="28"/>
              </w:rPr>
              <w:t>违规扣分内容</w:t>
            </w:r>
          </w:p>
        </w:tc>
        <w:tc>
          <w:tcPr>
            <w:tcW w:w="1620" w:type="dxa"/>
            <w:noWrap/>
          </w:tcPr>
          <w:p w14:paraId="1C010B68">
            <w:pPr>
              <w:jc w:val="center"/>
              <w:rPr>
                <w:b/>
                <w:color w:val="auto"/>
                <w:sz w:val="28"/>
                <w:szCs w:val="28"/>
              </w:rPr>
            </w:pPr>
            <w:r>
              <w:rPr>
                <w:rFonts w:hint="eastAsia"/>
                <w:b/>
                <w:color w:val="auto"/>
                <w:sz w:val="28"/>
                <w:szCs w:val="28"/>
              </w:rPr>
              <w:t>扣分标准</w:t>
            </w:r>
          </w:p>
        </w:tc>
        <w:tc>
          <w:tcPr>
            <w:tcW w:w="1866" w:type="dxa"/>
            <w:noWrap/>
          </w:tcPr>
          <w:p w14:paraId="1C29DDD0">
            <w:pPr>
              <w:jc w:val="center"/>
              <w:rPr>
                <w:b/>
                <w:color w:val="auto"/>
                <w:sz w:val="28"/>
                <w:szCs w:val="28"/>
              </w:rPr>
            </w:pPr>
            <w:r>
              <w:rPr>
                <w:rFonts w:hint="eastAsia"/>
                <w:b/>
                <w:color w:val="auto"/>
                <w:sz w:val="28"/>
                <w:szCs w:val="28"/>
              </w:rPr>
              <w:t>备注</w:t>
            </w:r>
          </w:p>
        </w:tc>
      </w:tr>
      <w:tr w14:paraId="3CF7F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ign w:val="center"/>
          </w:tcPr>
          <w:p w14:paraId="59D8BA82">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5040" w:type="dxa"/>
            <w:noWrap/>
            <w:vAlign w:val="center"/>
          </w:tcPr>
          <w:p w14:paraId="4B016EBB">
            <w:pPr>
              <w:widowControl/>
              <w:rPr>
                <w:rFonts w:ascii="宋体" w:hAnsi="宋体" w:cs="宋体"/>
                <w:color w:val="auto"/>
                <w:kern w:val="0"/>
                <w:szCs w:val="21"/>
              </w:rPr>
            </w:pPr>
            <w:r>
              <w:rPr>
                <w:rFonts w:hint="eastAsia" w:ascii="宋体" w:hAnsi="宋体" w:cs="宋体"/>
                <w:color w:val="auto"/>
                <w:kern w:val="0"/>
                <w:szCs w:val="21"/>
              </w:rPr>
              <w:t>拒不服从管理、辱骂、殴打管理人员，并按有关治安条例处理。</w:t>
            </w:r>
          </w:p>
        </w:tc>
        <w:tc>
          <w:tcPr>
            <w:tcW w:w="1620" w:type="dxa"/>
            <w:noWrap/>
            <w:vAlign w:val="center"/>
          </w:tcPr>
          <w:p w14:paraId="199788DC">
            <w:pPr>
              <w:widowControl/>
              <w:jc w:val="center"/>
              <w:rPr>
                <w:b/>
                <w:color w:val="auto"/>
                <w:kern w:val="0"/>
                <w:szCs w:val="21"/>
              </w:rPr>
            </w:pPr>
            <w:r>
              <w:rPr>
                <w:b/>
                <w:color w:val="auto"/>
                <w:kern w:val="0"/>
                <w:szCs w:val="21"/>
              </w:rPr>
              <w:t>20~40</w:t>
            </w:r>
          </w:p>
        </w:tc>
        <w:tc>
          <w:tcPr>
            <w:tcW w:w="1866" w:type="dxa"/>
            <w:noWrap/>
            <w:vAlign w:val="center"/>
          </w:tcPr>
          <w:p w14:paraId="1DCE8F80">
            <w:pPr>
              <w:widowControl/>
              <w:jc w:val="center"/>
              <w:rPr>
                <w:rFonts w:ascii="宋体" w:hAnsi="宋体" w:cs="宋体"/>
                <w:b/>
                <w:color w:val="auto"/>
                <w:kern w:val="0"/>
                <w:szCs w:val="21"/>
              </w:rPr>
            </w:pPr>
          </w:p>
        </w:tc>
      </w:tr>
      <w:tr w14:paraId="5A6C4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28" w:type="dxa"/>
            <w:noWrap/>
            <w:vAlign w:val="center"/>
          </w:tcPr>
          <w:p w14:paraId="738655D3">
            <w:pPr>
              <w:widowControl/>
              <w:jc w:val="center"/>
              <w:rPr>
                <w:rFonts w:ascii="宋体" w:hAnsi="宋体" w:cs="宋体"/>
                <w:color w:val="auto"/>
                <w:kern w:val="0"/>
                <w:szCs w:val="21"/>
              </w:rPr>
            </w:pPr>
            <w:r>
              <w:rPr>
                <w:rFonts w:hint="eastAsia" w:ascii="宋体" w:hAnsi="宋体" w:cs="宋体"/>
                <w:color w:val="auto"/>
                <w:kern w:val="0"/>
                <w:szCs w:val="21"/>
              </w:rPr>
              <w:t>2</w:t>
            </w:r>
          </w:p>
        </w:tc>
        <w:tc>
          <w:tcPr>
            <w:tcW w:w="5040" w:type="dxa"/>
            <w:noWrap/>
            <w:vAlign w:val="center"/>
          </w:tcPr>
          <w:p w14:paraId="484329ED">
            <w:pPr>
              <w:widowControl/>
              <w:rPr>
                <w:rFonts w:ascii="宋体" w:hAnsi="宋体" w:cs="宋体"/>
                <w:color w:val="auto"/>
                <w:kern w:val="0"/>
                <w:szCs w:val="21"/>
              </w:rPr>
            </w:pPr>
            <w:r>
              <w:rPr>
                <w:rFonts w:hint="eastAsia" w:ascii="宋体" w:hAnsi="宋体" w:cs="宋体"/>
                <w:color w:val="auto"/>
                <w:kern w:val="0"/>
                <w:szCs w:val="21"/>
              </w:rPr>
              <w:t>擅自转让经营场地。（不含超市）</w:t>
            </w:r>
          </w:p>
        </w:tc>
        <w:tc>
          <w:tcPr>
            <w:tcW w:w="1620" w:type="dxa"/>
            <w:noWrap/>
            <w:vAlign w:val="center"/>
          </w:tcPr>
          <w:p w14:paraId="1E16A1FC">
            <w:pPr>
              <w:widowControl/>
              <w:jc w:val="center"/>
              <w:rPr>
                <w:b/>
                <w:color w:val="auto"/>
                <w:kern w:val="0"/>
                <w:szCs w:val="21"/>
              </w:rPr>
            </w:pPr>
            <w:r>
              <w:rPr>
                <w:b/>
                <w:color w:val="auto"/>
                <w:kern w:val="0"/>
                <w:szCs w:val="21"/>
              </w:rPr>
              <w:t>40</w:t>
            </w:r>
          </w:p>
        </w:tc>
        <w:tc>
          <w:tcPr>
            <w:tcW w:w="1866" w:type="dxa"/>
            <w:noWrap/>
            <w:vAlign w:val="center"/>
          </w:tcPr>
          <w:p w14:paraId="5BFFB4E0">
            <w:pPr>
              <w:widowControl/>
              <w:jc w:val="center"/>
              <w:rPr>
                <w:rFonts w:ascii="宋体" w:hAnsi="宋体" w:cs="宋体"/>
                <w:b/>
                <w:color w:val="auto"/>
                <w:kern w:val="0"/>
                <w:szCs w:val="21"/>
              </w:rPr>
            </w:pPr>
            <w:r>
              <w:rPr>
                <w:rFonts w:hint="eastAsia" w:ascii="宋体" w:hAnsi="宋体" w:cs="宋体"/>
                <w:b/>
                <w:color w:val="auto"/>
                <w:kern w:val="0"/>
                <w:szCs w:val="21"/>
              </w:rPr>
              <w:t>甲方有权进行清退</w:t>
            </w:r>
          </w:p>
        </w:tc>
      </w:tr>
      <w:tr w14:paraId="68973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28" w:type="dxa"/>
            <w:noWrap/>
            <w:vAlign w:val="center"/>
          </w:tcPr>
          <w:p w14:paraId="77AD03D8">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5040" w:type="dxa"/>
            <w:noWrap/>
            <w:vAlign w:val="center"/>
          </w:tcPr>
          <w:p w14:paraId="70B6D636">
            <w:pPr>
              <w:widowControl/>
              <w:rPr>
                <w:rFonts w:ascii="宋体" w:hAnsi="宋体" w:cs="宋体"/>
                <w:color w:val="auto"/>
                <w:kern w:val="0"/>
                <w:szCs w:val="21"/>
              </w:rPr>
            </w:pPr>
            <w:r>
              <w:rPr>
                <w:rFonts w:hint="eastAsia" w:ascii="宋体" w:hAnsi="宋体" w:cs="宋体"/>
                <w:color w:val="auto"/>
                <w:kern w:val="0"/>
                <w:szCs w:val="21"/>
              </w:rPr>
              <w:t>拖欠场地经营费或其它费用</w:t>
            </w:r>
            <w:r>
              <w:rPr>
                <w:rFonts w:hint="eastAsia"/>
                <w:color w:val="auto"/>
                <w:kern w:val="0"/>
                <w:szCs w:val="21"/>
              </w:rPr>
              <w:t>20</w:t>
            </w:r>
            <w:r>
              <w:rPr>
                <w:rFonts w:hint="eastAsia" w:ascii="宋体" w:hAnsi="宋体" w:cs="宋体"/>
                <w:color w:val="auto"/>
                <w:kern w:val="0"/>
                <w:szCs w:val="21"/>
              </w:rPr>
              <w:t>日以上（含20日）。</w:t>
            </w:r>
          </w:p>
        </w:tc>
        <w:tc>
          <w:tcPr>
            <w:tcW w:w="1620" w:type="dxa"/>
            <w:noWrap/>
            <w:vAlign w:val="center"/>
          </w:tcPr>
          <w:p w14:paraId="609C982C">
            <w:pPr>
              <w:widowControl/>
              <w:jc w:val="center"/>
              <w:rPr>
                <w:b/>
                <w:color w:val="auto"/>
                <w:kern w:val="0"/>
                <w:szCs w:val="21"/>
              </w:rPr>
            </w:pPr>
            <w:r>
              <w:rPr>
                <w:b/>
                <w:color w:val="auto"/>
                <w:kern w:val="0"/>
                <w:szCs w:val="21"/>
              </w:rPr>
              <w:t>10~20</w:t>
            </w:r>
          </w:p>
        </w:tc>
        <w:tc>
          <w:tcPr>
            <w:tcW w:w="1866" w:type="dxa"/>
            <w:noWrap/>
            <w:vAlign w:val="center"/>
          </w:tcPr>
          <w:p w14:paraId="2B34B6A0">
            <w:pPr>
              <w:widowControl/>
              <w:jc w:val="center"/>
              <w:rPr>
                <w:rFonts w:ascii="宋体" w:hAnsi="宋体" w:cs="宋体"/>
                <w:b/>
                <w:color w:val="auto"/>
                <w:kern w:val="0"/>
                <w:szCs w:val="21"/>
              </w:rPr>
            </w:pPr>
          </w:p>
        </w:tc>
      </w:tr>
      <w:tr w14:paraId="10FE0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ign w:val="center"/>
          </w:tcPr>
          <w:p w14:paraId="34D183E9">
            <w:pPr>
              <w:widowControl/>
              <w:jc w:val="center"/>
              <w:rPr>
                <w:rFonts w:ascii="宋体" w:hAnsi="宋体" w:cs="宋体"/>
                <w:color w:val="auto"/>
                <w:kern w:val="0"/>
                <w:szCs w:val="21"/>
              </w:rPr>
            </w:pPr>
            <w:r>
              <w:rPr>
                <w:rFonts w:hint="eastAsia" w:ascii="宋体" w:hAnsi="宋体" w:cs="宋体"/>
                <w:color w:val="auto"/>
                <w:kern w:val="0"/>
                <w:szCs w:val="21"/>
              </w:rPr>
              <w:t>4</w:t>
            </w:r>
          </w:p>
        </w:tc>
        <w:tc>
          <w:tcPr>
            <w:tcW w:w="5040" w:type="dxa"/>
            <w:noWrap/>
            <w:vAlign w:val="center"/>
          </w:tcPr>
          <w:p w14:paraId="05648D4B">
            <w:pPr>
              <w:widowControl/>
              <w:rPr>
                <w:rFonts w:ascii="宋体" w:hAnsi="宋体" w:cs="宋体"/>
                <w:color w:val="auto"/>
                <w:kern w:val="0"/>
                <w:szCs w:val="21"/>
              </w:rPr>
            </w:pPr>
            <w:r>
              <w:rPr>
                <w:rFonts w:hint="eastAsia" w:ascii="宋体" w:hAnsi="宋体" w:cs="宋体"/>
                <w:color w:val="auto"/>
                <w:kern w:val="0"/>
                <w:szCs w:val="21"/>
              </w:rPr>
              <w:t>被执法部门（工商、税务、卫生、物价、质量等）发出书面整改通知。</w:t>
            </w:r>
          </w:p>
        </w:tc>
        <w:tc>
          <w:tcPr>
            <w:tcW w:w="1620" w:type="dxa"/>
            <w:noWrap/>
            <w:vAlign w:val="center"/>
          </w:tcPr>
          <w:p w14:paraId="4735AD79">
            <w:pPr>
              <w:widowControl/>
              <w:jc w:val="center"/>
              <w:rPr>
                <w:b/>
                <w:color w:val="auto"/>
                <w:kern w:val="0"/>
                <w:szCs w:val="21"/>
              </w:rPr>
            </w:pPr>
            <w:r>
              <w:rPr>
                <w:b/>
                <w:color w:val="auto"/>
                <w:kern w:val="0"/>
                <w:szCs w:val="21"/>
              </w:rPr>
              <w:t>20</w:t>
            </w:r>
          </w:p>
        </w:tc>
        <w:tc>
          <w:tcPr>
            <w:tcW w:w="1866" w:type="dxa"/>
            <w:noWrap/>
            <w:vAlign w:val="center"/>
          </w:tcPr>
          <w:p w14:paraId="18CD1FDA">
            <w:pPr>
              <w:widowControl/>
              <w:jc w:val="center"/>
              <w:rPr>
                <w:rFonts w:ascii="宋体" w:hAnsi="宋体" w:cs="宋体"/>
                <w:b/>
                <w:color w:val="auto"/>
                <w:kern w:val="0"/>
                <w:szCs w:val="21"/>
              </w:rPr>
            </w:pPr>
          </w:p>
        </w:tc>
      </w:tr>
      <w:tr w14:paraId="04974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ign w:val="center"/>
          </w:tcPr>
          <w:p w14:paraId="59E5797D">
            <w:pPr>
              <w:widowControl/>
              <w:jc w:val="center"/>
              <w:rPr>
                <w:rFonts w:ascii="宋体" w:hAnsi="宋体" w:cs="宋体"/>
                <w:color w:val="auto"/>
                <w:kern w:val="0"/>
                <w:szCs w:val="21"/>
              </w:rPr>
            </w:pPr>
            <w:r>
              <w:rPr>
                <w:rFonts w:hint="eastAsia" w:ascii="宋体" w:hAnsi="宋体" w:cs="宋体"/>
                <w:color w:val="auto"/>
                <w:kern w:val="0"/>
                <w:szCs w:val="21"/>
              </w:rPr>
              <w:t>5</w:t>
            </w:r>
          </w:p>
        </w:tc>
        <w:tc>
          <w:tcPr>
            <w:tcW w:w="5040" w:type="dxa"/>
            <w:noWrap/>
            <w:vAlign w:val="center"/>
          </w:tcPr>
          <w:p w14:paraId="5AC1C03B">
            <w:pPr>
              <w:widowControl/>
              <w:rPr>
                <w:rFonts w:ascii="宋体" w:hAnsi="宋体" w:cs="宋体"/>
                <w:color w:val="auto"/>
                <w:kern w:val="0"/>
                <w:szCs w:val="21"/>
              </w:rPr>
            </w:pPr>
            <w:r>
              <w:rPr>
                <w:rFonts w:hint="eastAsia" w:ascii="宋体" w:hAnsi="宋体" w:cs="宋体"/>
                <w:color w:val="auto"/>
                <w:kern w:val="0"/>
                <w:szCs w:val="21"/>
              </w:rPr>
              <w:t>销售假冒伪劣商品或国家明令淘汰、禁止、退市的商品。销售过期变质商品或未按规定检验、检疫的商品而造成恶劣影响。</w:t>
            </w:r>
          </w:p>
        </w:tc>
        <w:tc>
          <w:tcPr>
            <w:tcW w:w="1620" w:type="dxa"/>
            <w:noWrap/>
            <w:vAlign w:val="center"/>
          </w:tcPr>
          <w:p w14:paraId="1E6ED3AA">
            <w:pPr>
              <w:widowControl/>
              <w:jc w:val="center"/>
              <w:rPr>
                <w:b/>
                <w:color w:val="auto"/>
                <w:kern w:val="0"/>
                <w:szCs w:val="21"/>
              </w:rPr>
            </w:pPr>
            <w:r>
              <w:rPr>
                <w:rFonts w:hint="eastAsia"/>
                <w:b/>
                <w:color w:val="auto"/>
                <w:kern w:val="0"/>
                <w:szCs w:val="21"/>
              </w:rPr>
              <w:t>10-40</w:t>
            </w:r>
          </w:p>
        </w:tc>
        <w:tc>
          <w:tcPr>
            <w:tcW w:w="1866" w:type="dxa"/>
            <w:noWrap/>
            <w:vAlign w:val="center"/>
          </w:tcPr>
          <w:p w14:paraId="65E91FE6">
            <w:pPr>
              <w:widowControl/>
              <w:jc w:val="center"/>
              <w:rPr>
                <w:rFonts w:ascii="宋体" w:hAnsi="宋体" w:cs="宋体"/>
                <w:b/>
                <w:color w:val="auto"/>
                <w:kern w:val="0"/>
                <w:szCs w:val="21"/>
              </w:rPr>
            </w:pPr>
            <w:r>
              <w:rPr>
                <w:rFonts w:hint="eastAsia" w:ascii="宋体" w:hAnsi="宋体" w:cs="宋体"/>
                <w:b/>
                <w:color w:val="auto"/>
                <w:kern w:val="0"/>
                <w:szCs w:val="21"/>
              </w:rPr>
              <w:t>甲方有权进行清退</w:t>
            </w:r>
          </w:p>
        </w:tc>
      </w:tr>
      <w:tr w14:paraId="7C4EE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828" w:type="dxa"/>
            <w:noWrap/>
            <w:vAlign w:val="center"/>
          </w:tcPr>
          <w:p w14:paraId="43A6E39F">
            <w:pPr>
              <w:widowControl/>
              <w:jc w:val="center"/>
              <w:rPr>
                <w:rFonts w:ascii="宋体" w:hAnsi="宋体" w:cs="宋体"/>
                <w:color w:val="auto"/>
                <w:kern w:val="0"/>
                <w:szCs w:val="21"/>
              </w:rPr>
            </w:pPr>
            <w:r>
              <w:rPr>
                <w:rFonts w:hint="eastAsia" w:ascii="宋体" w:hAnsi="宋体" w:cs="宋体"/>
                <w:color w:val="auto"/>
                <w:kern w:val="0"/>
                <w:szCs w:val="21"/>
              </w:rPr>
              <w:t>6</w:t>
            </w:r>
          </w:p>
        </w:tc>
        <w:tc>
          <w:tcPr>
            <w:tcW w:w="5040" w:type="dxa"/>
            <w:noWrap/>
            <w:vAlign w:val="center"/>
          </w:tcPr>
          <w:p w14:paraId="128D4A46">
            <w:pPr>
              <w:widowControl/>
              <w:rPr>
                <w:rFonts w:ascii="宋体" w:hAnsi="宋体" w:cs="宋体"/>
                <w:color w:val="auto"/>
                <w:kern w:val="0"/>
                <w:szCs w:val="21"/>
              </w:rPr>
            </w:pPr>
            <w:r>
              <w:rPr>
                <w:rFonts w:hint="eastAsia" w:ascii="宋体" w:hAnsi="宋体" w:cs="宋体"/>
                <w:color w:val="auto"/>
                <w:kern w:val="0"/>
                <w:szCs w:val="21"/>
              </w:rPr>
              <w:t>破坏主体结构、公共设施，包含配备的智能化等设备。</w:t>
            </w:r>
          </w:p>
        </w:tc>
        <w:tc>
          <w:tcPr>
            <w:tcW w:w="1620" w:type="dxa"/>
            <w:noWrap/>
            <w:vAlign w:val="center"/>
          </w:tcPr>
          <w:p w14:paraId="3F8CB8AD">
            <w:pPr>
              <w:widowControl/>
              <w:jc w:val="center"/>
              <w:rPr>
                <w:b/>
                <w:color w:val="auto"/>
                <w:kern w:val="0"/>
                <w:szCs w:val="21"/>
              </w:rPr>
            </w:pPr>
            <w:r>
              <w:rPr>
                <w:rFonts w:hint="eastAsia"/>
                <w:b/>
                <w:color w:val="auto"/>
                <w:kern w:val="0"/>
                <w:szCs w:val="21"/>
              </w:rPr>
              <w:t>5</w:t>
            </w:r>
            <w:r>
              <w:rPr>
                <w:b/>
                <w:color w:val="auto"/>
                <w:kern w:val="0"/>
                <w:szCs w:val="21"/>
              </w:rPr>
              <w:t>~</w:t>
            </w:r>
            <w:r>
              <w:rPr>
                <w:rFonts w:hint="eastAsia"/>
                <w:b/>
                <w:color w:val="auto"/>
                <w:kern w:val="0"/>
                <w:szCs w:val="21"/>
              </w:rPr>
              <w:t>1</w:t>
            </w:r>
            <w:r>
              <w:rPr>
                <w:b/>
                <w:color w:val="auto"/>
                <w:kern w:val="0"/>
                <w:szCs w:val="21"/>
              </w:rPr>
              <w:t>0</w:t>
            </w:r>
          </w:p>
        </w:tc>
        <w:tc>
          <w:tcPr>
            <w:tcW w:w="1866" w:type="dxa"/>
            <w:noWrap/>
            <w:vAlign w:val="center"/>
          </w:tcPr>
          <w:p w14:paraId="75902047">
            <w:pPr>
              <w:widowControl/>
              <w:jc w:val="center"/>
              <w:rPr>
                <w:rFonts w:ascii="宋体" w:hAnsi="宋体" w:cs="宋体"/>
                <w:b/>
                <w:color w:val="auto"/>
                <w:kern w:val="0"/>
                <w:szCs w:val="21"/>
              </w:rPr>
            </w:pPr>
          </w:p>
        </w:tc>
      </w:tr>
      <w:tr w14:paraId="49909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ign w:val="center"/>
          </w:tcPr>
          <w:p w14:paraId="6C9D8C2A">
            <w:pPr>
              <w:widowControl/>
              <w:jc w:val="center"/>
              <w:rPr>
                <w:rFonts w:ascii="宋体" w:hAnsi="宋体" w:cs="宋体"/>
                <w:color w:val="auto"/>
                <w:kern w:val="0"/>
                <w:szCs w:val="21"/>
              </w:rPr>
            </w:pPr>
            <w:r>
              <w:rPr>
                <w:rFonts w:hint="eastAsia" w:ascii="宋体" w:hAnsi="宋体" w:cs="宋体"/>
                <w:color w:val="auto"/>
                <w:kern w:val="0"/>
                <w:szCs w:val="21"/>
              </w:rPr>
              <w:t>7</w:t>
            </w:r>
          </w:p>
        </w:tc>
        <w:tc>
          <w:tcPr>
            <w:tcW w:w="5040" w:type="dxa"/>
            <w:noWrap/>
            <w:vAlign w:val="center"/>
          </w:tcPr>
          <w:p w14:paraId="7322F51C">
            <w:pPr>
              <w:widowControl/>
              <w:rPr>
                <w:rFonts w:ascii="宋体" w:hAnsi="宋体" w:cs="宋体"/>
                <w:color w:val="auto"/>
                <w:kern w:val="0"/>
                <w:szCs w:val="21"/>
              </w:rPr>
            </w:pPr>
            <w:r>
              <w:rPr>
                <w:rFonts w:hint="eastAsia" w:ascii="宋体" w:hAnsi="宋体" w:cs="宋体"/>
                <w:color w:val="auto"/>
                <w:kern w:val="0"/>
                <w:szCs w:val="21"/>
              </w:rPr>
              <w:t>顾客重大投诉，造成恶劣影响，或年度顾客一般投诉十次以上。月度客户满意度低于70分三次以上</w:t>
            </w:r>
          </w:p>
        </w:tc>
        <w:tc>
          <w:tcPr>
            <w:tcW w:w="1620" w:type="dxa"/>
            <w:noWrap/>
            <w:vAlign w:val="center"/>
          </w:tcPr>
          <w:p w14:paraId="59B4DD16">
            <w:pPr>
              <w:widowControl/>
              <w:jc w:val="center"/>
              <w:rPr>
                <w:b/>
                <w:color w:val="auto"/>
                <w:kern w:val="0"/>
                <w:szCs w:val="21"/>
              </w:rPr>
            </w:pPr>
            <w:r>
              <w:rPr>
                <w:rFonts w:hint="eastAsia"/>
                <w:b/>
                <w:color w:val="auto"/>
                <w:kern w:val="0"/>
                <w:szCs w:val="21"/>
              </w:rPr>
              <w:t>10-40</w:t>
            </w:r>
          </w:p>
        </w:tc>
        <w:tc>
          <w:tcPr>
            <w:tcW w:w="1866" w:type="dxa"/>
            <w:noWrap/>
            <w:vAlign w:val="center"/>
          </w:tcPr>
          <w:p w14:paraId="024A31FA">
            <w:pPr>
              <w:widowControl/>
              <w:jc w:val="center"/>
              <w:rPr>
                <w:rFonts w:ascii="宋体" w:hAnsi="宋体" w:cs="宋体"/>
                <w:b/>
                <w:color w:val="auto"/>
                <w:kern w:val="0"/>
                <w:szCs w:val="21"/>
              </w:rPr>
            </w:pPr>
            <w:r>
              <w:rPr>
                <w:rFonts w:hint="eastAsia" w:ascii="宋体" w:hAnsi="宋体" w:cs="宋体"/>
                <w:b/>
                <w:color w:val="auto"/>
                <w:kern w:val="0"/>
                <w:szCs w:val="21"/>
              </w:rPr>
              <w:t>甲方有权进行清退</w:t>
            </w:r>
          </w:p>
        </w:tc>
      </w:tr>
      <w:tr w14:paraId="7DF05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828" w:type="dxa"/>
            <w:noWrap/>
            <w:vAlign w:val="center"/>
          </w:tcPr>
          <w:p w14:paraId="2596063F">
            <w:pPr>
              <w:widowControl/>
              <w:jc w:val="center"/>
              <w:rPr>
                <w:rFonts w:ascii="宋体" w:hAnsi="宋体" w:cs="宋体"/>
                <w:color w:val="auto"/>
                <w:kern w:val="0"/>
                <w:szCs w:val="21"/>
              </w:rPr>
            </w:pPr>
            <w:r>
              <w:rPr>
                <w:rFonts w:hint="eastAsia" w:ascii="宋体" w:hAnsi="宋体" w:cs="宋体"/>
                <w:color w:val="auto"/>
                <w:kern w:val="0"/>
                <w:szCs w:val="21"/>
              </w:rPr>
              <w:t>8</w:t>
            </w:r>
          </w:p>
        </w:tc>
        <w:tc>
          <w:tcPr>
            <w:tcW w:w="5040" w:type="dxa"/>
            <w:noWrap/>
            <w:vAlign w:val="center"/>
          </w:tcPr>
          <w:p w14:paraId="6CF2DC15">
            <w:pPr>
              <w:widowControl/>
              <w:rPr>
                <w:rFonts w:ascii="宋体" w:hAnsi="宋体" w:cs="宋体"/>
                <w:color w:val="auto"/>
                <w:kern w:val="0"/>
                <w:szCs w:val="21"/>
              </w:rPr>
            </w:pPr>
            <w:r>
              <w:rPr>
                <w:rFonts w:hint="eastAsia" w:ascii="宋体" w:hAnsi="宋体" w:cs="宋体"/>
                <w:color w:val="auto"/>
                <w:kern w:val="0"/>
                <w:szCs w:val="21"/>
              </w:rPr>
              <w:t>打架、斗殴或聚众闹事。</w:t>
            </w:r>
          </w:p>
        </w:tc>
        <w:tc>
          <w:tcPr>
            <w:tcW w:w="1620" w:type="dxa"/>
            <w:noWrap/>
            <w:vAlign w:val="center"/>
          </w:tcPr>
          <w:p w14:paraId="6938FCAB">
            <w:pPr>
              <w:widowControl/>
              <w:jc w:val="center"/>
              <w:rPr>
                <w:b/>
                <w:color w:val="auto"/>
                <w:kern w:val="0"/>
                <w:szCs w:val="21"/>
              </w:rPr>
            </w:pPr>
            <w:r>
              <w:rPr>
                <w:rFonts w:hint="eastAsia"/>
                <w:b/>
                <w:color w:val="auto"/>
                <w:kern w:val="0"/>
                <w:szCs w:val="21"/>
              </w:rPr>
              <w:t>10-30</w:t>
            </w:r>
          </w:p>
        </w:tc>
        <w:tc>
          <w:tcPr>
            <w:tcW w:w="1866" w:type="dxa"/>
            <w:noWrap/>
            <w:vAlign w:val="center"/>
          </w:tcPr>
          <w:p w14:paraId="551354DA">
            <w:pPr>
              <w:widowControl/>
              <w:jc w:val="center"/>
              <w:rPr>
                <w:rFonts w:ascii="宋体" w:hAnsi="宋体" w:cs="宋体"/>
                <w:b/>
                <w:color w:val="auto"/>
                <w:kern w:val="0"/>
                <w:szCs w:val="21"/>
              </w:rPr>
            </w:pPr>
          </w:p>
        </w:tc>
      </w:tr>
      <w:tr w14:paraId="3B281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828" w:type="dxa"/>
            <w:noWrap/>
            <w:vAlign w:val="center"/>
          </w:tcPr>
          <w:p w14:paraId="45768566">
            <w:pPr>
              <w:widowControl/>
              <w:jc w:val="center"/>
              <w:rPr>
                <w:rFonts w:ascii="宋体" w:hAnsi="宋体" w:cs="宋体"/>
                <w:color w:val="auto"/>
                <w:kern w:val="0"/>
                <w:szCs w:val="21"/>
              </w:rPr>
            </w:pPr>
            <w:r>
              <w:rPr>
                <w:rFonts w:hint="eastAsia" w:ascii="宋体" w:hAnsi="宋体" w:cs="宋体"/>
                <w:color w:val="auto"/>
                <w:kern w:val="0"/>
                <w:szCs w:val="21"/>
              </w:rPr>
              <w:t>9</w:t>
            </w:r>
          </w:p>
        </w:tc>
        <w:tc>
          <w:tcPr>
            <w:tcW w:w="5040" w:type="dxa"/>
            <w:noWrap/>
            <w:vAlign w:val="center"/>
          </w:tcPr>
          <w:p w14:paraId="5818D1F7">
            <w:pPr>
              <w:widowControl/>
              <w:rPr>
                <w:rFonts w:ascii="宋体" w:hAnsi="宋体" w:cs="宋体"/>
                <w:color w:val="auto"/>
                <w:kern w:val="0"/>
                <w:szCs w:val="21"/>
              </w:rPr>
            </w:pPr>
            <w:r>
              <w:rPr>
                <w:rFonts w:hint="eastAsia" w:ascii="宋体" w:hAnsi="宋体" w:cs="宋体"/>
                <w:color w:val="auto"/>
                <w:kern w:val="0"/>
                <w:szCs w:val="21"/>
              </w:rPr>
              <w:t xml:space="preserve">发现一次偷摸消费者钱物的行为。 </w:t>
            </w:r>
          </w:p>
        </w:tc>
        <w:tc>
          <w:tcPr>
            <w:tcW w:w="1620" w:type="dxa"/>
            <w:noWrap/>
            <w:vAlign w:val="center"/>
          </w:tcPr>
          <w:p w14:paraId="5696CCDF">
            <w:pPr>
              <w:widowControl/>
              <w:jc w:val="center"/>
              <w:rPr>
                <w:b/>
                <w:color w:val="auto"/>
                <w:kern w:val="0"/>
                <w:szCs w:val="21"/>
              </w:rPr>
            </w:pPr>
            <w:r>
              <w:rPr>
                <w:rFonts w:hint="eastAsia"/>
                <w:b/>
                <w:color w:val="auto"/>
                <w:kern w:val="0"/>
                <w:szCs w:val="21"/>
              </w:rPr>
              <w:t>10-40</w:t>
            </w:r>
          </w:p>
        </w:tc>
        <w:tc>
          <w:tcPr>
            <w:tcW w:w="1866" w:type="dxa"/>
            <w:noWrap/>
            <w:vAlign w:val="center"/>
          </w:tcPr>
          <w:p w14:paraId="2D4A7546">
            <w:pPr>
              <w:widowControl/>
              <w:jc w:val="center"/>
              <w:rPr>
                <w:rFonts w:ascii="宋体" w:hAnsi="宋体" w:cs="宋体"/>
                <w:b/>
                <w:color w:val="auto"/>
                <w:kern w:val="0"/>
                <w:szCs w:val="21"/>
              </w:rPr>
            </w:pPr>
            <w:r>
              <w:rPr>
                <w:rFonts w:hint="eastAsia" w:ascii="宋体" w:hAnsi="宋体" w:cs="宋体"/>
                <w:b/>
                <w:color w:val="auto"/>
                <w:kern w:val="0"/>
                <w:szCs w:val="21"/>
              </w:rPr>
              <w:t>甲方有权进行清退</w:t>
            </w:r>
          </w:p>
        </w:tc>
      </w:tr>
      <w:tr w14:paraId="01129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28" w:type="dxa"/>
            <w:noWrap/>
            <w:vAlign w:val="center"/>
          </w:tcPr>
          <w:p w14:paraId="43211262">
            <w:pPr>
              <w:widowControl/>
              <w:jc w:val="center"/>
              <w:rPr>
                <w:rFonts w:ascii="宋体" w:hAnsi="宋体" w:cs="宋体"/>
                <w:color w:val="auto"/>
                <w:kern w:val="0"/>
                <w:szCs w:val="21"/>
              </w:rPr>
            </w:pPr>
            <w:r>
              <w:rPr>
                <w:rFonts w:hint="eastAsia" w:ascii="宋体" w:hAnsi="宋体" w:cs="宋体"/>
                <w:color w:val="auto"/>
                <w:kern w:val="0"/>
                <w:szCs w:val="21"/>
              </w:rPr>
              <w:t>10</w:t>
            </w:r>
          </w:p>
        </w:tc>
        <w:tc>
          <w:tcPr>
            <w:tcW w:w="5040" w:type="dxa"/>
            <w:noWrap/>
            <w:vAlign w:val="center"/>
          </w:tcPr>
          <w:p w14:paraId="0ABCAC3B">
            <w:pPr>
              <w:widowControl/>
              <w:spacing w:line="240" w:lineRule="exact"/>
              <w:rPr>
                <w:rFonts w:ascii="宋体" w:hAnsi="宋体" w:cs="宋体"/>
                <w:color w:val="auto"/>
                <w:kern w:val="0"/>
                <w:szCs w:val="21"/>
              </w:rPr>
            </w:pPr>
            <w:r>
              <w:rPr>
                <w:rFonts w:hint="eastAsia" w:ascii="宋体" w:hAnsi="宋体" w:cs="宋体"/>
                <w:color w:val="auto"/>
                <w:kern w:val="0"/>
                <w:szCs w:val="21"/>
              </w:rPr>
              <w:t>私自跳过园区收费系统收费3次以上</w:t>
            </w:r>
          </w:p>
        </w:tc>
        <w:tc>
          <w:tcPr>
            <w:tcW w:w="1620" w:type="dxa"/>
            <w:noWrap/>
            <w:vAlign w:val="center"/>
          </w:tcPr>
          <w:p w14:paraId="15077AB0">
            <w:pPr>
              <w:widowControl/>
              <w:jc w:val="center"/>
              <w:rPr>
                <w:b/>
                <w:color w:val="auto"/>
                <w:kern w:val="0"/>
                <w:szCs w:val="21"/>
              </w:rPr>
            </w:pPr>
            <w:r>
              <w:rPr>
                <w:rFonts w:hint="eastAsia"/>
                <w:b/>
                <w:color w:val="auto"/>
                <w:kern w:val="0"/>
                <w:szCs w:val="21"/>
              </w:rPr>
              <w:t>10-40</w:t>
            </w:r>
          </w:p>
        </w:tc>
        <w:tc>
          <w:tcPr>
            <w:tcW w:w="1866" w:type="dxa"/>
            <w:noWrap/>
            <w:vAlign w:val="center"/>
          </w:tcPr>
          <w:p w14:paraId="4F894DA2">
            <w:pPr>
              <w:widowControl/>
              <w:jc w:val="center"/>
              <w:rPr>
                <w:rFonts w:ascii="宋体" w:hAnsi="宋体" w:cs="宋体"/>
                <w:b/>
                <w:color w:val="auto"/>
                <w:kern w:val="0"/>
                <w:szCs w:val="21"/>
              </w:rPr>
            </w:pPr>
            <w:r>
              <w:rPr>
                <w:rFonts w:hint="eastAsia" w:ascii="宋体" w:hAnsi="宋体" w:cs="宋体"/>
                <w:b/>
                <w:color w:val="auto"/>
                <w:kern w:val="0"/>
                <w:szCs w:val="21"/>
              </w:rPr>
              <w:t>甲方有权进行清退</w:t>
            </w:r>
          </w:p>
        </w:tc>
      </w:tr>
    </w:tbl>
    <w:p w14:paraId="1E433985">
      <w:pPr>
        <w:rPr>
          <w:b/>
          <w:color w:val="auto"/>
          <w:sz w:val="24"/>
        </w:rPr>
      </w:pPr>
    </w:p>
    <w:p w14:paraId="595FFDAA">
      <w:pPr>
        <w:numPr>
          <w:ilvl w:val="0"/>
          <w:numId w:val="2"/>
        </w:numPr>
        <w:rPr>
          <w:b/>
          <w:color w:val="auto"/>
          <w:sz w:val="24"/>
        </w:rPr>
      </w:pPr>
      <w:r>
        <w:rPr>
          <w:rFonts w:hint="eastAsia"/>
          <w:b/>
          <w:color w:val="auto"/>
          <w:sz w:val="24"/>
        </w:rPr>
        <w:t>客户满意度评分标准</w:t>
      </w:r>
    </w:p>
    <w:p w14:paraId="14D658EF">
      <w:pPr>
        <w:tabs>
          <w:tab w:val="left" w:pos="540"/>
        </w:tabs>
        <w:jc w:val="center"/>
        <w:rPr>
          <w:rFonts w:ascii="华文中宋" w:hAnsi="华文中宋" w:eastAsia="华文中宋" w:cs="华文中宋"/>
          <w:color w:val="auto"/>
          <w:sz w:val="36"/>
          <w:szCs w:val="36"/>
        </w:rPr>
      </w:pPr>
      <w:r>
        <w:rPr>
          <w:rFonts w:hint="eastAsia" w:ascii="华文中宋" w:hAnsi="华文中宋" w:eastAsia="华文中宋" w:cs="华文中宋"/>
          <w:color w:val="auto"/>
        </w:rPr>
        <w:t xml:space="preserve">  </w:t>
      </w:r>
      <w:r>
        <w:rPr>
          <w:rFonts w:hint="eastAsia" w:ascii="华文中宋" w:hAnsi="华文中宋" w:eastAsia="华文中宋" w:cs="华文中宋"/>
          <w:color w:val="auto"/>
          <w:sz w:val="36"/>
          <w:szCs w:val="36"/>
        </w:rPr>
        <w:t>员工食堂满意度调查表</w:t>
      </w:r>
    </w:p>
    <w:p w14:paraId="5D4135C3">
      <w:pPr>
        <w:spacing w:line="360" w:lineRule="exact"/>
        <w:ind w:left="-540" w:leftChars="-257"/>
        <w:jc w:val="left"/>
        <w:rPr>
          <w:color w:val="auto"/>
          <w:sz w:val="24"/>
        </w:rPr>
      </w:pPr>
      <w:r>
        <w:rPr>
          <w:rFonts w:hint="eastAsia"/>
          <w:color w:val="auto"/>
          <w:sz w:val="24"/>
        </w:rPr>
        <w:t>各位员工：</w:t>
      </w:r>
    </w:p>
    <w:p w14:paraId="5F52C4DB">
      <w:pPr>
        <w:spacing w:line="360" w:lineRule="exact"/>
        <w:ind w:left="-540" w:leftChars="-257" w:right="-512" w:rightChars="-244" w:firstLine="600"/>
        <w:jc w:val="left"/>
        <w:rPr>
          <w:rFonts w:ascii="宋体" w:hAnsi="宋体"/>
          <w:color w:val="auto"/>
          <w:sz w:val="24"/>
        </w:rPr>
      </w:pPr>
      <w:r>
        <w:rPr>
          <w:rFonts w:hint="eastAsia"/>
          <w:color w:val="auto"/>
          <w:sz w:val="24"/>
        </w:rPr>
        <w:t>为了完善公司食堂管理，持续提高服务质量，让员工更加精神饱满的做好生产，此次调查为不记名调查，希望大家从公司及自身实际出发，积极配合</w:t>
      </w:r>
      <w:r>
        <w:rPr>
          <w:rFonts w:hint="eastAsia" w:ascii="宋体" w:hAnsi="宋体"/>
          <w:color w:val="auto"/>
          <w:sz w:val="24"/>
        </w:rPr>
        <w:t>、认真、详实的填写。谢谢配合！</w:t>
      </w:r>
      <w:r>
        <w:rPr>
          <w:rFonts w:hint="eastAsia" w:ascii="宋体" w:hAnsi="宋体"/>
          <w:color w:val="auto"/>
          <w:sz w:val="24"/>
        </w:rPr>
        <w:tab/>
      </w:r>
    </w:p>
    <w:tbl>
      <w:tblPr>
        <w:tblStyle w:val="10"/>
        <w:tblpPr w:leftFromText="180" w:rightFromText="180" w:vertAnchor="text" w:horzAnchor="page" w:tblpX="1550" w:tblpY="302"/>
        <w:tblOverlap w:val="never"/>
        <w:tblW w:w="9277" w:type="dxa"/>
        <w:tblInd w:w="0" w:type="dxa"/>
        <w:tblLayout w:type="autofit"/>
        <w:tblCellMar>
          <w:top w:w="0" w:type="dxa"/>
          <w:left w:w="108" w:type="dxa"/>
          <w:bottom w:w="0" w:type="dxa"/>
          <w:right w:w="108" w:type="dxa"/>
        </w:tblCellMar>
      </w:tblPr>
      <w:tblGrid>
        <w:gridCol w:w="489"/>
        <w:gridCol w:w="890"/>
        <w:gridCol w:w="2789"/>
        <w:gridCol w:w="714"/>
        <w:gridCol w:w="691"/>
        <w:gridCol w:w="3704"/>
      </w:tblGrid>
      <w:tr w14:paraId="354F9BF7">
        <w:tblPrEx>
          <w:tblCellMar>
            <w:top w:w="0" w:type="dxa"/>
            <w:left w:w="108" w:type="dxa"/>
            <w:bottom w:w="0" w:type="dxa"/>
            <w:right w:w="108" w:type="dxa"/>
          </w:tblCellMar>
        </w:tblPrEx>
        <w:trPr>
          <w:trHeight w:val="576" w:hRule="atLeast"/>
        </w:trPr>
        <w:tc>
          <w:tcPr>
            <w:tcW w:w="489" w:type="dxa"/>
            <w:vMerge w:val="restart"/>
            <w:tcBorders>
              <w:top w:val="single" w:color="000000" w:sz="8" w:space="0"/>
              <w:left w:val="single" w:color="000000" w:sz="8" w:space="0"/>
              <w:bottom w:val="single" w:color="000000" w:sz="4" w:space="0"/>
              <w:right w:val="single" w:color="000000" w:sz="4" w:space="0"/>
            </w:tcBorders>
            <w:vAlign w:val="center"/>
          </w:tcPr>
          <w:p w14:paraId="2609B11C">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序号</w:t>
            </w:r>
          </w:p>
        </w:tc>
        <w:tc>
          <w:tcPr>
            <w:tcW w:w="890" w:type="dxa"/>
            <w:vMerge w:val="restart"/>
            <w:tcBorders>
              <w:top w:val="single" w:color="000000" w:sz="8" w:space="0"/>
              <w:left w:val="single" w:color="000000" w:sz="4" w:space="0"/>
              <w:bottom w:val="single" w:color="000000" w:sz="4" w:space="0"/>
              <w:right w:val="single" w:color="000000" w:sz="4" w:space="0"/>
            </w:tcBorders>
            <w:vAlign w:val="center"/>
          </w:tcPr>
          <w:p w14:paraId="08A4CB3E">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服务项目</w:t>
            </w:r>
          </w:p>
        </w:tc>
        <w:tc>
          <w:tcPr>
            <w:tcW w:w="2789" w:type="dxa"/>
            <w:vMerge w:val="restart"/>
            <w:tcBorders>
              <w:top w:val="single" w:color="000000" w:sz="8" w:space="0"/>
              <w:left w:val="single" w:color="000000" w:sz="4" w:space="0"/>
              <w:bottom w:val="single" w:color="000000" w:sz="4" w:space="0"/>
              <w:right w:val="single" w:color="000000" w:sz="4" w:space="0"/>
            </w:tcBorders>
            <w:vAlign w:val="center"/>
          </w:tcPr>
          <w:p w14:paraId="5689D94C">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服务内容</w:t>
            </w:r>
          </w:p>
        </w:tc>
        <w:tc>
          <w:tcPr>
            <w:tcW w:w="1405" w:type="dxa"/>
            <w:gridSpan w:val="2"/>
            <w:tcBorders>
              <w:top w:val="single" w:color="000000" w:sz="8" w:space="0"/>
              <w:left w:val="single" w:color="000000" w:sz="4" w:space="0"/>
              <w:bottom w:val="single" w:color="000000" w:sz="4" w:space="0"/>
              <w:right w:val="single" w:color="000000" w:sz="4" w:space="0"/>
            </w:tcBorders>
            <w:vAlign w:val="center"/>
          </w:tcPr>
          <w:p w14:paraId="03283E2C">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评价内容</w:t>
            </w:r>
          </w:p>
        </w:tc>
        <w:tc>
          <w:tcPr>
            <w:tcW w:w="3704" w:type="dxa"/>
            <w:vMerge w:val="restart"/>
            <w:tcBorders>
              <w:top w:val="single" w:color="000000" w:sz="8" w:space="0"/>
              <w:left w:val="single" w:color="000000" w:sz="4" w:space="0"/>
              <w:bottom w:val="single" w:color="000000" w:sz="4" w:space="0"/>
              <w:right w:val="single" w:color="auto" w:sz="4" w:space="0"/>
            </w:tcBorders>
            <w:vAlign w:val="center"/>
          </w:tcPr>
          <w:p w14:paraId="0BE53BA0">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不满意原因</w:t>
            </w:r>
          </w:p>
        </w:tc>
      </w:tr>
      <w:tr w14:paraId="5972CE26">
        <w:tblPrEx>
          <w:tblCellMar>
            <w:top w:w="0" w:type="dxa"/>
            <w:left w:w="108" w:type="dxa"/>
            <w:bottom w:w="0" w:type="dxa"/>
            <w:right w:w="108" w:type="dxa"/>
          </w:tblCellMar>
        </w:tblPrEx>
        <w:trPr>
          <w:trHeight w:val="560" w:hRule="atLeast"/>
        </w:trPr>
        <w:tc>
          <w:tcPr>
            <w:tcW w:w="489" w:type="dxa"/>
            <w:vMerge w:val="continue"/>
            <w:tcBorders>
              <w:top w:val="single" w:color="000000" w:sz="8" w:space="0"/>
              <w:left w:val="single" w:color="000000" w:sz="8" w:space="0"/>
              <w:bottom w:val="single" w:color="000000" w:sz="4" w:space="0"/>
              <w:right w:val="single" w:color="000000" w:sz="4" w:space="0"/>
            </w:tcBorders>
            <w:vAlign w:val="center"/>
          </w:tcPr>
          <w:p w14:paraId="2846E8AF">
            <w:pPr>
              <w:jc w:val="center"/>
              <w:rPr>
                <w:rFonts w:ascii="仿宋" w:hAnsi="仿宋" w:eastAsia="仿宋" w:cs="仿宋"/>
                <w:color w:val="auto"/>
                <w:sz w:val="20"/>
                <w:szCs w:val="20"/>
              </w:rPr>
            </w:pPr>
          </w:p>
        </w:tc>
        <w:tc>
          <w:tcPr>
            <w:tcW w:w="890" w:type="dxa"/>
            <w:vMerge w:val="continue"/>
            <w:tcBorders>
              <w:top w:val="single" w:color="000000" w:sz="8" w:space="0"/>
              <w:left w:val="single" w:color="000000" w:sz="4" w:space="0"/>
              <w:bottom w:val="single" w:color="000000" w:sz="4" w:space="0"/>
              <w:right w:val="single" w:color="000000" w:sz="4" w:space="0"/>
            </w:tcBorders>
            <w:vAlign w:val="center"/>
          </w:tcPr>
          <w:p w14:paraId="4C537E76">
            <w:pPr>
              <w:jc w:val="center"/>
              <w:rPr>
                <w:rFonts w:ascii="仿宋" w:hAnsi="仿宋" w:eastAsia="仿宋" w:cs="仿宋"/>
                <w:color w:val="auto"/>
                <w:sz w:val="20"/>
                <w:szCs w:val="20"/>
              </w:rPr>
            </w:pPr>
          </w:p>
        </w:tc>
        <w:tc>
          <w:tcPr>
            <w:tcW w:w="2789" w:type="dxa"/>
            <w:vMerge w:val="continue"/>
            <w:tcBorders>
              <w:top w:val="single" w:color="000000" w:sz="8" w:space="0"/>
              <w:left w:val="single" w:color="000000" w:sz="4" w:space="0"/>
              <w:bottom w:val="single" w:color="000000" w:sz="4" w:space="0"/>
              <w:right w:val="single" w:color="000000" w:sz="4" w:space="0"/>
            </w:tcBorders>
            <w:vAlign w:val="center"/>
          </w:tcPr>
          <w:p w14:paraId="2481C022">
            <w:pPr>
              <w:jc w:val="center"/>
              <w:rPr>
                <w:rFonts w:ascii="仿宋" w:hAnsi="仿宋" w:eastAsia="仿宋" w:cs="仿宋"/>
                <w:color w:val="auto"/>
                <w:sz w:val="20"/>
                <w:szCs w:val="20"/>
              </w:rPr>
            </w:pPr>
          </w:p>
        </w:tc>
        <w:tc>
          <w:tcPr>
            <w:tcW w:w="714" w:type="dxa"/>
            <w:tcBorders>
              <w:top w:val="single" w:color="000000" w:sz="4" w:space="0"/>
              <w:left w:val="single" w:color="000000" w:sz="4" w:space="0"/>
              <w:bottom w:val="single" w:color="000000" w:sz="4" w:space="0"/>
              <w:right w:val="single" w:color="000000" w:sz="4" w:space="0"/>
            </w:tcBorders>
            <w:vAlign w:val="center"/>
          </w:tcPr>
          <w:p w14:paraId="4D7862C6">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总分</w:t>
            </w:r>
          </w:p>
        </w:tc>
        <w:tc>
          <w:tcPr>
            <w:tcW w:w="691" w:type="dxa"/>
            <w:tcBorders>
              <w:top w:val="single" w:color="000000" w:sz="4" w:space="0"/>
              <w:left w:val="single" w:color="000000" w:sz="4" w:space="0"/>
              <w:bottom w:val="single" w:color="000000" w:sz="4" w:space="0"/>
              <w:right w:val="single" w:color="000000" w:sz="4" w:space="0"/>
            </w:tcBorders>
            <w:vAlign w:val="center"/>
          </w:tcPr>
          <w:p w14:paraId="5164E6B1">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评分</w:t>
            </w:r>
          </w:p>
        </w:tc>
        <w:tc>
          <w:tcPr>
            <w:tcW w:w="3704" w:type="dxa"/>
            <w:vMerge w:val="continue"/>
            <w:tcBorders>
              <w:top w:val="single" w:color="000000" w:sz="8" w:space="0"/>
              <w:left w:val="single" w:color="000000" w:sz="4" w:space="0"/>
              <w:bottom w:val="single" w:color="000000" w:sz="4" w:space="0"/>
              <w:right w:val="single" w:color="auto" w:sz="4" w:space="0"/>
            </w:tcBorders>
            <w:vAlign w:val="center"/>
          </w:tcPr>
          <w:p w14:paraId="491AA6AC">
            <w:pPr>
              <w:jc w:val="center"/>
              <w:rPr>
                <w:rFonts w:ascii="仿宋" w:hAnsi="仿宋" w:eastAsia="仿宋" w:cs="仿宋"/>
                <w:color w:val="auto"/>
                <w:sz w:val="20"/>
                <w:szCs w:val="20"/>
              </w:rPr>
            </w:pPr>
          </w:p>
        </w:tc>
      </w:tr>
      <w:tr w14:paraId="037D6081">
        <w:tblPrEx>
          <w:tblCellMar>
            <w:top w:w="0" w:type="dxa"/>
            <w:left w:w="108" w:type="dxa"/>
            <w:bottom w:w="0" w:type="dxa"/>
            <w:right w:w="108" w:type="dxa"/>
          </w:tblCellMar>
        </w:tblPrEx>
        <w:trPr>
          <w:trHeight w:val="520" w:hRule="atLeast"/>
        </w:trPr>
        <w:tc>
          <w:tcPr>
            <w:tcW w:w="489" w:type="dxa"/>
            <w:vMerge w:val="restart"/>
            <w:tcBorders>
              <w:top w:val="single" w:color="000000" w:sz="4" w:space="0"/>
              <w:left w:val="single" w:color="000000" w:sz="8" w:space="0"/>
              <w:bottom w:val="single" w:color="000000" w:sz="4" w:space="0"/>
              <w:right w:val="single" w:color="000000" w:sz="4" w:space="0"/>
            </w:tcBorders>
            <w:vAlign w:val="center"/>
          </w:tcPr>
          <w:p w14:paraId="18F1CDA2">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1</w:t>
            </w:r>
          </w:p>
        </w:tc>
        <w:tc>
          <w:tcPr>
            <w:tcW w:w="890" w:type="dxa"/>
            <w:vMerge w:val="restart"/>
            <w:tcBorders>
              <w:top w:val="single" w:color="000000" w:sz="4" w:space="0"/>
              <w:left w:val="single" w:color="000000" w:sz="4" w:space="0"/>
              <w:bottom w:val="single" w:color="000000" w:sz="4" w:space="0"/>
              <w:right w:val="single" w:color="000000" w:sz="4" w:space="0"/>
            </w:tcBorders>
            <w:vAlign w:val="center"/>
          </w:tcPr>
          <w:p w14:paraId="1F00B947">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餐厅服务</w:t>
            </w:r>
          </w:p>
        </w:tc>
        <w:tc>
          <w:tcPr>
            <w:tcW w:w="2789" w:type="dxa"/>
            <w:tcBorders>
              <w:top w:val="single" w:color="000000" w:sz="4" w:space="0"/>
              <w:left w:val="single" w:color="000000" w:sz="4" w:space="0"/>
              <w:bottom w:val="single" w:color="000000" w:sz="4" w:space="0"/>
              <w:right w:val="single" w:color="000000" w:sz="4" w:space="0"/>
            </w:tcBorders>
            <w:vAlign w:val="center"/>
          </w:tcPr>
          <w:p w14:paraId="73416FEA">
            <w:pPr>
              <w:widowControl/>
              <w:jc w:val="left"/>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餐厅工作人员的服务态度</w:t>
            </w:r>
          </w:p>
        </w:tc>
        <w:tc>
          <w:tcPr>
            <w:tcW w:w="714" w:type="dxa"/>
            <w:tcBorders>
              <w:top w:val="single" w:color="000000" w:sz="4" w:space="0"/>
              <w:left w:val="single" w:color="000000" w:sz="4" w:space="0"/>
              <w:bottom w:val="single" w:color="000000" w:sz="4" w:space="0"/>
              <w:right w:val="single" w:color="000000" w:sz="4" w:space="0"/>
            </w:tcBorders>
            <w:vAlign w:val="center"/>
          </w:tcPr>
          <w:p w14:paraId="217A042B">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30</w:t>
            </w:r>
          </w:p>
        </w:tc>
        <w:tc>
          <w:tcPr>
            <w:tcW w:w="691" w:type="dxa"/>
            <w:tcBorders>
              <w:top w:val="single" w:color="000000" w:sz="4" w:space="0"/>
              <w:left w:val="single" w:color="000000" w:sz="4" w:space="0"/>
              <w:bottom w:val="single" w:color="000000" w:sz="4" w:space="0"/>
              <w:right w:val="single" w:color="000000" w:sz="4" w:space="0"/>
            </w:tcBorders>
            <w:vAlign w:val="center"/>
          </w:tcPr>
          <w:p w14:paraId="342FC2D3">
            <w:pPr>
              <w:jc w:val="center"/>
              <w:rPr>
                <w:rFonts w:ascii="仿宋" w:hAnsi="仿宋" w:eastAsia="仿宋" w:cs="仿宋"/>
                <w:color w:val="auto"/>
                <w:sz w:val="20"/>
                <w:szCs w:val="20"/>
              </w:rPr>
            </w:pPr>
          </w:p>
        </w:tc>
        <w:tc>
          <w:tcPr>
            <w:tcW w:w="3704" w:type="dxa"/>
            <w:tcBorders>
              <w:top w:val="single" w:color="000000" w:sz="4" w:space="0"/>
              <w:left w:val="single" w:color="000000" w:sz="4" w:space="0"/>
              <w:bottom w:val="single" w:color="000000" w:sz="4" w:space="0"/>
              <w:right w:val="single" w:color="auto" w:sz="4" w:space="0"/>
            </w:tcBorders>
            <w:vAlign w:val="center"/>
          </w:tcPr>
          <w:p w14:paraId="64BE4937">
            <w:pPr>
              <w:jc w:val="center"/>
              <w:rPr>
                <w:rFonts w:ascii="仿宋" w:hAnsi="仿宋" w:eastAsia="仿宋" w:cs="仿宋"/>
                <w:color w:val="auto"/>
                <w:sz w:val="20"/>
                <w:szCs w:val="20"/>
              </w:rPr>
            </w:pPr>
          </w:p>
        </w:tc>
      </w:tr>
      <w:tr w14:paraId="77C5B72A">
        <w:tblPrEx>
          <w:tblCellMar>
            <w:top w:w="0" w:type="dxa"/>
            <w:left w:w="108" w:type="dxa"/>
            <w:bottom w:w="0" w:type="dxa"/>
            <w:right w:w="108" w:type="dxa"/>
          </w:tblCellMar>
        </w:tblPrEx>
        <w:trPr>
          <w:trHeight w:val="520" w:hRule="atLeast"/>
        </w:trPr>
        <w:tc>
          <w:tcPr>
            <w:tcW w:w="489" w:type="dxa"/>
            <w:vMerge w:val="continue"/>
            <w:tcBorders>
              <w:top w:val="single" w:color="000000" w:sz="4" w:space="0"/>
              <w:left w:val="single" w:color="000000" w:sz="8" w:space="0"/>
              <w:bottom w:val="single" w:color="000000" w:sz="4" w:space="0"/>
              <w:right w:val="single" w:color="000000" w:sz="4" w:space="0"/>
            </w:tcBorders>
            <w:vAlign w:val="center"/>
          </w:tcPr>
          <w:p w14:paraId="3C6B86A5">
            <w:pPr>
              <w:jc w:val="center"/>
              <w:rPr>
                <w:rFonts w:ascii="仿宋" w:hAnsi="仿宋" w:eastAsia="仿宋" w:cs="仿宋"/>
                <w:color w:val="auto"/>
                <w:sz w:val="20"/>
                <w:szCs w:val="20"/>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14:paraId="02D881A8">
            <w:pPr>
              <w:jc w:val="center"/>
              <w:rPr>
                <w:rFonts w:ascii="仿宋" w:hAnsi="仿宋" w:eastAsia="仿宋" w:cs="仿宋"/>
                <w:color w:val="auto"/>
                <w:sz w:val="20"/>
                <w:szCs w:val="20"/>
              </w:rPr>
            </w:pPr>
          </w:p>
        </w:tc>
        <w:tc>
          <w:tcPr>
            <w:tcW w:w="2789" w:type="dxa"/>
            <w:tcBorders>
              <w:top w:val="single" w:color="000000" w:sz="4" w:space="0"/>
              <w:left w:val="single" w:color="000000" w:sz="4" w:space="0"/>
              <w:bottom w:val="single" w:color="000000" w:sz="4" w:space="0"/>
              <w:right w:val="single" w:color="000000" w:sz="4" w:space="0"/>
            </w:tcBorders>
            <w:vAlign w:val="center"/>
          </w:tcPr>
          <w:p w14:paraId="258FFFAF">
            <w:pPr>
              <w:widowControl/>
              <w:jc w:val="left"/>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餐厅的环境卫生及就餐氛围</w:t>
            </w:r>
          </w:p>
        </w:tc>
        <w:tc>
          <w:tcPr>
            <w:tcW w:w="714" w:type="dxa"/>
            <w:tcBorders>
              <w:top w:val="single" w:color="000000" w:sz="4" w:space="0"/>
              <w:left w:val="single" w:color="000000" w:sz="4" w:space="0"/>
              <w:bottom w:val="single" w:color="000000" w:sz="4" w:space="0"/>
              <w:right w:val="single" w:color="000000" w:sz="4" w:space="0"/>
            </w:tcBorders>
            <w:vAlign w:val="center"/>
          </w:tcPr>
          <w:p w14:paraId="54A26BEA">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25</w:t>
            </w:r>
          </w:p>
        </w:tc>
        <w:tc>
          <w:tcPr>
            <w:tcW w:w="691" w:type="dxa"/>
            <w:tcBorders>
              <w:top w:val="single" w:color="000000" w:sz="4" w:space="0"/>
              <w:left w:val="single" w:color="000000" w:sz="4" w:space="0"/>
              <w:bottom w:val="single" w:color="000000" w:sz="4" w:space="0"/>
              <w:right w:val="single" w:color="000000" w:sz="4" w:space="0"/>
            </w:tcBorders>
            <w:vAlign w:val="center"/>
          </w:tcPr>
          <w:p w14:paraId="3582A243">
            <w:pPr>
              <w:jc w:val="center"/>
              <w:rPr>
                <w:rFonts w:ascii="仿宋" w:hAnsi="仿宋" w:eastAsia="仿宋" w:cs="仿宋"/>
                <w:color w:val="auto"/>
                <w:sz w:val="20"/>
                <w:szCs w:val="20"/>
              </w:rPr>
            </w:pPr>
          </w:p>
        </w:tc>
        <w:tc>
          <w:tcPr>
            <w:tcW w:w="3704" w:type="dxa"/>
            <w:tcBorders>
              <w:top w:val="single" w:color="000000" w:sz="4" w:space="0"/>
              <w:left w:val="single" w:color="000000" w:sz="4" w:space="0"/>
              <w:bottom w:val="single" w:color="000000" w:sz="4" w:space="0"/>
              <w:right w:val="single" w:color="auto" w:sz="4" w:space="0"/>
            </w:tcBorders>
            <w:vAlign w:val="center"/>
          </w:tcPr>
          <w:p w14:paraId="0C1E3F9F">
            <w:pPr>
              <w:jc w:val="center"/>
              <w:rPr>
                <w:rFonts w:ascii="仿宋" w:hAnsi="仿宋" w:eastAsia="仿宋" w:cs="仿宋"/>
                <w:color w:val="auto"/>
                <w:sz w:val="20"/>
                <w:szCs w:val="20"/>
              </w:rPr>
            </w:pPr>
          </w:p>
        </w:tc>
      </w:tr>
      <w:tr w14:paraId="3B9D3589">
        <w:tblPrEx>
          <w:tblCellMar>
            <w:top w:w="0" w:type="dxa"/>
            <w:left w:w="108" w:type="dxa"/>
            <w:bottom w:w="0" w:type="dxa"/>
            <w:right w:w="108" w:type="dxa"/>
          </w:tblCellMar>
        </w:tblPrEx>
        <w:trPr>
          <w:trHeight w:val="520" w:hRule="atLeast"/>
        </w:trPr>
        <w:tc>
          <w:tcPr>
            <w:tcW w:w="489" w:type="dxa"/>
            <w:vMerge w:val="continue"/>
            <w:tcBorders>
              <w:top w:val="single" w:color="000000" w:sz="4" w:space="0"/>
              <w:left w:val="single" w:color="000000" w:sz="8" w:space="0"/>
              <w:bottom w:val="single" w:color="000000" w:sz="4" w:space="0"/>
              <w:right w:val="single" w:color="000000" w:sz="4" w:space="0"/>
            </w:tcBorders>
            <w:vAlign w:val="center"/>
          </w:tcPr>
          <w:p w14:paraId="43D25AEC">
            <w:pPr>
              <w:jc w:val="center"/>
              <w:rPr>
                <w:rFonts w:ascii="仿宋" w:hAnsi="仿宋" w:eastAsia="仿宋" w:cs="仿宋"/>
                <w:color w:val="auto"/>
                <w:sz w:val="20"/>
                <w:szCs w:val="20"/>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14:paraId="554E10F7">
            <w:pPr>
              <w:jc w:val="center"/>
              <w:rPr>
                <w:rFonts w:ascii="仿宋" w:hAnsi="仿宋" w:eastAsia="仿宋" w:cs="仿宋"/>
                <w:color w:val="auto"/>
                <w:sz w:val="20"/>
                <w:szCs w:val="20"/>
              </w:rPr>
            </w:pPr>
          </w:p>
        </w:tc>
        <w:tc>
          <w:tcPr>
            <w:tcW w:w="2789" w:type="dxa"/>
            <w:tcBorders>
              <w:top w:val="single" w:color="000000" w:sz="4" w:space="0"/>
              <w:left w:val="single" w:color="000000" w:sz="4" w:space="0"/>
              <w:bottom w:val="single" w:color="000000" w:sz="4" w:space="0"/>
              <w:right w:val="single" w:color="000000" w:sz="4" w:space="0"/>
            </w:tcBorders>
            <w:vAlign w:val="center"/>
          </w:tcPr>
          <w:p w14:paraId="241B4924">
            <w:pPr>
              <w:widowControl/>
              <w:jc w:val="left"/>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餐厅的菜品质量及餐食卫生</w:t>
            </w:r>
          </w:p>
        </w:tc>
        <w:tc>
          <w:tcPr>
            <w:tcW w:w="714" w:type="dxa"/>
            <w:tcBorders>
              <w:top w:val="single" w:color="000000" w:sz="4" w:space="0"/>
              <w:left w:val="single" w:color="000000" w:sz="4" w:space="0"/>
              <w:bottom w:val="single" w:color="000000" w:sz="4" w:space="0"/>
              <w:right w:val="single" w:color="000000" w:sz="4" w:space="0"/>
            </w:tcBorders>
            <w:vAlign w:val="center"/>
          </w:tcPr>
          <w:p w14:paraId="196CBE1D">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25</w:t>
            </w:r>
          </w:p>
        </w:tc>
        <w:tc>
          <w:tcPr>
            <w:tcW w:w="691" w:type="dxa"/>
            <w:tcBorders>
              <w:top w:val="single" w:color="000000" w:sz="4" w:space="0"/>
              <w:left w:val="single" w:color="000000" w:sz="4" w:space="0"/>
              <w:bottom w:val="single" w:color="000000" w:sz="4" w:space="0"/>
              <w:right w:val="single" w:color="000000" w:sz="4" w:space="0"/>
            </w:tcBorders>
            <w:vAlign w:val="center"/>
          </w:tcPr>
          <w:p w14:paraId="7E231185">
            <w:pPr>
              <w:jc w:val="center"/>
              <w:rPr>
                <w:rFonts w:ascii="仿宋" w:hAnsi="仿宋" w:eastAsia="仿宋" w:cs="仿宋"/>
                <w:color w:val="auto"/>
                <w:sz w:val="20"/>
                <w:szCs w:val="20"/>
              </w:rPr>
            </w:pPr>
          </w:p>
        </w:tc>
        <w:tc>
          <w:tcPr>
            <w:tcW w:w="3704" w:type="dxa"/>
            <w:tcBorders>
              <w:top w:val="single" w:color="000000" w:sz="4" w:space="0"/>
              <w:left w:val="single" w:color="000000" w:sz="4" w:space="0"/>
              <w:bottom w:val="single" w:color="000000" w:sz="4" w:space="0"/>
              <w:right w:val="single" w:color="auto" w:sz="4" w:space="0"/>
            </w:tcBorders>
            <w:vAlign w:val="center"/>
          </w:tcPr>
          <w:p w14:paraId="2E2AF14C">
            <w:pPr>
              <w:jc w:val="center"/>
              <w:rPr>
                <w:rFonts w:ascii="仿宋" w:hAnsi="仿宋" w:eastAsia="仿宋" w:cs="仿宋"/>
                <w:color w:val="auto"/>
                <w:sz w:val="20"/>
                <w:szCs w:val="20"/>
              </w:rPr>
            </w:pPr>
          </w:p>
        </w:tc>
      </w:tr>
      <w:tr w14:paraId="510CF9BC">
        <w:tblPrEx>
          <w:tblCellMar>
            <w:top w:w="0" w:type="dxa"/>
            <w:left w:w="108" w:type="dxa"/>
            <w:bottom w:w="0" w:type="dxa"/>
            <w:right w:w="108" w:type="dxa"/>
          </w:tblCellMar>
        </w:tblPrEx>
        <w:trPr>
          <w:trHeight w:val="520" w:hRule="atLeast"/>
        </w:trPr>
        <w:tc>
          <w:tcPr>
            <w:tcW w:w="489" w:type="dxa"/>
            <w:vMerge w:val="continue"/>
            <w:tcBorders>
              <w:top w:val="single" w:color="000000" w:sz="4" w:space="0"/>
              <w:left w:val="single" w:color="000000" w:sz="8" w:space="0"/>
              <w:bottom w:val="single" w:color="000000" w:sz="4" w:space="0"/>
              <w:right w:val="single" w:color="000000" w:sz="4" w:space="0"/>
            </w:tcBorders>
            <w:vAlign w:val="center"/>
          </w:tcPr>
          <w:p w14:paraId="45152230">
            <w:pPr>
              <w:jc w:val="center"/>
              <w:rPr>
                <w:rFonts w:ascii="仿宋" w:hAnsi="仿宋" w:eastAsia="仿宋" w:cs="仿宋"/>
                <w:color w:val="auto"/>
                <w:sz w:val="20"/>
                <w:szCs w:val="20"/>
              </w:rPr>
            </w:pPr>
          </w:p>
        </w:tc>
        <w:tc>
          <w:tcPr>
            <w:tcW w:w="890" w:type="dxa"/>
            <w:vMerge w:val="continue"/>
            <w:tcBorders>
              <w:top w:val="single" w:color="000000" w:sz="4" w:space="0"/>
              <w:left w:val="single" w:color="000000" w:sz="4" w:space="0"/>
              <w:bottom w:val="single" w:color="000000" w:sz="4" w:space="0"/>
              <w:right w:val="single" w:color="000000" w:sz="4" w:space="0"/>
            </w:tcBorders>
            <w:vAlign w:val="center"/>
          </w:tcPr>
          <w:p w14:paraId="671A0443">
            <w:pPr>
              <w:jc w:val="center"/>
              <w:rPr>
                <w:rFonts w:ascii="仿宋" w:hAnsi="仿宋" w:eastAsia="仿宋" w:cs="仿宋"/>
                <w:color w:val="auto"/>
                <w:sz w:val="20"/>
                <w:szCs w:val="20"/>
              </w:rPr>
            </w:pPr>
          </w:p>
        </w:tc>
        <w:tc>
          <w:tcPr>
            <w:tcW w:w="2789" w:type="dxa"/>
            <w:tcBorders>
              <w:top w:val="single" w:color="000000" w:sz="4" w:space="0"/>
              <w:left w:val="single" w:color="000000" w:sz="4" w:space="0"/>
              <w:bottom w:val="single" w:color="000000" w:sz="4" w:space="0"/>
              <w:right w:val="single" w:color="000000" w:sz="4" w:space="0"/>
            </w:tcBorders>
            <w:vAlign w:val="center"/>
          </w:tcPr>
          <w:p w14:paraId="17956829">
            <w:pPr>
              <w:widowControl/>
              <w:jc w:val="left"/>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餐厅的菜品口味及新鲜度</w:t>
            </w:r>
          </w:p>
        </w:tc>
        <w:tc>
          <w:tcPr>
            <w:tcW w:w="714" w:type="dxa"/>
            <w:tcBorders>
              <w:top w:val="single" w:color="000000" w:sz="4" w:space="0"/>
              <w:left w:val="single" w:color="000000" w:sz="4" w:space="0"/>
              <w:bottom w:val="single" w:color="000000" w:sz="4" w:space="0"/>
              <w:right w:val="single" w:color="000000" w:sz="4" w:space="0"/>
            </w:tcBorders>
            <w:vAlign w:val="center"/>
          </w:tcPr>
          <w:p w14:paraId="2BA1A62E">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20</w:t>
            </w:r>
          </w:p>
        </w:tc>
        <w:tc>
          <w:tcPr>
            <w:tcW w:w="691" w:type="dxa"/>
            <w:tcBorders>
              <w:top w:val="single" w:color="000000" w:sz="4" w:space="0"/>
              <w:left w:val="single" w:color="000000" w:sz="4" w:space="0"/>
              <w:bottom w:val="single" w:color="000000" w:sz="4" w:space="0"/>
              <w:right w:val="single" w:color="000000" w:sz="4" w:space="0"/>
            </w:tcBorders>
            <w:vAlign w:val="center"/>
          </w:tcPr>
          <w:p w14:paraId="702B42C4">
            <w:pPr>
              <w:jc w:val="center"/>
              <w:rPr>
                <w:rFonts w:ascii="仿宋" w:hAnsi="仿宋" w:eastAsia="仿宋" w:cs="仿宋"/>
                <w:color w:val="auto"/>
                <w:sz w:val="20"/>
                <w:szCs w:val="20"/>
              </w:rPr>
            </w:pPr>
          </w:p>
        </w:tc>
        <w:tc>
          <w:tcPr>
            <w:tcW w:w="3704" w:type="dxa"/>
            <w:tcBorders>
              <w:top w:val="single" w:color="000000" w:sz="4" w:space="0"/>
              <w:left w:val="single" w:color="000000" w:sz="4" w:space="0"/>
              <w:bottom w:val="single" w:color="000000" w:sz="4" w:space="0"/>
              <w:right w:val="single" w:color="auto" w:sz="4" w:space="0"/>
            </w:tcBorders>
            <w:vAlign w:val="center"/>
          </w:tcPr>
          <w:p w14:paraId="06AC4EE7">
            <w:pPr>
              <w:jc w:val="center"/>
              <w:rPr>
                <w:rFonts w:ascii="仿宋" w:hAnsi="仿宋" w:eastAsia="仿宋" w:cs="仿宋"/>
                <w:color w:val="auto"/>
                <w:sz w:val="20"/>
                <w:szCs w:val="20"/>
              </w:rPr>
            </w:pPr>
          </w:p>
        </w:tc>
      </w:tr>
      <w:tr w14:paraId="104314CA">
        <w:tblPrEx>
          <w:tblCellMar>
            <w:top w:w="0" w:type="dxa"/>
            <w:left w:w="108" w:type="dxa"/>
            <w:bottom w:w="0" w:type="dxa"/>
            <w:right w:w="108" w:type="dxa"/>
          </w:tblCellMar>
        </w:tblPrEx>
        <w:trPr>
          <w:trHeight w:val="944" w:hRule="atLeast"/>
        </w:trPr>
        <w:tc>
          <w:tcPr>
            <w:tcW w:w="489" w:type="dxa"/>
            <w:tcBorders>
              <w:top w:val="single" w:color="000000" w:sz="4" w:space="0"/>
              <w:left w:val="single" w:color="000000" w:sz="8" w:space="0"/>
              <w:bottom w:val="single" w:color="000000" w:sz="4" w:space="0"/>
              <w:right w:val="single" w:color="000000" w:sz="4" w:space="0"/>
            </w:tcBorders>
            <w:vAlign w:val="center"/>
          </w:tcPr>
          <w:p w14:paraId="1E6A3320">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2</w:t>
            </w:r>
          </w:p>
        </w:tc>
        <w:tc>
          <w:tcPr>
            <w:tcW w:w="890" w:type="dxa"/>
            <w:tcBorders>
              <w:top w:val="single" w:color="000000" w:sz="4" w:space="0"/>
              <w:left w:val="single" w:color="000000" w:sz="4" w:space="0"/>
              <w:bottom w:val="single" w:color="000000" w:sz="4" w:space="0"/>
              <w:right w:val="single" w:color="000000" w:sz="4" w:space="0"/>
            </w:tcBorders>
            <w:vAlign w:val="center"/>
          </w:tcPr>
          <w:p w14:paraId="1014BF29">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其他期望、意见或建议</w:t>
            </w:r>
          </w:p>
        </w:tc>
        <w:tc>
          <w:tcPr>
            <w:tcW w:w="7898" w:type="dxa"/>
            <w:gridSpan w:val="4"/>
            <w:tcBorders>
              <w:top w:val="single" w:color="000000" w:sz="4" w:space="0"/>
              <w:left w:val="single" w:color="000000" w:sz="4" w:space="0"/>
              <w:bottom w:val="nil"/>
              <w:right w:val="single" w:color="000000" w:sz="4" w:space="0"/>
            </w:tcBorders>
            <w:vAlign w:val="center"/>
          </w:tcPr>
          <w:p w14:paraId="6013D9B3">
            <w:pPr>
              <w:jc w:val="left"/>
              <w:rPr>
                <w:rFonts w:ascii="仿宋" w:hAnsi="仿宋" w:eastAsia="仿宋" w:cs="仿宋"/>
                <w:color w:val="auto"/>
                <w:sz w:val="20"/>
                <w:szCs w:val="20"/>
              </w:rPr>
            </w:pPr>
          </w:p>
        </w:tc>
      </w:tr>
      <w:tr w14:paraId="5ED51246">
        <w:tblPrEx>
          <w:tblCellMar>
            <w:top w:w="0" w:type="dxa"/>
            <w:left w:w="108" w:type="dxa"/>
            <w:bottom w:w="0" w:type="dxa"/>
            <w:right w:w="108" w:type="dxa"/>
          </w:tblCellMar>
        </w:tblPrEx>
        <w:trPr>
          <w:trHeight w:val="652" w:hRule="atLeast"/>
        </w:trPr>
        <w:tc>
          <w:tcPr>
            <w:tcW w:w="489" w:type="dxa"/>
            <w:tcBorders>
              <w:top w:val="single" w:color="000000" w:sz="4" w:space="0"/>
              <w:left w:val="single" w:color="000000" w:sz="8" w:space="0"/>
              <w:bottom w:val="single" w:color="000000" w:sz="8" w:space="0"/>
              <w:right w:val="single" w:color="000000" w:sz="4" w:space="0"/>
            </w:tcBorders>
            <w:vAlign w:val="center"/>
          </w:tcPr>
          <w:p w14:paraId="6E733423">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3</w:t>
            </w:r>
          </w:p>
        </w:tc>
        <w:tc>
          <w:tcPr>
            <w:tcW w:w="890" w:type="dxa"/>
            <w:tcBorders>
              <w:top w:val="single" w:color="000000" w:sz="4" w:space="0"/>
              <w:left w:val="single" w:color="000000" w:sz="4" w:space="0"/>
              <w:bottom w:val="single" w:color="000000" w:sz="8" w:space="0"/>
              <w:right w:val="single" w:color="000000" w:sz="4" w:space="0"/>
            </w:tcBorders>
            <w:vAlign w:val="center"/>
          </w:tcPr>
          <w:p w14:paraId="0541CB36">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客户签字确认</w:t>
            </w:r>
          </w:p>
        </w:tc>
        <w:tc>
          <w:tcPr>
            <w:tcW w:w="7898" w:type="dxa"/>
            <w:gridSpan w:val="4"/>
            <w:tcBorders>
              <w:top w:val="single" w:color="000000" w:sz="4" w:space="0"/>
              <w:left w:val="single" w:color="000000" w:sz="4" w:space="0"/>
              <w:bottom w:val="single" w:color="000000" w:sz="8" w:space="0"/>
              <w:right w:val="single" w:color="000000" w:sz="4" w:space="0"/>
            </w:tcBorders>
            <w:vAlign w:val="center"/>
          </w:tcPr>
          <w:p w14:paraId="09C2C916">
            <w:pPr>
              <w:jc w:val="center"/>
              <w:rPr>
                <w:rFonts w:ascii="仿宋" w:hAnsi="仿宋" w:eastAsia="仿宋" w:cs="仿宋"/>
                <w:color w:val="auto"/>
                <w:sz w:val="20"/>
                <w:szCs w:val="20"/>
              </w:rPr>
            </w:pPr>
          </w:p>
        </w:tc>
      </w:tr>
    </w:tbl>
    <w:p w14:paraId="7C40293E">
      <w:pPr>
        <w:rPr>
          <w:b/>
          <w:color w:val="auto"/>
          <w:sz w:val="24"/>
        </w:rPr>
      </w:pPr>
    </w:p>
    <w:p w14:paraId="71F2C58D">
      <w:pPr>
        <w:spacing w:line="360" w:lineRule="exact"/>
        <w:rPr>
          <w:b/>
          <w:bCs/>
          <w:color w:val="auto"/>
          <w:sz w:val="24"/>
        </w:rPr>
      </w:pPr>
      <w:r>
        <w:rPr>
          <w:rFonts w:hint="eastAsia"/>
          <w:b/>
          <w:bCs/>
          <w:color w:val="auto"/>
          <w:sz w:val="24"/>
        </w:rPr>
        <w:t>四、实施细则</w:t>
      </w:r>
    </w:p>
    <w:p w14:paraId="6AF3D474">
      <w:pPr>
        <w:spacing w:line="360" w:lineRule="exact"/>
        <w:rPr>
          <w:rFonts w:ascii="宋体" w:hAnsi="宋体" w:cs="宋体"/>
          <w:color w:val="auto"/>
          <w:kern w:val="0"/>
          <w:szCs w:val="21"/>
        </w:rPr>
      </w:pPr>
      <w:r>
        <w:rPr>
          <w:rFonts w:hint="eastAsia" w:ascii="宋体" w:hAnsi="宋体" w:cs="宋体"/>
          <w:color w:val="auto"/>
          <w:kern w:val="0"/>
          <w:szCs w:val="21"/>
        </w:rPr>
        <w:t>1、考核：</w:t>
      </w:r>
      <w:r>
        <w:rPr>
          <w:rFonts w:hint="eastAsia" w:ascii="宋体" w:hAnsi="宋体"/>
          <w:color w:val="auto"/>
          <w:kern w:val="0"/>
          <w:szCs w:val="21"/>
        </w:rPr>
        <w:t>严按上述标准加分或扣分，</w:t>
      </w:r>
      <w:r>
        <w:rPr>
          <w:rFonts w:hint="eastAsia" w:ascii="宋体" w:hAnsi="宋体" w:cs="宋体"/>
          <w:color w:val="auto"/>
          <w:kern w:val="0"/>
          <w:szCs w:val="21"/>
        </w:rPr>
        <w:t>考核必须以事实为依据，必须公平、公正、公开；</w:t>
      </w:r>
    </w:p>
    <w:p w14:paraId="2059F6E0">
      <w:pPr>
        <w:spacing w:line="360" w:lineRule="exact"/>
        <w:ind w:left="315" w:hanging="315" w:hangingChars="150"/>
        <w:rPr>
          <w:rFonts w:ascii="宋体" w:hAnsi="宋体"/>
          <w:color w:val="auto"/>
          <w:kern w:val="0"/>
          <w:szCs w:val="21"/>
        </w:rPr>
      </w:pPr>
      <w:r>
        <w:rPr>
          <w:rFonts w:hint="eastAsia" w:ascii="宋体" w:hAnsi="宋体" w:cs="宋体"/>
          <w:color w:val="auto"/>
          <w:kern w:val="0"/>
          <w:szCs w:val="21"/>
        </w:rPr>
        <w:t>2、</w:t>
      </w:r>
      <w:r>
        <w:rPr>
          <w:rFonts w:hint="eastAsia" w:ascii="宋体" w:hAnsi="宋体"/>
          <w:color w:val="auto"/>
          <w:kern w:val="0"/>
          <w:szCs w:val="21"/>
        </w:rPr>
        <w:t>奖惩：</w:t>
      </w:r>
    </w:p>
    <w:p w14:paraId="333EDFCC">
      <w:pPr>
        <w:spacing w:line="360" w:lineRule="exact"/>
        <w:ind w:firstLine="420" w:firstLineChars="200"/>
        <w:rPr>
          <w:rFonts w:ascii="宋体" w:hAnsi="宋体"/>
          <w:color w:val="auto"/>
          <w:kern w:val="0"/>
          <w:szCs w:val="21"/>
        </w:rPr>
      </w:pPr>
      <w:r>
        <w:rPr>
          <w:rFonts w:hint="eastAsia" w:ascii="宋体" w:hAnsi="宋体"/>
          <w:color w:val="auto"/>
          <w:kern w:val="0"/>
          <w:szCs w:val="21"/>
        </w:rPr>
        <w:t>2.1  经营户年度累计扣分达40分，甲方有权终止合同，取消经营户的经营资格；</w:t>
      </w:r>
    </w:p>
    <w:p w14:paraId="1147748B">
      <w:pPr>
        <w:spacing w:line="360" w:lineRule="exact"/>
        <w:ind w:firstLine="420" w:firstLineChars="200"/>
        <w:rPr>
          <w:rFonts w:ascii="宋体" w:hAnsi="宋体"/>
          <w:color w:val="auto"/>
          <w:kern w:val="0"/>
          <w:szCs w:val="21"/>
        </w:rPr>
      </w:pPr>
      <w:r>
        <w:rPr>
          <w:rFonts w:hint="eastAsia" w:ascii="宋体" w:hAnsi="宋体"/>
          <w:color w:val="auto"/>
          <w:kern w:val="0"/>
          <w:szCs w:val="21"/>
        </w:rPr>
        <w:t>2.2 对擅自转让、转包的经营户无论是转让方或受让方，均实行一票否决制，立即解除合同、收回场地，向原经营户收取违约金；</w:t>
      </w:r>
    </w:p>
    <w:p w14:paraId="573C144B">
      <w:pPr>
        <w:spacing w:line="360" w:lineRule="exact"/>
        <w:ind w:firstLine="420" w:firstLineChars="200"/>
        <w:rPr>
          <w:color w:val="auto"/>
        </w:rPr>
      </w:pPr>
      <w:r>
        <w:rPr>
          <w:rFonts w:hint="eastAsia" w:ascii="宋体" w:hAnsi="宋体"/>
          <w:color w:val="auto"/>
          <w:kern w:val="0"/>
          <w:szCs w:val="21"/>
        </w:rPr>
        <w:t>2.3 季度食堂满意度调查平均得分大于90分，给予季度营业额3‰奖励，平均得分低于80分给予季度营业额5‰惩罚。</w:t>
      </w:r>
    </w:p>
    <w:p w14:paraId="5F89B369">
      <w:pPr>
        <w:spacing w:line="360" w:lineRule="exact"/>
        <w:rPr>
          <w:rFonts w:ascii="宋体" w:hAnsi="宋体"/>
          <w:color w:val="auto"/>
          <w:kern w:val="0"/>
          <w:szCs w:val="21"/>
        </w:rPr>
      </w:pPr>
      <w:r>
        <w:rPr>
          <w:rFonts w:hint="eastAsia"/>
          <w:color w:val="auto"/>
          <w:kern w:val="0"/>
          <w:szCs w:val="21"/>
        </w:rPr>
        <w:t>3、其他：</w:t>
      </w:r>
      <w:r>
        <w:rPr>
          <w:rFonts w:hint="eastAsia" w:ascii="宋体" w:hAnsi="宋体"/>
          <w:color w:val="auto"/>
          <w:kern w:val="0"/>
          <w:szCs w:val="21"/>
        </w:rPr>
        <w:t>本考核细则作为本合同附件，具有同样法律效力，并同时于</w:t>
      </w:r>
      <w:r>
        <w:rPr>
          <w:rFonts w:hint="eastAsia"/>
          <w:color w:val="auto"/>
          <w:kern w:val="0"/>
          <w:szCs w:val="21"/>
        </w:rPr>
        <w:t>2022</w:t>
      </w:r>
      <w:r>
        <w:rPr>
          <w:rFonts w:hint="eastAsia" w:ascii="宋体" w:hAnsi="宋体"/>
          <w:color w:val="auto"/>
          <w:kern w:val="0"/>
          <w:szCs w:val="21"/>
        </w:rPr>
        <w:t>年</w:t>
      </w:r>
      <w:r>
        <w:rPr>
          <w:rFonts w:hint="eastAsia"/>
          <w:color w:val="auto"/>
          <w:kern w:val="0"/>
          <w:szCs w:val="21"/>
        </w:rPr>
        <w:t>XX</w:t>
      </w:r>
      <w:r>
        <w:rPr>
          <w:rFonts w:hint="eastAsia" w:ascii="宋体" w:hAnsi="宋体"/>
          <w:color w:val="auto"/>
          <w:kern w:val="0"/>
          <w:szCs w:val="21"/>
        </w:rPr>
        <w:t>月</w:t>
      </w:r>
      <w:r>
        <w:rPr>
          <w:rFonts w:hint="eastAsia"/>
          <w:color w:val="auto"/>
          <w:kern w:val="0"/>
          <w:szCs w:val="21"/>
        </w:rPr>
        <w:t>XX</w:t>
      </w:r>
      <w:r>
        <w:rPr>
          <w:rFonts w:hint="eastAsia" w:ascii="宋体" w:hAnsi="宋体"/>
          <w:color w:val="auto"/>
          <w:kern w:val="0"/>
          <w:szCs w:val="21"/>
        </w:rPr>
        <w:t>日生效。</w:t>
      </w:r>
    </w:p>
    <w:p w14:paraId="64E399F2">
      <w:pPr>
        <w:spacing w:line="360" w:lineRule="exact"/>
        <w:rPr>
          <w:rFonts w:ascii="宋体" w:hAnsi="宋体"/>
          <w:color w:val="auto"/>
          <w:kern w:val="0"/>
          <w:szCs w:val="21"/>
        </w:rPr>
      </w:pPr>
    </w:p>
    <w:p w14:paraId="44260935">
      <w:pPr>
        <w:spacing w:line="360" w:lineRule="exact"/>
        <w:jc w:val="right"/>
        <w:rPr>
          <w:rFonts w:ascii="宋体" w:hAnsi="宋体"/>
          <w:color w:val="auto"/>
          <w:kern w:val="0"/>
          <w:sz w:val="24"/>
        </w:rPr>
      </w:pPr>
      <w:r>
        <w:rPr>
          <w:rFonts w:hint="eastAsia" w:ascii="宋体" w:hAnsi="宋体"/>
          <w:color w:val="auto"/>
          <w:kern w:val="0"/>
          <w:szCs w:val="21"/>
        </w:rPr>
        <w:t xml:space="preserve">                                 </w:t>
      </w:r>
      <w:r>
        <w:rPr>
          <w:rFonts w:hint="eastAsia"/>
          <w:color w:val="auto"/>
          <w:sz w:val="24"/>
          <w:lang w:eastAsia="zh-CN"/>
        </w:rPr>
        <w:t>滁州工投高新科技园有限公司</w:t>
      </w:r>
      <w:r>
        <w:rPr>
          <w:rFonts w:hint="eastAsia"/>
          <w:color w:val="auto"/>
          <w:sz w:val="24"/>
        </w:rPr>
        <w:t>客户服务部</w:t>
      </w:r>
    </w:p>
    <w:p w14:paraId="7C337C78">
      <w:pPr>
        <w:spacing w:line="360" w:lineRule="exact"/>
        <w:ind w:right="480" w:firstLine="5160" w:firstLineChars="2150"/>
        <w:rPr>
          <w:rFonts w:ascii="宋体" w:hAnsi="宋体"/>
          <w:color w:val="auto"/>
          <w:kern w:val="0"/>
          <w:sz w:val="24"/>
        </w:rPr>
      </w:pPr>
      <w:r>
        <w:rPr>
          <w:rFonts w:hint="eastAsia" w:ascii="宋体" w:hAnsi="宋体"/>
          <w:color w:val="auto"/>
          <w:kern w:val="0"/>
          <w:sz w:val="24"/>
        </w:rPr>
        <w:t>202</w:t>
      </w:r>
      <w:r>
        <w:rPr>
          <w:rFonts w:hint="eastAsia" w:ascii="宋体" w:hAnsi="宋体"/>
          <w:color w:val="auto"/>
          <w:kern w:val="0"/>
          <w:sz w:val="24"/>
          <w:lang w:val="en-US" w:eastAsia="zh-CN"/>
        </w:rPr>
        <w:t>4</w:t>
      </w:r>
      <w:r>
        <w:rPr>
          <w:rFonts w:hint="eastAsia" w:ascii="宋体" w:hAnsi="宋体"/>
          <w:color w:val="auto"/>
          <w:kern w:val="0"/>
          <w:sz w:val="24"/>
        </w:rPr>
        <w:t>年   月   日</w:t>
      </w:r>
    </w:p>
    <w:p w14:paraId="522055A7">
      <w:pPr>
        <w:spacing w:line="360" w:lineRule="exact"/>
        <w:ind w:left="200" w:leftChars="-86" w:right="-178" w:rightChars="-85" w:hanging="381" w:hangingChars="158"/>
        <w:rPr>
          <w:rFonts w:ascii="宋体" w:hAnsi="宋体" w:cs="宋体"/>
          <w:b/>
          <w:bCs/>
          <w:color w:val="auto"/>
          <w:sz w:val="24"/>
        </w:rPr>
      </w:pPr>
      <w:r>
        <w:rPr>
          <w:rFonts w:hint="eastAsia" w:ascii="宋体" w:hAnsi="宋体" w:cs="宋体"/>
          <w:b/>
          <w:bCs/>
          <w:color w:val="auto"/>
          <w:sz w:val="24"/>
        </w:rPr>
        <w:t>……………………………………………………………………………………………</w:t>
      </w:r>
    </w:p>
    <w:p w14:paraId="73875E83">
      <w:pPr>
        <w:spacing w:line="360" w:lineRule="exact"/>
        <w:ind w:left="197" w:leftChars="94" w:right="-178" w:rightChars="-85"/>
        <w:rPr>
          <w:color w:val="auto"/>
          <w:sz w:val="24"/>
        </w:rPr>
      </w:pPr>
      <w:r>
        <w:rPr>
          <w:rFonts w:hint="eastAsia"/>
          <w:color w:val="auto"/>
          <w:sz w:val="24"/>
        </w:rPr>
        <w:t>我单位</w:t>
      </w:r>
      <w:r>
        <w:rPr>
          <w:color w:val="auto"/>
          <w:sz w:val="24"/>
        </w:rPr>
        <w:t>已详细阅读并完全理解</w:t>
      </w:r>
      <w:r>
        <w:rPr>
          <w:rFonts w:hint="eastAsia"/>
          <w:color w:val="auto"/>
          <w:sz w:val="24"/>
        </w:rPr>
        <w:t>上述考核实施细则的全部内容，同意执行该考核实施细则。</w:t>
      </w:r>
    </w:p>
    <w:p w14:paraId="6741CD6A">
      <w:pPr>
        <w:spacing w:line="360" w:lineRule="exact"/>
        <w:ind w:right="-540" w:rightChars="-257" w:firstLine="2400" w:firstLineChars="1000"/>
        <w:rPr>
          <w:color w:val="auto"/>
        </w:rPr>
      </w:pPr>
      <w:r>
        <w:rPr>
          <w:rFonts w:hint="eastAsia"/>
          <w:color w:val="auto"/>
          <w:sz w:val="24"/>
        </w:rPr>
        <w:t>签名或单位盖章：</w:t>
      </w:r>
      <w:r>
        <w:rPr>
          <w:rFonts w:hint="eastAsia"/>
          <w:color w:val="auto"/>
          <w:sz w:val="24"/>
          <w:u w:val="single"/>
        </w:rPr>
        <w:t xml:space="preserve">                </w:t>
      </w:r>
      <w:r>
        <w:rPr>
          <w:rFonts w:hint="eastAsia"/>
          <w:color w:val="auto"/>
          <w:sz w:val="24"/>
        </w:rPr>
        <w:t xml:space="preserve">  日期：</w:t>
      </w:r>
      <w:r>
        <w:rPr>
          <w:rFonts w:hint="eastAsia"/>
          <w:color w:val="auto"/>
          <w:sz w:val="24"/>
          <w:u w:val="single"/>
        </w:rPr>
        <w:t xml:space="preserve">          </w:t>
      </w:r>
    </w:p>
    <w:p w14:paraId="557A003E">
      <w:pPr>
        <w:pStyle w:val="25"/>
        <w:spacing w:line="500" w:lineRule="atLeast"/>
        <w:ind w:firstLine="560"/>
        <w:rPr>
          <w:rFonts w:hint="default" w:ascii="楷体_GB2312" w:hAnsi="楷体_GB2312" w:eastAsia="楷体_GB2312"/>
          <w:color w:val="auto"/>
          <w:sz w:val="28"/>
        </w:rPr>
      </w:pPr>
    </w:p>
    <w:p w14:paraId="0B87F59A">
      <w:pPr>
        <w:pStyle w:val="9"/>
        <w:widowControl/>
        <w:spacing w:line="400" w:lineRule="exact"/>
        <w:rPr>
          <w:rFonts w:hint="default" w:ascii="宋体" w:hAnsi="宋体" w:cs="宋体"/>
          <w:color w:val="auto"/>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BAD0C4"/>
    <w:multiLevelType w:val="singleLevel"/>
    <w:tmpl w:val="C7BAD0C4"/>
    <w:lvl w:ilvl="0" w:tentative="0">
      <w:start w:val="3"/>
      <w:numFmt w:val="chineseCounting"/>
      <w:suff w:val="nothing"/>
      <w:lvlText w:val="（%1）"/>
      <w:lvlJc w:val="left"/>
      <w:rPr>
        <w:rFonts w:hint="eastAsia"/>
      </w:rPr>
    </w:lvl>
  </w:abstractNum>
  <w:abstractNum w:abstractNumId="1">
    <w:nsid w:val="0D3D0E95"/>
    <w:multiLevelType w:val="multilevel"/>
    <w:tmpl w:val="0D3D0E95"/>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xMjA2MWRjMTAzZTlkN2QzOWY3MDA0YWIyOWNmNzQifQ=="/>
  </w:docVars>
  <w:rsids>
    <w:rsidRoot w:val="001D5767"/>
    <w:rsid w:val="000C53AE"/>
    <w:rsid w:val="000E0377"/>
    <w:rsid w:val="001D5767"/>
    <w:rsid w:val="00272132"/>
    <w:rsid w:val="00474E22"/>
    <w:rsid w:val="005D0769"/>
    <w:rsid w:val="00782717"/>
    <w:rsid w:val="007B3311"/>
    <w:rsid w:val="00903510"/>
    <w:rsid w:val="00A515F0"/>
    <w:rsid w:val="00BA3BD8"/>
    <w:rsid w:val="00EE5CD7"/>
    <w:rsid w:val="014C4DA3"/>
    <w:rsid w:val="039C5442"/>
    <w:rsid w:val="03DA48E8"/>
    <w:rsid w:val="04BD7D66"/>
    <w:rsid w:val="04FD623C"/>
    <w:rsid w:val="058D3B12"/>
    <w:rsid w:val="063E0A32"/>
    <w:rsid w:val="078A03D3"/>
    <w:rsid w:val="0A2C39C3"/>
    <w:rsid w:val="0A3A4AF3"/>
    <w:rsid w:val="0AF124EB"/>
    <w:rsid w:val="0B375DDD"/>
    <w:rsid w:val="0B9308CF"/>
    <w:rsid w:val="0D3D4FD2"/>
    <w:rsid w:val="0D476E1E"/>
    <w:rsid w:val="0F64683B"/>
    <w:rsid w:val="100961ED"/>
    <w:rsid w:val="10501A8E"/>
    <w:rsid w:val="118F7CDE"/>
    <w:rsid w:val="11E044D4"/>
    <w:rsid w:val="11E05479"/>
    <w:rsid w:val="12AA36D7"/>
    <w:rsid w:val="13331EC0"/>
    <w:rsid w:val="137D2B9A"/>
    <w:rsid w:val="14185F29"/>
    <w:rsid w:val="15586D7A"/>
    <w:rsid w:val="155E1A30"/>
    <w:rsid w:val="159D7A35"/>
    <w:rsid w:val="15BF393E"/>
    <w:rsid w:val="16A20BA7"/>
    <w:rsid w:val="173007CF"/>
    <w:rsid w:val="1739327C"/>
    <w:rsid w:val="173B6FF4"/>
    <w:rsid w:val="186B1B5B"/>
    <w:rsid w:val="1B713D30"/>
    <w:rsid w:val="1B926684"/>
    <w:rsid w:val="1C381D54"/>
    <w:rsid w:val="1CBF4223"/>
    <w:rsid w:val="1CD12A74"/>
    <w:rsid w:val="22520417"/>
    <w:rsid w:val="22600256"/>
    <w:rsid w:val="241B32F2"/>
    <w:rsid w:val="2480698E"/>
    <w:rsid w:val="257375D8"/>
    <w:rsid w:val="26B648E9"/>
    <w:rsid w:val="273B094A"/>
    <w:rsid w:val="2B597063"/>
    <w:rsid w:val="2B683CD8"/>
    <w:rsid w:val="2BA411B4"/>
    <w:rsid w:val="2BCB2F48"/>
    <w:rsid w:val="2C3F712F"/>
    <w:rsid w:val="31717D8A"/>
    <w:rsid w:val="323E7977"/>
    <w:rsid w:val="32542C48"/>
    <w:rsid w:val="32CE6BF6"/>
    <w:rsid w:val="34102254"/>
    <w:rsid w:val="35C10BB4"/>
    <w:rsid w:val="35CD2672"/>
    <w:rsid w:val="39EF3F42"/>
    <w:rsid w:val="3A437F81"/>
    <w:rsid w:val="3A4C09E6"/>
    <w:rsid w:val="3C9C5ED7"/>
    <w:rsid w:val="3F012022"/>
    <w:rsid w:val="3F7E18C4"/>
    <w:rsid w:val="409F1AF2"/>
    <w:rsid w:val="41314523"/>
    <w:rsid w:val="417967E7"/>
    <w:rsid w:val="42341DF3"/>
    <w:rsid w:val="42823479"/>
    <w:rsid w:val="435A5D92"/>
    <w:rsid w:val="439F1EFC"/>
    <w:rsid w:val="455C2428"/>
    <w:rsid w:val="46DD1A51"/>
    <w:rsid w:val="46EB5A91"/>
    <w:rsid w:val="46F56910"/>
    <w:rsid w:val="47CB6BE6"/>
    <w:rsid w:val="48D32C81"/>
    <w:rsid w:val="493E459E"/>
    <w:rsid w:val="496F2D97"/>
    <w:rsid w:val="4AB851F3"/>
    <w:rsid w:val="4D6A23E3"/>
    <w:rsid w:val="4E1044B8"/>
    <w:rsid w:val="4F740CAC"/>
    <w:rsid w:val="50B82E88"/>
    <w:rsid w:val="50E772C9"/>
    <w:rsid w:val="512F27AE"/>
    <w:rsid w:val="519B00B4"/>
    <w:rsid w:val="537E15D4"/>
    <w:rsid w:val="53CE790C"/>
    <w:rsid w:val="547B4AD6"/>
    <w:rsid w:val="551B1E61"/>
    <w:rsid w:val="5533401D"/>
    <w:rsid w:val="55D60516"/>
    <w:rsid w:val="56813D1C"/>
    <w:rsid w:val="573C0840"/>
    <w:rsid w:val="57684EDC"/>
    <w:rsid w:val="585D2F42"/>
    <w:rsid w:val="58607CE3"/>
    <w:rsid w:val="58AB79EF"/>
    <w:rsid w:val="5CBB246D"/>
    <w:rsid w:val="5D4D5472"/>
    <w:rsid w:val="5E3803F9"/>
    <w:rsid w:val="5E8878D3"/>
    <w:rsid w:val="5FEF717B"/>
    <w:rsid w:val="60261490"/>
    <w:rsid w:val="67226E55"/>
    <w:rsid w:val="688D3025"/>
    <w:rsid w:val="68CE2A99"/>
    <w:rsid w:val="69135C83"/>
    <w:rsid w:val="69F820EF"/>
    <w:rsid w:val="6BA37E39"/>
    <w:rsid w:val="6CAB3449"/>
    <w:rsid w:val="6CDA4851"/>
    <w:rsid w:val="6D5B7297"/>
    <w:rsid w:val="6E0E3C8F"/>
    <w:rsid w:val="6ECB2099"/>
    <w:rsid w:val="6F4E2F24"/>
    <w:rsid w:val="71250630"/>
    <w:rsid w:val="726A7902"/>
    <w:rsid w:val="73AD7AA7"/>
    <w:rsid w:val="745B5755"/>
    <w:rsid w:val="75984567"/>
    <w:rsid w:val="77AD276B"/>
    <w:rsid w:val="788D0542"/>
    <w:rsid w:val="79EB0257"/>
    <w:rsid w:val="7AED208A"/>
    <w:rsid w:val="7B7642FE"/>
    <w:rsid w:val="7D364FB1"/>
    <w:rsid w:val="7D60202E"/>
    <w:rsid w:val="7DCE6F97"/>
    <w:rsid w:val="7E1C6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3"/>
    <w:autoRedefine/>
    <w:qFormat/>
    <w:uiPriority w:val="9"/>
    <w:pPr>
      <w:keepNext/>
      <w:keepLines/>
      <w:spacing w:before="260" w:after="260" w:line="416" w:lineRule="auto"/>
      <w:outlineLvl w:val="1"/>
    </w:pPr>
    <w:rPr>
      <w:rFonts w:ascii="Cambria" w:hAnsi="Cambria"/>
      <w:b/>
      <w:bCs/>
      <w:sz w:val="32"/>
      <w:szCs w:val="32"/>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adjustRightInd w:val="0"/>
      <w:spacing w:line="360" w:lineRule="atLeast"/>
      <w:ind w:firstLine="482"/>
      <w:textAlignment w:val="baseline"/>
    </w:pPr>
    <w:rPr>
      <w:kern w:val="0"/>
      <w:sz w:val="24"/>
      <w:szCs w:val="20"/>
    </w:rPr>
  </w:style>
  <w:style w:type="paragraph" w:styleId="4">
    <w:name w:val="annotation text"/>
    <w:basedOn w:val="1"/>
    <w:qFormat/>
    <w:uiPriority w:val="0"/>
    <w:pPr>
      <w:jc w:val="left"/>
    </w:pPr>
  </w:style>
  <w:style w:type="paragraph" w:styleId="5">
    <w:name w:val="Body Text Indent"/>
    <w:basedOn w:val="1"/>
    <w:next w:val="6"/>
    <w:autoRedefine/>
    <w:qFormat/>
    <w:uiPriority w:val="0"/>
    <w:pPr>
      <w:ind w:firstLine="640" w:firstLineChars="200"/>
    </w:pPr>
    <w:rPr>
      <w:rFonts w:hint="eastAsia" w:ascii="仿宋_GB2312" w:hAnsi="宋体" w:eastAsia="仿宋_GB2312"/>
      <w:sz w:val="32"/>
    </w:rPr>
  </w:style>
  <w:style w:type="paragraph" w:styleId="6">
    <w:name w:val="envelope return"/>
    <w:basedOn w:val="1"/>
    <w:qFormat/>
    <w:uiPriority w:val="0"/>
    <w:pPr>
      <w:snapToGrid w:val="0"/>
    </w:pPr>
    <w:rPr>
      <w:rFonts w:ascii="Arial" w:hAnsi="Arial"/>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jc w:val="left"/>
    </w:pPr>
    <w:rPr>
      <w:kern w:val="0"/>
      <w:sz w:val="24"/>
    </w:rPr>
  </w:style>
  <w:style w:type="character" w:styleId="12">
    <w:name w:val="page number"/>
    <w:basedOn w:val="11"/>
    <w:qFormat/>
    <w:uiPriority w:val="0"/>
  </w:style>
  <w:style w:type="character" w:styleId="13">
    <w:name w:val="FollowedHyperlink"/>
    <w:basedOn w:val="11"/>
    <w:autoRedefine/>
    <w:qFormat/>
    <w:uiPriority w:val="0"/>
    <w:rPr>
      <w:color w:val="800080"/>
      <w:u w:val="none"/>
    </w:rPr>
  </w:style>
  <w:style w:type="character" w:styleId="14">
    <w:name w:val="HTML Definition"/>
    <w:basedOn w:val="11"/>
    <w:qFormat/>
    <w:uiPriority w:val="0"/>
  </w:style>
  <w:style w:type="character" w:styleId="15">
    <w:name w:val="HTML Typewriter"/>
    <w:basedOn w:val="11"/>
    <w:autoRedefine/>
    <w:qFormat/>
    <w:uiPriority w:val="0"/>
    <w:rPr>
      <w:rFonts w:ascii="monospace" w:hAnsi="monospace" w:eastAsia="monospace" w:cs="monospace"/>
      <w:sz w:val="20"/>
    </w:rPr>
  </w:style>
  <w:style w:type="character" w:styleId="16">
    <w:name w:val="HTML Acronym"/>
    <w:basedOn w:val="11"/>
    <w:autoRedefine/>
    <w:qFormat/>
    <w:uiPriority w:val="0"/>
  </w:style>
  <w:style w:type="character" w:styleId="17">
    <w:name w:val="HTML Variable"/>
    <w:basedOn w:val="11"/>
    <w:qFormat/>
    <w:uiPriority w:val="0"/>
  </w:style>
  <w:style w:type="character" w:styleId="18">
    <w:name w:val="Hyperlink"/>
    <w:basedOn w:val="11"/>
    <w:autoRedefine/>
    <w:qFormat/>
    <w:uiPriority w:val="0"/>
    <w:rPr>
      <w:color w:val="0000FF"/>
      <w:u w:val="none"/>
    </w:rPr>
  </w:style>
  <w:style w:type="character" w:styleId="19">
    <w:name w:val="HTML Code"/>
    <w:basedOn w:val="11"/>
    <w:autoRedefine/>
    <w:qFormat/>
    <w:uiPriority w:val="0"/>
    <w:rPr>
      <w:rFonts w:hint="default" w:ascii="monospace" w:hAnsi="monospace" w:eastAsia="monospace" w:cs="monospace"/>
      <w:sz w:val="20"/>
    </w:rPr>
  </w:style>
  <w:style w:type="character" w:styleId="20">
    <w:name w:val="HTML Cite"/>
    <w:basedOn w:val="11"/>
    <w:qFormat/>
    <w:uiPriority w:val="0"/>
  </w:style>
  <w:style w:type="character" w:styleId="21">
    <w:name w:val="HTML Keyboard"/>
    <w:basedOn w:val="11"/>
    <w:autoRedefine/>
    <w:qFormat/>
    <w:uiPriority w:val="0"/>
    <w:rPr>
      <w:rFonts w:hint="default" w:ascii="monospace" w:hAnsi="monospace" w:eastAsia="monospace" w:cs="monospace"/>
      <w:sz w:val="20"/>
    </w:rPr>
  </w:style>
  <w:style w:type="character" w:styleId="22">
    <w:name w:val="HTML Sample"/>
    <w:basedOn w:val="11"/>
    <w:qFormat/>
    <w:uiPriority w:val="0"/>
    <w:rPr>
      <w:rFonts w:hint="default" w:ascii="monospace" w:hAnsi="monospace" w:eastAsia="monospace" w:cs="monospace"/>
    </w:rPr>
  </w:style>
  <w:style w:type="character" w:customStyle="1" w:styleId="23">
    <w:name w:val="layui-this"/>
    <w:basedOn w:val="11"/>
    <w:autoRedefine/>
    <w:qFormat/>
    <w:uiPriority w:val="0"/>
    <w:rPr>
      <w:bdr w:val="single" w:color="EEEEEE" w:sz="6" w:space="0"/>
      <w:shd w:val="clear" w:color="auto" w:fill="FFFFFF"/>
    </w:rPr>
  </w:style>
  <w:style w:type="character" w:customStyle="1" w:styleId="24">
    <w:name w:val="first-child"/>
    <w:basedOn w:val="11"/>
    <w:autoRedefine/>
    <w:qFormat/>
    <w:uiPriority w:val="0"/>
  </w:style>
  <w:style w:type="paragraph" w:customStyle="1" w:styleId="25">
    <w:name w:val="p0"/>
    <w:basedOn w:val="1"/>
    <w:autoRedefine/>
    <w:qFormat/>
    <w:uiPriority w:val="0"/>
    <w:pPr>
      <w:widowControl/>
    </w:pPr>
    <w:rPr>
      <w:rFonts w:hint="eastAsia"/>
    </w:rPr>
  </w:style>
  <w:style w:type="paragraph" w:customStyle="1" w:styleId="26">
    <w:name w:val="p"/>
    <w:basedOn w:val="1"/>
    <w:autoRedefine/>
    <w:qFormat/>
    <w:uiPriority w:val="99"/>
    <w:pPr>
      <w:widowControl/>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10253</Words>
  <Characters>10485</Characters>
  <Lines>95</Lines>
  <Paragraphs>26</Paragraphs>
  <TotalTime>3</TotalTime>
  <ScaleCrop>false</ScaleCrop>
  <LinksUpToDate>false</LinksUpToDate>
  <CharactersWithSpaces>10891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2022-10-27T02:12:00Z</dcterms:created>
  <dc:creator>鲍飞</dc:creator>
  <cp:lastModifiedBy>Pim Pom丶</cp:lastModifiedBy>
  <dcterms:modified xsi:type="dcterms:W3CDTF">2024-11-07T08:49:54Z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31DEA9D2E0D34576BD60087F186804A5_13</vt:lpwstr>
  </property>
</Properties>
</file>