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973FE0">
      <w:pPr>
        <w:keepNext w:val="0"/>
        <w:keepLines w:val="0"/>
        <w:pageBreakBefore w:val="0"/>
        <w:widowControl w:val="0"/>
        <w:kinsoku/>
        <w:wordWrap/>
        <w:overflowPunct/>
        <w:topLinePunct w:val="0"/>
        <w:autoSpaceDE/>
        <w:autoSpaceDN/>
        <w:bidi w:val="0"/>
        <w:adjustRightInd/>
        <w:snapToGrid w:val="0"/>
        <w:spacing w:before="313" w:beforeLines="100" w:after="313" w:afterLines="100" w:line="920" w:lineRule="exact"/>
        <w:jc w:val="center"/>
        <w:textAlignment w:val="auto"/>
        <w:rPr>
          <w:rFonts w:hint="default" w:eastAsia="宋体"/>
          <w:color w:val="auto"/>
          <w:sz w:val="24"/>
          <w:szCs w:val="32"/>
          <w:highlight w:val="none"/>
          <w:lang w:val="en-US" w:eastAsia="zh-CN"/>
        </w:rPr>
      </w:pPr>
      <w:bookmarkStart w:id="0" w:name="OLE_LINK1"/>
      <w:r>
        <w:rPr>
          <w:rFonts w:hint="eastAsia" w:ascii="宋体" w:hAnsi="宋体" w:eastAsia="宋体" w:cs="宋体"/>
          <w:b/>
          <w:bCs/>
          <w:color w:val="auto"/>
          <w:w w:val="85"/>
          <w:sz w:val="52"/>
          <w:szCs w:val="52"/>
          <w:highlight w:val="none"/>
        </w:rPr>
        <w:t>滁州市扬子工业投资集团有限公司</w:t>
      </w:r>
      <w:r>
        <w:rPr>
          <w:rFonts w:hint="eastAsia" w:ascii="宋体" w:hAnsi="宋体" w:cs="宋体"/>
          <w:b/>
          <w:bCs/>
          <w:color w:val="auto"/>
          <w:w w:val="85"/>
          <w:sz w:val="52"/>
          <w:szCs w:val="52"/>
          <w:highlight w:val="none"/>
          <w:lang w:eastAsia="zh-CN"/>
        </w:rPr>
        <w:t>资产评估</w:t>
      </w:r>
      <w:r>
        <w:rPr>
          <w:rFonts w:hint="eastAsia" w:ascii="宋体" w:hAnsi="宋体" w:eastAsia="宋体" w:cs="宋体"/>
          <w:b/>
          <w:bCs/>
          <w:color w:val="auto"/>
          <w:w w:val="85"/>
          <w:sz w:val="52"/>
          <w:szCs w:val="52"/>
          <w:highlight w:val="none"/>
        </w:rPr>
        <w:t>服务项目</w:t>
      </w:r>
    </w:p>
    <w:p w14:paraId="2CD8491C">
      <w:pPr>
        <w:spacing w:after="156" w:afterLines="50"/>
        <w:ind w:left="-850" w:leftChars="-405" w:right="-625"/>
        <w:jc w:val="center"/>
        <w:rPr>
          <w:rFonts w:hint="eastAsia"/>
          <w:color w:val="auto"/>
          <w:sz w:val="24"/>
          <w:highlight w:val="none"/>
        </w:rPr>
      </w:pPr>
    </w:p>
    <w:p w14:paraId="47AE0B09">
      <w:pPr>
        <w:rPr>
          <w:rFonts w:hint="eastAsia" w:ascii="宋体"/>
          <w:bCs/>
          <w:color w:val="auto"/>
          <w:szCs w:val="21"/>
          <w:highlight w:val="none"/>
        </w:rPr>
      </w:pPr>
    </w:p>
    <w:p w14:paraId="3B722E9F">
      <w:pPr>
        <w:rPr>
          <w:rFonts w:hint="eastAsia" w:ascii="宋体"/>
          <w:bCs/>
          <w:color w:val="auto"/>
          <w:szCs w:val="21"/>
          <w:highlight w:val="none"/>
        </w:rPr>
      </w:pPr>
    </w:p>
    <w:p w14:paraId="3FBF3C19">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3C76AF0D">
      <w:pPr>
        <w:rPr>
          <w:rFonts w:hint="eastAsia" w:ascii="宋体" w:hAnsi="宋体"/>
          <w:b/>
          <w:color w:val="auto"/>
          <w:sz w:val="84"/>
          <w:szCs w:val="84"/>
          <w:highlight w:val="none"/>
        </w:rPr>
      </w:pPr>
    </w:p>
    <w:p w14:paraId="4A7FD18D">
      <w:pPr>
        <w:pStyle w:val="2"/>
        <w:rPr>
          <w:rFonts w:hint="eastAsia"/>
          <w:color w:val="auto"/>
          <w:highlight w:val="none"/>
        </w:rPr>
      </w:pPr>
    </w:p>
    <w:p w14:paraId="4C460C2D">
      <w:pPr>
        <w:rPr>
          <w:rFonts w:hint="eastAsia"/>
          <w:color w:val="auto"/>
          <w:highlight w:val="none"/>
        </w:rPr>
      </w:pPr>
    </w:p>
    <w:p w14:paraId="404E689C">
      <w:pPr>
        <w:rPr>
          <w:rFonts w:hint="eastAsia" w:ascii="宋体"/>
          <w:color w:val="auto"/>
          <w:sz w:val="28"/>
          <w:szCs w:val="28"/>
          <w:highlight w:val="none"/>
        </w:rPr>
      </w:pPr>
    </w:p>
    <w:p w14:paraId="1A1CC348">
      <w:pPr>
        <w:pStyle w:val="21"/>
        <w:rPr>
          <w:rFonts w:hint="eastAsia"/>
          <w:color w:val="auto"/>
          <w:highlight w:val="none"/>
        </w:rPr>
      </w:pPr>
    </w:p>
    <w:p w14:paraId="16CC41AD">
      <w:pPr>
        <w:rPr>
          <w:rFonts w:hint="eastAsia" w:ascii="宋体"/>
          <w:b/>
          <w:color w:val="auto"/>
          <w:sz w:val="32"/>
          <w:szCs w:val="32"/>
          <w:highlight w:val="none"/>
        </w:rPr>
      </w:pPr>
    </w:p>
    <w:p w14:paraId="5F3801AE">
      <w:pPr>
        <w:pStyle w:val="2"/>
        <w:rPr>
          <w:rFonts w:hint="eastAsia"/>
          <w:color w:val="auto"/>
        </w:rPr>
      </w:pPr>
    </w:p>
    <w:p w14:paraId="5EEB095C">
      <w:pPr>
        <w:pStyle w:val="27"/>
        <w:rPr>
          <w:rFonts w:hint="eastAsia"/>
          <w:color w:val="auto"/>
        </w:rPr>
      </w:pPr>
    </w:p>
    <w:p w14:paraId="7974D0E1">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滁州市扬子工业投资集团有限公司</w:t>
      </w:r>
      <w:r>
        <w:rPr>
          <w:rFonts w:hint="eastAsia" w:ascii="宋体"/>
          <w:b/>
          <w:color w:val="auto"/>
          <w:sz w:val="32"/>
          <w:szCs w:val="32"/>
          <w:highlight w:val="none"/>
        </w:rPr>
        <w:t>（盖单位章）</w:t>
      </w:r>
    </w:p>
    <w:p w14:paraId="41A12475">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u w:val="single"/>
        </w:rPr>
      </w:pP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w:t>
      </w:r>
      <w:r>
        <w:rPr>
          <w:rFonts w:hint="eastAsia" w:ascii="宋体"/>
          <w:b/>
          <w:color w:val="auto"/>
          <w:sz w:val="32"/>
          <w:szCs w:val="32"/>
          <w:highlight w:val="none"/>
          <w:u w:val="single"/>
          <w:lang w:eastAsia="zh-CN"/>
        </w:rPr>
        <w:t>滁州市城投工程咨询管理有限公司</w:t>
      </w:r>
      <w:r>
        <w:rPr>
          <w:rFonts w:hint="eastAsia" w:ascii="宋体"/>
          <w:b/>
          <w:color w:val="auto"/>
          <w:sz w:val="32"/>
          <w:szCs w:val="32"/>
          <w:highlight w:val="none"/>
        </w:rPr>
        <w:t>（盖单位章）</w:t>
      </w:r>
    </w:p>
    <w:p w14:paraId="1D0C7307">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lang w:val="en-US" w:eastAsia="zh-CN"/>
        </w:rPr>
        <w:t>2024</w:t>
      </w:r>
      <w:r>
        <w:rPr>
          <w:rFonts w:hint="eastAsia" w:ascii="宋体"/>
          <w:b/>
          <w:color w:val="auto"/>
          <w:sz w:val="32"/>
          <w:szCs w:val="32"/>
          <w:highlight w:val="none"/>
        </w:rPr>
        <w:t>年</w:t>
      </w:r>
      <w:r>
        <w:rPr>
          <w:rFonts w:hint="eastAsia" w:ascii="宋体"/>
          <w:b/>
          <w:color w:val="auto"/>
          <w:sz w:val="32"/>
          <w:szCs w:val="32"/>
          <w:highlight w:val="none"/>
          <w:u w:val="single"/>
          <w:lang w:val="en-US" w:eastAsia="zh-CN"/>
        </w:rPr>
        <w:t>10</w:t>
      </w:r>
      <w:r>
        <w:rPr>
          <w:rFonts w:hint="eastAsia" w:ascii="宋体"/>
          <w:b/>
          <w:color w:val="auto"/>
          <w:sz w:val="32"/>
          <w:szCs w:val="32"/>
          <w:highlight w:val="none"/>
        </w:rPr>
        <w:t>月</w:t>
      </w:r>
    </w:p>
    <w:p w14:paraId="11940E33">
      <w:pPr>
        <w:spacing w:line="360" w:lineRule="exact"/>
        <w:rPr>
          <w:rFonts w:hint="eastAsia"/>
          <w:b/>
          <w:color w:val="auto"/>
          <w:sz w:val="36"/>
          <w:highlight w:val="none"/>
        </w:rPr>
      </w:pPr>
    </w:p>
    <w:p w14:paraId="11D8DEB2">
      <w:pPr>
        <w:spacing w:line="360" w:lineRule="exact"/>
        <w:jc w:val="center"/>
        <w:rPr>
          <w:rFonts w:hint="eastAsia"/>
          <w:b/>
          <w:color w:val="auto"/>
          <w:sz w:val="36"/>
          <w:highlight w:val="none"/>
        </w:rPr>
      </w:pPr>
      <w:r>
        <w:rPr>
          <w:rFonts w:hint="eastAsia"/>
          <w:b/>
          <w:color w:val="auto"/>
          <w:sz w:val="36"/>
          <w:highlight w:val="none"/>
        </w:rPr>
        <w:br w:type="page"/>
      </w:r>
    </w:p>
    <w:p w14:paraId="31668C46">
      <w:pPr>
        <w:spacing w:line="360" w:lineRule="exact"/>
        <w:jc w:val="center"/>
        <w:rPr>
          <w:rFonts w:hint="eastAsia"/>
          <w:b/>
          <w:color w:val="auto"/>
          <w:sz w:val="36"/>
          <w:highlight w:val="none"/>
        </w:rPr>
      </w:pPr>
      <w:r>
        <w:rPr>
          <w:rFonts w:hint="eastAsia"/>
          <w:b/>
          <w:color w:val="auto"/>
          <w:sz w:val="36"/>
          <w:highlight w:val="none"/>
        </w:rPr>
        <w:t>目  录</w:t>
      </w:r>
    </w:p>
    <w:p w14:paraId="7C7066CB">
      <w:pPr>
        <w:spacing w:line="360" w:lineRule="exact"/>
        <w:jc w:val="center"/>
        <w:rPr>
          <w:rFonts w:hint="eastAsia"/>
          <w:b/>
          <w:color w:val="auto"/>
          <w:sz w:val="36"/>
          <w:highlight w:val="none"/>
        </w:rPr>
      </w:pPr>
    </w:p>
    <w:p w14:paraId="56A10D92">
      <w:pPr>
        <w:pStyle w:val="25"/>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6"/>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6"/>
          <w:rFonts w:ascii="宋体" w:hAnsi="宋体"/>
          <w:color w:val="auto"/>
          <w:sz w:val="24"/>
          <w:highlight w:val="none"/>
        </w:rPr>
        <w:instrText xml:space="preserve"> </w:instrText>
      </w:r>
      <w:r>
        <w:rPr>
          <w:rFonts w:ascii="宋体" w:hAnsi="宋体"/>
          <w:color w:val="auto"/>
          <w:sz w:val="24"/>
          <w:highlight w:val="none"/>
        </w:rPr>
        <w:fldChar w:fldCharType="separate"/>
      </w:r>
      <w:r>
        <w:rPr>
          <w:rStyle w:val="46"/>
          <w:rFonts w:hint="eastAsia" w:ascii="宋体" w:hAnsi="宋体"/>
          <w:b/>
          <w:color w:val="auto"/>
          <w:sz w:val="24"/>
          <w:highlight w:val="none"/>
        </w:rPr>
        <w:t>第一章</w:t>
      </w:r>
      <w:r>
        <w:rPr>
          <w:rStyle w:val="46"/>
          <w:rFonts w:ascii="宋体" w:hAnsi="宋体"/>
          <w:b/>
          <w:color w:val="auto"/>
          <w:sz w:val="24"/>
          <w:highlight w:val="none"/>
        </w:rPr>
        <w:t xml:space="preserve"> </w:t>
      </w:r>
      <w:r>
        <w:rPr>
          <w:rStyle w:val="46"/>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526C863D">
      <w:pPr>
        <w:pStyle w:val="25"/>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第二章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4</w:t>
      </w:r>
    </w:p>
    <w:p w14:paraId="2E10A08E">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第三章</w:t>
      </w:r>
      <w:r>
        <w:rPr>
          <w:rStyle w:val="46"/>
          <w:rFonts w:ascii="宋体" w:hAnsi="宋体"/>
          <w:b/>
          <w:color w:val="auto"/>
          <w:sz w:val="24"/>
          <w:highlight w:val="none"/>
        </w:rPr>
        <w:t xml:space="preserve"> </w:t>
      </w:r>
      <w:r>
        <w:rPr>
          <w:rStyle w:val="46"/>
          <w:rFonts w:hint="eastAsia" w:ascii="宋体" w:hAnsi="宋体"/>
          <w:b/>
          <w:color w:val="auto"/>
          <w:sz w:val="24"/>
          <w:highlight w:val="none"/>
        </w:rPr>
        <w:t>评标办法（综合评分法）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16</w:t>
      </w:r>
    </w:p>
    <w:p w14:paraId="08D46986">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w:t>
      </w:r>
      <w:r>
        <w:rPr>
          <w:rStyle w:val="46"/>
          <w:rFonts w:hint="eastAsia" w:ascii="宋体" w:hAnsi="宋体"/>
          <w:b/>
          <w:color w:val="auto"/>
          <w:sz w:val="24"/>
          <w:highlight w:val="none"/>
          <w:lang w:val="en-US" w:eastAsia="zh-CN"/>
        </w:rPr>
        <w:t>四</w:t>
      </w:r>
      <w:r>
        <w:rPr>
          <w:rStyle w:val="46"/>
          <w:rFonts w:hint="eastAsia" w:ascii="宋体" w:hAnsi="宋体"/>
          <w:b/>
          <w:color w:val="auto"/>
          <w:sz w:val="24"/>
          <w:highlight w:val="none"/>
        </w:rPr>
        <w:t>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21</w:t>
      </w:r>
    </w:p>
    <w:p w14:paraId="3F482202">
      <w:pPr>
        <w:pStyle w:val="25"/>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26C6180F">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219D8D0B">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2BCA7D54">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滁州市扬子工业投资集团有限公司资产评估服务项目</w:t>
      </w:r>
      <w:r>
        <w:rPr>
          <w:rFonts w:hint="eastAsia" w:ascii="仿宋" w:hAnsi="仿宋" w:eastAsia="仿宋" w:cs="仿宋"/>
          <w:color w:val="auto"/>
          <w:sz w:val="28"/>
          <w:szCs w:val="28"/>
          <w:highlight w:val="none"/>
        </w:rPr>
        <w:t>的潜在投标人</w:t>
      </w:r>
      <w:r>
        <w:rPr>
          <w:rFonts w:hint="eastAsia" w:ascii="仿宋" w:hAnsi="仿宋" w:eastAsia="仿宋" w:cs="仿宋"/>
          <w:color w:val="auto"/>
          <w:sz w:val="28"/>
          <w:szCs w:val="28"/>
          <w:highlight w:val="none"/>
          <w:lang w:val="en-US" w:eastAsia="zh-CN"/>
        </w:rPr>
        <w:t>可</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滁州市扬子工业投资集团有限公司官网（https://czyzgtjt.com/）或中国扬子集团官网（http://www.yangzigroup.cn/）</w:t>
      </w:r>
      <w:r>
        <w:rPr>
          <w:rFonts w:hint="eastAsia" w:ascii="仿宋" w:hAnsi="仿宋" w:eastAsia="仿宋" w:cs="仿宋"/>
          <w:color w:val="auto"/>
          <w:sz w:val="28"/>
          <w:szCs w:val="28"/>
          <w:highlight w:val="none"/>
        </w:rPr>
        <w:t>获取招标文件，并于202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分（北京时间）前递交投标文件。</w:t>
      </w:r>
    </w:p>
    <w:p w14:paraId="446630A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6A7BF4F3">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滁州市扬子工业投资集团有限公司资产评估服务项目</w:t>
      </w:r>
    </w:p>
    <w:p w14:paraId="302FE9BA">
      <w:pPr>
        <w:keepNext/>
        <w:keepLines/>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约人民币20万元</w:t>
      </w:r>
    </w:p>
    <w:p w14:paraId="5C22861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最高限价：</w:t>
      </w:r>
      <w:r>
        <w:rPr>
          <w:rFonts w:hint="eastAsia" w:ascii="仿宋" w:hAnsi="仿宋" w:eastAsia="仿宋" w:cs="仿宋"/>
          <w:color w:val="auto"/>
          <w:sz w:val="28"/>
          <w:szCs w:val="28"/>
          <w:highlight w:val="none"/>
          <w:lang w:val="en-US" w:eastAsia="zh-CN"/>
        </w:rPr>
        <w:t xml:space="preserve">200000.00（含税） </w:t>
      </w:r>
    </w:p>
    <w:p w14:paraId="3D86EAE3">
      <w:pPr>
        <w:spacing w:before="0" w:beforeLines="0" w:line="240" w:lineRule="auto"/>
        <w:ind w:firstLine="560" w:firstLineChars="200"/>
        <w:rPr>
          <w:rFonts w:hint="default" w:ascii="仿宋" w:hAnsi="仿宋" w:eastAsia="宋体" w:cs="仿宋"/>
          <w:color w:val="auto"/>
          <w:sz w:val="28"/>
          <w:szCs w:val="28"/>
          <w:highlight w:val="none"/>
          <w:lang w:val="en-US" w:eastAsia="zh-CN"/>
        </w:rPr>
      </w:pPr>
      <w:r>
        <w:rPr>
          <w:rFonts w:hint="eastAsia" w:ascii="仿宋" w:hAnsi="仿宋" w:eastAsia="仿宋" w:cs="仿宋"/>
          <w:color w:val="auto"/>
          <w:sz w:val="28"/>
          <w:szCs w:val="28"/>
          <w:highlight w:val="none"/>
        </w:rPr>
        <w:t>采购需求：</w:t>
      </w:r>
      <w:r>
        <w:rPr>
          <w:rFonts w:hint="eastAsia" w:ascii="仿宋" w:hAnsi="仿宋" w:eastAsia="仿宋" w:cs="仿宋"/>
          <w:sz w:val="28"/>
          <w:szCs w:val="28"/>
          <w:lang w:val="en-US" w:eastAsia="zh-CN"/>
        </w:rPr>
        <w:t>根据公司发债要求，需具有</w:t>
      </w:r>
      <w:r>
        <w:rPr>
          <w:rFonts w:hint="eastAsia" w:ascii="仿宋" w:hAnsi="仿宋" w:eastAsia="仿宋" w:cs="仿宋"/>
          <w:color w:val="auto"/>
          <w:sz w:val="28"/>
          <w:szCs w:val="28"/>
          <w:highlight w:val="none"/>
          <w:lang w:val="en-US" w:eastAsia="zh-CN"/>
        </w:rPr>
        <w:t>证券资质评估机构对约18万平方米的房产土地等进行评估（具体面积根据发债要求进行评估），评估机构需按时提供发债所需的资产评估报告。</w:t>
      </w:r>
    </w:p>
    <w:p w14:paraId="5517F08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lang w:val="en-US" w:eastAsia="zh-CN"/>
        </w:rPr>
        <w:t>自合同签订之日起7日内提供资产评估报告</w:t>
      </w:r>
    </w:p>
    <w:p w14:paraId="4C4C68F8">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val="en-US" w:eastAsia="zh-CN"/>
        </w:rPr>
        <w:t>不</w:t>
      </w:r>
      <w:r>
        <w:rPr>
          <w:rFonts w:hint="eastAsia" w:ascii="仿宋" w:hAnsi="仿宋" w:eastAsia="仿宋" w:cs="仿宋"/>
          <w:color w:val="auto"/>
          <w:sz w:val="28"/>
          <w:szCs w:val="28"/>
          <w:highlight w:val="none"/>
        </w:rPr>
        <w:t>接受联合体投标</w:t>
      </w:r>
      <w:r>
        <w:rPr>
          <w:rFonts w:hint="eastAsia" w:ascii="仿宋" w:hAnsi="仿宋" w:eastAsia="仿宋" w:cs="仿宋"/>
          <w:color w:val="auto"/>
          <w:sz w:val="28"/>
          <w:szCs w:val="28"/>
          <w:highlight w:val="none"/>
          <w:lang w:eastAsia="zh-CN"/>
        </w:rPr>
        <w:t>。</w:t>
      </w:r>
    </w:p>
    <w:p w14:paraId="106AC96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35393791"/>
      <w:bookmarkStart w:id="4" w:name="_Toc35393622"/>
      <w:bookmarkStart w:id="5" w:name="_Toc28359080"/>
      <w:bookmarkStart w:id="6" w:name="_Toc28359003"/>
      <w:r>
        <w:rPr>
          <w:rFonts w:hint="eastAsia" w:ascii="黑体" w:hAnsi="黑体" w:eastAsia="黑体" w:cs="黑体"/>
          <w:color w:val="auto"/>
          <w:sz w:val="28"/>
          <w:szCs w:val="28"/>
          <w:highlight w:val="none"/>
        </w:rPr>
        <w:t>二、申请人的资格要求</w:t>
      </w:r>
      <w:bookmarkEnd w:id="3"/>
      <w:bookmarkEnd w:id="4"/>
      <w:bookmarkEnd w:id="5"/>
      <w:bookmarkEnd w:id="6"/>
    </w:p>
    <w:p w14:paraId="29F893A5">
      <w:pPr>
        <w:ind w:firstLine="560" w:firstLineChars="200"/>
        <w:rPr>
          <w:rFonts w:hint="eastAsia" w:ascii="仿宋" w:hAnsi="仿宋" w:eastAsia="仿宋" w:cs="Times New Roman"/>
          <w:color w:val="auto"/>
          <w:sz w:val="28"/>
          <w:szCs w:val="28"/>
          <w:highlight w:val="none"/>
          <w:lang w:eastAsia="zh-CN"/>
        </w:rPr>
      </w:pPr>
      <w:bookmarkStart w:id="7" w:name="_Toc35393792"/>
      <w:bookmarkStart w:id="8" w:name="_Toc35393623"/>
      <w:bookmarkStart w:id="9" w:name="_Toc28359081"/>
      <w:bookmarkStart w:id="10" w:name="_Toc28359004"/>
      <w:r>
        <w:rPr>
          <w:rFonts w:hint="eastAsia"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投标人须是在中华人民共和国境内注册的具有独立承担民事责任能力的企业，具有有效的营业执照，同时具备资产评估资格（附资产评估备案证明截图）及证券类资产评估资质。</w:t>
      </w:r>
    </w:p>
    <w:p w14:paraId="4B668D6D">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16B4ED61">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none"/>
        </w:rPr>
        <w:t>20</w:t>
      </w:r>
      <w:r>
        <w:rPr>
          <w:rFonts w:hint="eastAsia" w:ascii="仿宋" w:hAnsi="仿宋" w:eastAsia="仿宋" w:cs="宋体"/>
          <w:color w:val="auto"/>
          <w:sz w:val="28"/>
          <w:szCs w:val="28"/>
          <w:highlight w:val="none"/>
          <w:u w:val="none"/>
          <w:lang w:val="en-US" w:eastAsia="zh-CN"/>
        </w:rPr>
        <w:t>24</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10</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16</w:t>
      </w:r>
      <w:r>
        <w:rPr>
          <w:rFonts w:hint="eastAsia" w:ascii="仿宋" w:hAnsi="仿宋" w:eastAsia="仿宋" w:cs="宋体"/>
          <w:color w:val="auto"/>
          <w:sz w:val="28"/>
          <w:szCs w:val="28"/>
          <w:highlight w:val="none"/>
          <w:u w:val="none"/>
        </w:rPr>
        <w:t>日至202</w:t>
      </w:r>
      <w:r>
        <w:rPr>
          <w:rFonts w:hint="eastAsia" w:ascii="仿宋" w:hAnsi="仿宋" w:eastAsia="仿宋" w:cs="宋体"/>
          <w:color w:val="auto"/>
          <w:sz w:val="28"/>
          <w:szCs w:val="28"/>
          <w:highlight w:val="none"/>
          <w:u w:val="none"/>
          <w:lang w:val="en-US" w:eastAsia="zh-CN"/>
        </w:rPr>
        <w:t>4</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10</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21</w:t>
      </w:r>
      <w:r>
        <w:rPr>
          <w:rFonts w:hint="eastAsia" w:ascii="仿宋" w:hAnsi="仿宋" w:eastAsia="仿宋" w:cs="宋体"/>
          <w:color w:val="auto"/>
          <w:sz w:val="28"/>
          <w:szCs w:val="28"/>
          <w:highlight w:val="none"/>
          <w:u w:val="none"/>
        </w:rPr>
        <w:t>日</w:t>
      </w:r>
    </w:p>
    <w:p w14:paraId="5D38E8FA">
      <w:pPr>
        <w:ind w:firstLine="540"/>
        <w:jc w:val="left"/>
        <w:rPr>
          <w:rFonts w:hint="default" w:ascii="仿宋" w:hAnsi="仿宋" w:eastAsia="仿宋" w:cs="宋体"/>
          <w:color w:val="auto"/>
          <w:sz w:val="28"/>
          <w:szCs w:val="28"/>
          <w:highlight w:val="none"/>
          <w:u w:val="single"/>
          <w:lang w:val="en-US"/>
        </w:rPr>
      </w:pPr>
      <w:r>
        <w:rPr>
          <w:rFonts w:hint="eastAsia" w:ascii="仿宋" w:hAnsi="仿宋" w:eastAsia="仿宋" w:cs="宋体"/>
          <w:color w:val="auto"/>
          <w:sz w:val="28"/>
          <w:szCs w:val="28"/>
          <w:highlight w:val="none"/>
        </w:rPr>
        <w:t>地点：滁州市龙蟠大道109号房产大厦六楼622会议室</w:t>
      </w:r>
    </w:p>
    <w:p w14:paraId="479FE4AE">
      <w:pPr>
        <w:ind w:firstLine="540"/>
        <w:jc w:val="left"/>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方式：网上下载</w:t>
      </w:r>
    </w:p>
    <w:p w14:paraId="7BAFF1BA">
      <w:pPr>
        <w:ind w:firstLine="540"/>
        <w:jc w:val="left"/>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7BEBF84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82"/>
      <w:bookmarkStart w:id="12" w:name="_Toc28359005"/>
      <w:bookmarkStart w:id="13" w:name="_Toc35393793"/>
      <w:bookmarkStart w:id="14" w:name="_Toc35393624"/>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118C0C2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none"/>
        </w:rPr>
        <w:t>20</w:t>
      </w:r>
      <w:r>
        <w:rPr>
          <w:rFonts w:hint="eastAsia" w:ascii="仿宋" w:hAnsi="仿宋" w:eastAsia="仿宋"/>
          <w:bCs/>
          <w:color w:val="auto"/>
          <w:sz w:val="28"/>
          <w:szCs w:val="28"/>
          <w:highlight w:val="none"/>
          <w:u w:val="none"/>
          <w:lang w:val="en-US" w:eastAsia="zh-CN"/>
        </w:rPr>
        <w:t>24</w:t>
      </w:r>
      <w:r>
        <w:rPr>
          <w:rFonts w:hint="eastAsia" w:ascii="仿宋" w:hAnsi="仿宋" w:eastAsia="仿宋"/>
          <w:bCs/>
          <w:color w:val="auto"/>
          <w:sz w:val="28"/>
          <w:szCs w:val="28"/>
          <w:highlight w:val="none"/>
          <w:u w:val="none"/>
        </w:rPr>
        <w:t>年</w:t>
      </w:r>
      <w:r>
        <w:rPr>
          <w:rFonts w:hint="eastAsia" w:ascii="仿宋" w:hAnsi="仿宋" w:eastAsia="仿宋"/>
          <w:bCs/>
          <w:color w:val="auto"/>
          <w:sz w:val="28"/>
          <w:szCs w:val="28"/>
          <w:highlight w:val="none"/>
          <w:u w:val="none"/>
          <w:lang w:val="en-US" w:eastAsia="zh-CN"/>
        </w:rPr>
        <w:t>10</w:t>
      </w:r>
      <w:r>
        <w:rPr>
          <w:rFonts w:hint="eastAsia" w:ascii="仿宋" w:hAnsi="仿宋" w:eastAsia="仿宋"/>
          <w:bCs/>
          <w:color w:val="auto"/>
          <w:sz w:val="28"/>
          <w:szCs w:val="28"/>
          <w:highlight w:val="none"/>
          <w:u w:val="none"/>
        </w:rPr>
        <w:t>月</w:t>
      </w:r>
      <w:r>
        <w:rPr>
          <w:rFonts w:hint="eastAsia" w:ascii="仿宋" w:hAnsi="仿宋" w:eastAsia="仿宋"/>
          <w:bCs/>
          <w:color w:val="auto"/>
          <w:sz w:val="28"/>
          <w:szCs w:val="28"/>
          <w:highlight w:val="none"/>
          <w:u w:val="none"/>
          <w:lang w:val="en-US" w:eastAsia="zh-CN"/>
        </w:rPr>
        <w:t>21</w:t>
      </w:r>
      <w:r>
        <w:rPr>
          <w:rFonts w:hint="eastAsia" w:ascii="仿宋" w:hAnsi="仿宋" w:eastAsia="仿宋"/>
          <w:bCs/>
          <w:color w:val="auto"/>
          <w:sz w:val="28"/>
          <w:szCs w:val="28"/>
          <w:highlight w:val="none"/>
          <w:u w:val="none"/>
        </w:rPr>
        <w:t>日</w:t>
      </w:r>
      <w:r>
        <w:rPr>
          <w:rFonts w:hint="eastAsia" w:ascii="仿宋" w:hAnsi="仿宋" w:eastAsia="仿宋"/>
          <w:bCs/>
          <w:color w:val="auto"/>
          <w:sz w:val="28"/>
          <w:szCs w:val="28"/>
          <w:highlight w:val="none"/>
          <w:u w:val="none"/>
          <w:lang w:val="en-US" w:eastAsia="zh-CN"/>
        </w:rPr>
        <w:t>15</w:t>
      </w:r>
      <w:r>
        <w:rPr>
          <w:rFonts w:hint="eastAsia" w:ascii="仿宋" w:hAnsi="仿宋" w:eastAsia="仿宋"/>
          <w:bCs/>
          <w:color w:val="auto"/>
          <w:sz w:val="28"/>
          <w:szCs w:val="28"/>
          <w:highlight w:val="none"/>
          <w:u w:val="none"/>
        </w:rPr>
        <w:t>点</w:t>
      </w:r>
      <w:r>
        <w:rPr>
          <w:rFonts w:hint="eastAsia" w:ascii="仿宋" w:hAnsi="仿宋" w:eastAsia="仿宋"/>
          <w:bCs/>
          <w:color w:val="auto"/>
          <w:sz w:val="28"/>
          <w:szCs w:val="28"/>
          <w:highlight w:val="none"/>
          <w:u w:val="none"/>
          <w:lang w:val="en-US" w:eastAsia="zh-CN"/>
        </w:rPr>
        <w:t>00</w:t>
      </w:r>
      <w:bookmarkStart w:id="75" w:name="_GoBack"/>
      <w:bookmarkEnd w:id="75"/>
      <w:r>
        <w:rPr>
          <w:rFonts w:hint="eastAsia" w:ascii="仿宋" w:hAnsi="仿宋" w:eastAsia="仿宋"/>
          <w:bCs/>
          <w:color w:val="auto"/>
          <w:sz w:val="28"/>
          <w:szCs w:val="28"/>
          <w:highlight w:val="none"/>
          <w:u w:val="none"/>
        </w:rPr>
        <w:t>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14:paraId="74DD349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地点：滁州市龙蟠大道109号房产大厦六楼622会议室</w:t>
      </w:r>
    </w:p>
    <w:p w14:paraId="58619F36">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5" w:name="_Toc35393794"/>
      <w:bookmarkStart w:id="16" w:name="_Toc35393625"/>
      <w:bookmarkStart w:id="17" w:name="_Toc28359084"/>
      <w:bookmarkStart w:id="18" w:name="_Toc28359007"/>
      <w:r>
        <w:rPr>
          <w:rFonts w:hint="eastAsia" w:ascii="黑体" w:hAnsi="黑体" w:eastAsia="黑体" w:cs="黑体"/>
          <w:color w:val="auto"/>
          <w:sz w:val="28"/>
          <w:szCs w:val="28"/>
          <w:highlight w:val="none"/>
        </w:rPr>
        <w:t>五、公告期限</w:t>
      </w:r>
      <w:bookmarkEnd w:id="15"/>
      <w:bookmarkEnd w:id="16"/>
      <w:bookmarkEnd w:id="17"/>
      <w:bookmarkEnd w:id="18"/>
    </w:p>
    <w:p w14:paraId="730339B2">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自本公告发布之日起</w:t>
      </w: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个工作日。</w:t>
      </w:r>
    </w:p>
    <w:p w14:paraId="44E9C4C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六、投标保证金金额及缴纳账户</w:t>
      </w:r>
    </w:p>
    <w:p w14:paraId="5727B2B8">
      <w:pPr>
        <w:pStyle w:val="127"/>
        <w:rPr>
          <w:color w:val="auto"/>
          <w:highlight w:val="none"/>
        </w:rPr>
      </w:pPr>
      <w:bookmarkStart w:id="19" w:name="_Toc35393626"/>
      <w:bookmarkStart w:id="20" w:name="_Toc35393795"/>
      <w:r>
        <w:rPr>
          <w:color w:val="auto"/>
          <w:highlight w:val="none"/>
        </w:rPr>
        <w:t>窗体顶端</w:t>
      </w:r>
    </w:p>
    <w:p w14:paraId="0495C8A8">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1.本项目要求投标人提交投标保证金：不要求。 </w:t>
      </w:r>
    </w:p>
    <w:bookmarkEnd w:id="19"/>
    <w:bookmarkEnd w:id="20"/>
    <w:p w14:paraId="175187DE">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14:paraId="7871733B">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0F4A2EA8">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滁州市扬子工业投资集团有限公司</w:t>
      </w:r>
    </w:p>
    <w:p w14:paraId="11CE88B9">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 xml:space="preserve">滁州市南谯区中都大道与醉翁路交叉口西南角城投大厦13楼1318室 </w:t>
      </w:r>
      <w:r>
        <w:rPr>
          <w:rFonts w:hint="eastAsia" w:ascii="仿宋" w:hAnsi="仿宋" w:eastAsia="仿宋" w:cs="仿宋"/>
          <w:color w:val="auto"/>
          <w:sz w:val="28"/>
          <w:szCs w:val="28"/>
          <w:highlight w:val="none"/>
          <w:u w:val="single"/>
        </w:rPr>
        <w:t xml:space="preserve">  </w:t>
      </w:r>
    </w:p>
    <w:p w14:paraId="5DB56ABC">
      <w:pPr>
        <w:ind w:firstLine="560" w:firstLineChars="200"/>
        <w:jc w:val="left"/>
        <w:rPr>
          <w:rFonts w:hint="default"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 xml:space="preserve">0550-3018129     </w:t>
      </w:r>
    </w:p>
    <w:p w14:paraId="4AB9E466">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06EDFE12">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2.代理机构信息</w:t>
      </w:r>
    </w:p>
    <w:p w14:paraId="6C014D91">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rPr>
        <w:t>滁州市城投工程咨询管理有限公司</w:t>
      </w:r>
    </w:p>
    <w:p w14:paraId="1A3A4C65">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滁州市龙蟠大道109号房产大厦6楼</w:t>
      </w:r>
    </w:p>
    <w:p w14:paraId="2EC74182">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rPr>
        <w:t>0550-3519590、18005501210</w:t>
      </w:r>
    </w:p>
    <w:p w14:paraId="54981D26">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3.项目联系方式</w:t>
      </w:r>
    </w:p>
    <w:p w14:paraId="4FEFF1FA">
      <w:pPr>
        <w:pStyle w:val="18"/>
        <w:ind w:left="-199" w:leftChars="-95" w:firstLine="840" w:firstLineChars="300"/>
        <w:jc w:val="left"/>
        <w:rPr>
          <w:rFonts w:hint="eastAsia" w:ascii="仿宋" w:hAnsi="仿宋" w:eastAsia="仿宋" w:cs="仿宋"/>
          <w:color w:val="auto"/>
          <w:sz w:val="28"/>
          <w:szCs w:val="28"/>
          <w:highlight w:val="none"/>
          <w:u w:val="single" w:color="auto"/>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杜永军、</w:t>
      </w:r>
      <w:r>
        <w:rPr>
          <w:rFonts w:hint="eastAsia" w:ascii="仿宋" w:hAnsi="仿宋" w:eastAsia="仿宋" w:cs="仿宋"/>
          <w:color w:val="auto"/>
          <w:sz w:val="28"/>
          <w:szCs w:val="28"/>
          <w:highlight w:val="none"/>
          <w:u w:val="single" w:color="auto"/>
        </w:rPr>
        <w:t>杨韦</w:t>
      </w:r>
    </w:p>
    <w:p w14:paraId="4A4FBA8F">
      <w:pPr>
        <w:ind w:left="-199" w:leftChars="-95" w:firstLine="840" w:firstLineChars="300"/>
        <w:jc w:val="left"/>
        <w:rPr>
          <w:rFonts w:ascii="仿宋" w:hAnsi="仿宋" w:eastAsia="仿宋"/>
          <w:color w:val="auto"/>
          <w:sz w:val="28"/>
          <w:szCs w:val="28"/>
          <w:highlight w:val="none"/>
          <w:u w:val="single"/>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color="auto"/>
          <w:lang w:val="en-US" w:eastAsia="zh-CN"/>
        </w:rPr>
        <w:t xml:space="preserve"> 0550-3018129、</w:t>
      </w:r>
      <w:r>
        <w:rPr>
          <w:rFonts w:hint="eastAsia" w:ascii="仿宋" w:hAnsi="仿宋" w:eastAsia="仿宋" w:cs="仿宋"/>
          <w:color w:val="auto"/>
          <w:sz w:val="28"/>
          <w:szCs w:val="28"/>
          <w:highlight w:val="none"/>
          <w:u w:val="single" w:color="auto"/>
        </w:rPr>
        <w:t>0</w:t>
      </w:r>
      <w:r>
        <w:rPr>
          <w:rFonts w:hint="eastAsia" w:ascii="仿宋" w:hAnsi="仿宋" w:eastAsia="仿宋" w:cs="仿宋"/>
          <w:color w:val="auto"/>
          <w:sz w:val="28"/>
          <w:szCs w:val="28"/>
          <w:highlight w:val="none"/>
          <w:u w:val="single"/>
        </w:rPr>
        <w:t xml:space="preserve">550-3519590 </w:t>
      </w:r>
    </w:p>
    <w:p w14:paraId="34659DB7">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第二章 投标人须知</w:t>
      </w:r>
      <w:bookmarkEnd w:id="2"/>
    </w:p>
    <w:p w14:paraId="63FF8D08">
      <w:pPr>
        <w:snapToGrid w:val="0"/>
        <w:spacing w:line="500" w:lineRule="exact"/>
        <w:jc w:val="center"/>
        <w:outlineLvl w:val="1"/>
        <w:rPr>
          <w:rFonts w:hint="eastAsia" w:ascii="宋体"/>
          <w:b/>
          <w:color w:val="auto"/>
          <w:sz w:val="28"/>
          <w:szCs w:val="28"/>
          <w:highlight w:val="none"/>
        </w:rPr>
      </w:pPr>
      <w:bookmarkStart w:id="21" w:name="_Toc58430314"/>
      <w:bookmarkStart w:id="22" w:name="_Toc449028865"/>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1"/>
      <w:bookmarkEnd w:id="22"/>
    </w:p>
    <w:tbl>
      <w:tblPr>
        <w:tblStyle w:val="35"/>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56AE0AE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1ACE9E5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5BF350D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4BB3F0F8">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44C01DC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281E93F">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5143EBB9">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46D56C3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滁州市扬子工业投资集团有限公司</w:t>
            </w:r>
            <w:r>
              <w:rPr>
                <w:rFonts w:hint="eastAsia" w:hAnsi="宋体" w:cs="宋体"/>
                <w:color w:val="auto"/>
                <w:sz w:val="21"/>
                <w:szCs w:val="21"/>
                <w:highlight w:val="none"/>
                <w:lang w:val="en-US" w:eastAsia="zh-CN"/>
              </w:rPr>
              <w:t>资产评估</w:t>
            </w:r>
            <w:r>
              <w:rPr>
                <w:rFonts w:hint="eastAsia" w:ascii="宋体" w:hAnsi="宋体" w:eastAsia="宋体" w:cs="宋体"/>
                <w:color w:val="auto"/>
                <w:sz w:val="21"/>
                <w:szCs w:val="21"/>
                <w:highlight w:val="none"/>
                <w:lang w:val="en-US" w:eastAsia="zh-CN"/>
              </w:rPr>
              <w:t>服务项目</w:t>
            </w:r>
          </w:p>
        </w:tc>
      </w:tr>
      <w:tr w14:paraId="62B04DC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5EF7851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13FCEC5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32211A2B">
            <w:pPr>
              <w:pStyle w:val="21"/>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自合同签订之日起</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lang w:val="en-US" w:eastAsia="zh-CN"/>
              </w:rPr>
              <w:t>日内提供资产评估报告</w:t>
            </w:r>
            <w:r>
              <w:rPr>
                <w:rFonts w:hint="eastAsia" w:ascii="宋体" w:hAnsi="宋体" w:cs="宋体"/>
                <w:color w:val="auto"/>
                <w:sz w:val="21"/>
                <w:szCs w:val="21"/>
                <w:highlight w:val="none"/>
                <w:lang w:val="en-US" w:eastAsia="zh-CN"/>
              </w:rPr>
              <w:t>。</w:t>
            </w:r>
          </w:p>
        </w:tc>
      </w:tr>
      <w:tr w14:paraId="40BF1D3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3CB4AFD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3810D5A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5812B676">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757A6E8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50C5B7F0">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0DD8F1B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0511E43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杜永军</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val="en-US" w:eastAsia="zh-CN"/>
              </w:rPr>
              <w:t>0550-3018055</w:t>
            </w:r>
          </w:p>
        </w:tc>
      </w:tr>
      <w:tr w14:paraId="23BEA73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68C3498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605A745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3A15780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联系人：杨韦</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电话0550-30519590、18005501210</w:t>
            </w:r>
          </w:p>
        </w:tc>
      </w:tr>
      <w:tr w14:paraId="2C674A1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1020" w:type="dxa"/>
            <w:noWrap w:val="0"/>
            <w:vAlign w:val="center"/>
          </w:tcPr>
          <w:p w14:paraId="24429CE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0B90B69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2D12EDE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69BA0B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55F7E70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064BAD7C">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4B6C8123">
            <w:pPr>
              <w:pStyle w:val="18"/>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 xml:space="preserve">约人民币20万元；   </w:t>
            </w:r>
          </w:p>
        </w:tc>
      </w:tr>
      <w:tr w14:paraId="6092DC5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0C6A0D2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68B1E92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3B31F56A">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200000.00 元</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含税</w:t>
            </w:r>
            <w:r>
              <w:rPr>
                <w:rFonts w:hint="eastAsia" w:ascii="宋体" w:hAnsi="宋体" w:eastAsia="宋体" w:cs="宋体"/>
                <w:color w:val="auto"/>
                <w:sz w:val="21"/>
                <w:szCs w:val="21"/>
                <w:highlight w:val="none"/>
              </w:rPr>
              <w:t>），投标报价不得高于最高限价，否则将作为无效投标处理。</w:t>
            </w:r>
          </w:p>
        </w:tc>
      </w:tr>
      <w:tr w14:paraId="68315FE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478704C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6CDD50B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14F71EB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根据招标人需求提供资产评估报告</w:t>
            </w:r>
          </w:p>
        </w:tc>
      </w:tr>
      <w:tr w14:paraId="1E678A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5F9F090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25D27B6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71A24F0E">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58FF7BB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09BE437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61DC447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217B8706">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060B4D4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1E093A89">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11CE69F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773E763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3A32103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2E2A2B0">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7FEB4BB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1C09ABA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w:t>
            </w:r>
            <w:r>
              <w:rPr>
                <w:rFonts w:hint="eastAsia" w:hAnsi="宋体" w:cs="宋体"/>
                <w:color w:val="auto"/>
                <w:sz w:val="21"/>
                <w:szCs w:val="21"/>
                <w:highlight w:val="none"/>
                <w:lang w:eastAsia="zh-CN"/>
              </w:rPr>
              <w:t>，</w:t>
            </w:r>
            <w:r>
              <w:rPr>
                <w:rFonts w:hint="eastAsia" w:ascii="宋体" w:hAnsi="宋体" w:eastAsia="宋体" w:cs="宋体"/>
                <w:color w:val="auto"/>
                <w:sz w:val="21"/>
                <w:szCs w:val="21"/>
                <w:highlight w:val="none"/>
              </w:rPr>
              <w:t>投标人自行踏勘现场</w:t>
            </w:r>
          </w:p>
        </w:tc>
      </w:tr>
      <w:tr w14:paraId="4F2D195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018CE5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76922355">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358BEE0C">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12DDFF8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79286DF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5DB96C6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4D98769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064F407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14:paraId="3CF2652B">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14:paraId="75E5DD4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14:paraId="30D4861E">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代理服务费金额：</w:t>
            </w:r>
            <w:r>
              <w:rPr>
                <w:rFonts w:hint="eastAsia" w:ascii="宋体" w:hAnsi="宋体" w:cs="宋体"/>
                <w:color w:val="auto"/>
                <w:sz w:val="21"/>
                <w:szCs w:val="21"/>
                <w:highlight w:val="none"/>
                <w:lang w:val="en-US" w:eastAsia="zh-CN"/>
              </w:rPr>
              <w:t>2000</w:t>
            </w:r>
            <w:r>
              <w:rPr>
                <w:rFonts w:hint="eastAsia" w:ascii="宋体" w:hAnsi="宋体" w:eastAsia="宋体" w:cs="宋体"/>
                <w:color w:val="auto"/>
                <w:sz w:val="21"/>
                <w:szCs w:val="21"/>
                <w:highlight w:val="none"/>
              </w:rPr>
              <w:t>元；支付主体：</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w:t>
            </w:r>
          </w:p>
          <w:p w14:paraId="6DF7E566">
            <w:pPr>
              <w:pStyle w:val="34"/>
              <w:keepNext w:val="0"/>
              <w:keepLines w:val="0"/>
              <w:pageBreakBefore w:val="0"/>
              <w:kinsoku/>
              <w:overflowPunct/>
              <w:topLinePunct w:val="0"/>
              <w:autoSpaceDE/>
              <w:autoSpaceDN/>
              <w:bidi w:val="0"/>
              <w:adjustRightInd/>
              <w:spacing w:after="0" w:line="520" w:lineRule="exact"/>
              <w:ind w:left="0" w:leftChars="0" w:firstLine="0" w:firstLineChars="0"/>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2.专家评委费：具体金额以实际发生为准；支付主体：中标人</w:t>
            </w:r>
          </w:p>
        </w:tc>
      </w:tr>
      <w:tr w14:paraId="13D32F3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E5A0FB4">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6787E22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0E424F14">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招标人将于2024年</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在滁州市扬子工业投资集团有限公司官网（https://czyzgtjt.com/）或中国扬子集团官网（http://www.yangzigroup.cn/）予以公布。</w:t>
            </w:r>
          </w:p>
        </w:tc>
      </w:tr>
      <w:tr w14:paraId="1D645A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293122E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1D59A44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615A471B">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504B45C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5ACB8AE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1063505F">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742D35F8">
            <w:pPr>
              <w:keepNext w:val="0"/>
              <w:keepLines w:val="0"/>
              <w:pageBreakBefore w:val="0"/>
              <w:widowControl/>
              <w:shd w:val="clear" w:color="auto" w:fill="FFFFFF"/>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具体详见招标公告</w:t>
            </w:r>
          </w:p>
        </w:tc>
      </w:tr>
      <w:tr w14:paraId="082BC89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7CEFC787">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24352CD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32126ECE">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14:paraId="7A683995">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b/>
                <w:color w:val="auto"/>
                <w:kern w:val="0"/>
                <w:sz w:val="21"/>
                <w:szCs w:val="21"/>
                <w:highlight w:val="none"/>
                <w:lang w:val="en-US" w:eastAsia="zh-CN"/>
              </w:rPr>
              <w:t>投标</w:t>
            </w:r>
            <w:r>
              <w:rPr>
                <w:rFonts w:hint="eastAsia" w:ascii="宋体" w:hAnsi="宋体" w:eastAsia="宋体" w:cs="宋体"/>
                <w:b/>
                <w:color w:val="auto"/>
                <w:kern w:val="0"/>
                <w:sz w:val="21"/>
                <w:szCs w:val="21"/>
                <w:highlight w:val="none"/>
                <w:lang w:val="en-US" w:eastAsia="zh-CN"/>
              </w:rPr>
              <w:t>文件正副本密封在</w:t>
            </w:r>
            <w:r>
              <w:rPr>
                <w:rFonts w:hint="eastAsia" w:ascii="宋体" w:hAnsi="宋体" w:cs="宋体"/>
                <w:b/>
                <w:color w:val="auto"/>
                <w:kern w:val="0"/>
                <w:sz w:val="21"/>
                <w:szCs w:val="21"/>
                <w:highlight w:val="none"/>
                <w:lang w:val="en-US" w:eastAsia="zh-CN"/>
              </w:rPr>
              <w:t>投标</w:t>
            </w:r>
            <w:r>
              <w:rPr>
                <w:rFonts w:hint="eastAsia" w:ascii="宋体" w:hAnsi="宋体" w:eastAsia="宋体" w:cs="宋体"/>
                <w:b/>
                <w:color w:val="auto"/>
                <w:kern w:val="0"/>
                <w:sz w:val="21"/>
                <w:szCs w:val="21"/>
                <w:highlight w:val="none"/>
                <w:lang w:val="en-US" w:eastAsia="zh-CN"/>
              </w:rPr>
              <w:t>文件档案袋中。</w:t>
            </w:r>
          </w:p>
        </w:tc>
      </w:tr>
      <w:tr w14:paraId="72BA4CC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859914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345E1EB0">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127821E8">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70A341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37E039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3BC5F71A">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13CD7D4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10</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21</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分（北京时间）</w:t>
            </w:r>
          </w:p>
        </w:tc>
      </w:tr>
      <w:tr w14:paraId="568F74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560C40AB">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719AA11E">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516E23ED">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6C9112F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41699D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19782E8B">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50C80A26">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236EEE2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AA6805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050AF5D1">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5DF80CF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再进行评审。</w:t>
            </w:r>
          </w:p>
        </w:tc>
      </w:tr>
      <w:tr w14:paraId="6A12EE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7E6D43F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207C454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266A046A">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招标人依法组建。</w:t>
            </w:r>
          </w:p>
        </w:tc>
      </w:tr>
      <w:tr w14:paraId="4F4B1B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74DF9AF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78FAAE3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32475C60">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ascii="宋体" w:hAnsi="宋体" w:eastAsia="宋体" w:cs="宋体"/>
                <w:color w:val="auto"/>
                <w:sz w:val="21"/>
                <w:szCs w:val="21"/>
                <w:highlight w:val="none"/>
                <w:u w:val="single" w:color="auto"/>
              </w:rPr>
              <w:t xml:space="preserve"> 3</w:t>
            </w:r>
            <w:r>
              <w:rPr>
                <w:rFonts w:hint="eastAsia" w:ascii="宋体" w:hAnsi="宋体" w:eastAsia="宋体" w:cs="宋体"/>
                <w:color w:val="auto"/>
                <w:sz w:val="21"/>
                <w:szCs w:val="21"/>
                <w:highlight w:val="none"/>
              </w:rPr>
              <w:t>名中标候选人。</w:t>
            </w:r>
          </w:p>
        </w:tc>
      </w:tr>
      <w:tr w14:paraId="4E9610F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14:paraId="3B796C28">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14:paraId="71147DF9">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14:paraId="532B018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中标通知书须加盖</w:t>
            </w:r>
            <w:r>
              <w:rPr>
                <w:rFonts w:hint="eastAsia" w:ascii="宋体" w:hAnsi="宋体" w:eastAsia="宋体" w:cs="宋体"/>
                <w:color w:val="auto"/>
                <w:sz w:val="21"/>
                <w:szCs w:val="21"/>
                <w:highlight w:val="none"/>
                <w:lang w:val="en-US" w:eastAsia="zh-CN"/>
              </w:rPr>
              <w:t>招标人及代理机构公章</w:t>
            </w:r>
            <w:r>
              <w:rPr>
                <w:rFonts w:hint="eastAsia" w:ascii="宋体" w:hAnsi="宋体" w:eastAsia="宋体" w:cs="宋体"/>
                <w:color w:val="auto"/>
                <w:sz w:val="21"/>
                <w:szCs w:val="21"/>
                <w:highlight w:val="none"/>
              </w:rPr>
              <w:t>后方可发出。</w:t>
            </w:r>
          </w:p>
        </w:tc>
      </w:tr>
      <w:tr w14:paraId="1709565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2CC505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3311133A">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7F33D73A">
            <w:pPr>
              <w:keepNext w:val="0"/>
              <w:keepLines w:val="0"/>
              <w:pageBreakBefore w:val="0"/>
              <w:kinsoku/>
              <w:wordWrap w:val="0"/>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59F987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41F8AE0A">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7821FEC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7DD765F2">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2024年</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时前(滁州市城投工程咨询管理有限公司电子邮箱</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 xml:space="preserve">。招标人不再集中召开招标答疑会；投标人自行组织勘察现场。  </w:t>
            </w:r>
          </w:p>
        </w:tc>
      </w:tr>
      <w:tr w14:paraId="794B2A1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5A873409">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0FDF8B7C">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72AD208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同15.4“招标人澄清的方式”。</w:t>
            </w:r>
          </w:p>
        </w:tc>
      </w:tr>
      <w:tr w14:paraId="2B8A84C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4937962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34A41522">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出具资产评估报告</w:t>
            </w:r>
            <w:r>
              <w:rPr>
                <w:rFonts w:hint="eastAsia" w:ascii="宋体" w:hAnsi="宋体" w:cs="宋体"/>
                <w:b/>
                <w:bCs/>
                <w:color w:val="auto"/>
                <w:sz w:val="21"/>
                <w:szCs w:val="21"/>
                <w:highlight w:val="none"/>
                <w:lang w:val="en-US" w:eastAsia="zh-CN"/>
              </w:rPr>
              <w:t>后30</w:t>
            </w:r>
            <w:r>
              <w:rPr>
                <w:rFonts w:hint="eastAsia" w:ascii="宋体" w:hAnsi="宋体" w:eastAsia="宋体" w:cs="宋体"/>
                <w:b/>
                <w:bCs/>
                <w:color w:val="auto"/>
                <w:sz w:val="21"/>
                <w:szCs w:val="21"/>
                <w:highlight w:val="none"/>
                <w:lang w:val="en-US" w:eastAsia="zh-CN"/>
              </w:rPr>
              <w:t>个日历天内一次性付清合同价款。</w:t>
            </w:r>
          </w:p>
        </w:tc>
      </w:tr>
    </w:tbl>
    <w:p w14:paraId="5D092569">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23" w:name="_Toc449028866"/>
      <w:bookmarkStart w:id="24" w:name="_Toc58430315"/>
      <w:r>
        <w:rPr>
          <w:rFonts w:hint="eastAsia" w:ascii="宋体" w:hAnsi="宋体" w:cs="宋体"/>
          <w:b/>
          <w:color w:val="auto"/>
          <w:sz w:val="28"/>
          <w:szCs w:val="28"/>
          <w:highlight w:val="none"/>
        </w:rPr>
        <w:t>二、投标人须知</w:t>
      </w:r>
      <w:bookmarkEnd w:id="23"/>
      <w:bookmarkEnd w:id="24"/>
    </w:p>
    <w:p w14:paraId="7DB5F582">
      <w:pPr>
        <w:spacing w:line="440" w:lineRule="exact"/>
        <w:jc w:val="center"/>
        <w:rPr>
          <w:rFonts w:hint="eastAsia" w:ascii="宋体" w:hAnsi="宋体" w:cs="宋体"/>
          <w:color w:val="auto"/>
          <w:sz w:val="28"/>
          <w:szCs w:val="28"/>
          <w:highlight w:val="none"/>
        </w:rPr>
      </w:pPr>
      <w:bookmarkStart w:id="25"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5"/>
    </w:p>
    <w:p w14:paraId="265DF29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18ED1D73">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7A91EC09">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350DBABB">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5A56A65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40B7F4A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45923DFC">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见投标人须知前附表。</w:t>
      </w:r>
    </w:p>
    <w:p w14:paraId="485C55DF">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见投标人须知前附表。</w:t>
      </w:r>
    </w:p>
    <w:p w14:paraId="35DDE2D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28EB262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02575EC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60B181E8">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18C046DE">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39FEBFC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5CAEEE87">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09616024">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0330D5C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3DE3642C">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0B79A7E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02E2CAA1">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08B6D253">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2657D19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综合评分法 </w:t>
      </w:r>
      <w:r>
        <w:rPr>
          <w:rFonts w:hint="eastAsia" w:ascii="宋体" w:hAnsi="宋体" w:cs="宋体"/>
          <w:color w:val="auto"/>
          <w:szCs w:val="21"/>
          <w:highlight w:val="none"/>
        </w:rPr>
        <w:t>（详见第三章评标办法）</w:t>
      </w:r>
    </w:p>
    <w:p w14:paraId="30C0A9E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7768583A">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2C6408C4">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22A1C685">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1F585B69">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6" w:name="_Toc152042315"/>
      <w:bookmarkStart w:id="27" w:name="_Toc144974507"/>
      <w:bookmarkStart w:id="28" w:name="_Toc247527563"/>
      <w:bookmarkStart w:id="29" w:name="_Toc152045539"/>
      <w:bookmarkStart w:id="30" w:name="_Toc247592876"/>
      <w:bookmarkStart w:id="31" w:name="_Toc247513962"/>
      <w:bookmarkStart w:id="32" w:name="_Toc296602429"/>
      <w:r>
        <w:rPr>
          <w:rFonts w:hint="eastAsia" w:ascii="宋体" w:hAnsi="宋体" w:cs="宋体"/>
          <w:b/>
          <w:color w:val="auto"/>
          <w:szCs w:val="21"/>
          <w:highlight w:val="none"/>
        </w:rPr>
        <w:t xml:space="preserve"> 踏勘现场</w:t>
      </w:r>
      <w:bookmarkEnd w:id="26"/>
      <w:bookmarkEnd w:id="27"/>
      <w:bookmarkEnd w:id="28"/>
      <w:bookmarkEnd w:id="29"/>
      <w:bookmarkEnd w:id="30"/>
      <w:bookmarkEnd w:id="31"/>
      <w:bookmarkEnd w:id="32"/>
    </w:p>
    <w:p w14:paraId="6292D57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40A25EED">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2E6F200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3C8DC6B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33" w:name="_Toc152045540"/>
      <w:bookmarkStart w:id="34" w:name="_Toc144974508"/>
      <w:bookmarkStart w:id="35" w:name="_Toc247592877"/>
      <w:bookmarkStart w:id="36" w:name="_Toc247513963"/>
      <w:bookmarkStart w:id="37" w:name="_Toc296602430"/>
      <w:bookmarkStart w:id="38" w:name="_Toc247527564"/>
      <w:bookmarkStart w:id="39" w:name="_Toc152042316"/>
    </w:p>
    <w:p w14:paraId="095043B3">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33"/>
      <w:bookmarkEnd w:id="34"/>
      <w:bookmarkEnd w:id="35"/>
      <w:bookmarkEnd w:id="36"/>
      <w:bookmarkEnd w:id="37"/>
      <w:bookmarkEnd w:id="38"/>
      <w:bookmarkEnd w:id="39"/>
      <w:r>
        <w:rPr>
          <w:rFonts w:hint="eastAsia" w:ascii="宋体" w:hAnsi="宋体" w:cs="宋体"/>
          <w:b/>
          <w:color w:val="auto"/>
          <w:szCs w:val="21"/>
          <w:highlight w:val="none"/>
        </w:rPr>
        <w:t>（本项目不采用）</w:t>
      </w:r>
    </w:p>
    <w:p w14:paraId="1CFF504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4D94E919">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47527F15">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417C0F55">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3A466176">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27BC6C0D">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1B156C5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17407B56">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179F2911">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7E4B18A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07F943C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29A558E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09C11E2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w:t>
      </w:r>
      <w:r>
        <w:rPr>
          <w:rFonts w:hint="eastAsia" w:ascii="宋体" w:hAnsi="宋体" w:cs="宋体"/>
          <w:color w:val="auto"/>
          <w:szCs w:val="21"/>
          <w:highlight w:val="none"/>
          <w:lang w:eastAsia="zh-CN"/>
        </w:rPr>
        <w:t>地</w:t>
      </w:r>
      <w:r>
        <w:rPr>
          <w:rFonts w:hint="eastAsia" w:ascii="宋体" w:hAnsi="宋体" w:cs="宋体"/>
          <w:color w:val="auto"/>
          <w:szCs w:val="21"/>
          <w:highlight w:val="none"/>
        </w:rPr>
        <w:t>满足招标文件的相关要求。</w:t>
      </w:r>
    </w:p>
    <w:p w14:paraId="66AC8D5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2210261B">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投标人被视为充分熟悉本招标项目所在地的与履行合同有关的各种情况，包括但不限于：</w:t>
      </w:r>
    </w:p>
    <w:p w14:paraId="42199CAE">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4D937245">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3004E621">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14A55628">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5C1B24B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14:paraId="61066CC8">
      <w:pPr>
        <w:spacing w:before="312" w:beforeLines="100" w:after="312" w:afterLines="100" w:line="440" w:lineRule="exact"/>
        <w:jc w:val="center"/>
        <w:rPr>
          <w:rFonts w:hint="eastAsia" w:ascii="宋体" w:hAnsi="宋体" w:cs="宋体"/>
          <w:b/>
          <w:color w:val="auto"/>
          <w:sz w:val="28"/>
          <w:szCs w:val="28"/>
          <w:highlight w:val="none"/>
        </w:rPr>
      </w:pPr>
      <w:bookmarkStart w:id="40" w:name="_Toc449028868"/>
      <w:r>
        <w:rPr>
          <w:rFonts w:hint="eastAsia" w:ascii="宋体" w:hAnsi="宋体" w:cs="宋体"/>
          <w:b/>
          <w:color w:val="auto"/>
          <w:sz w:val="28"/>
          <w:szCs w:val="28"/>
          <w:highlight w:val="none"/>
        </w:rPr>
        <w:t>（二）</w:t>
      </w:r>
      <w:bookmarkEnd w:id="40"/>
      <w:r>
        <w:rPr>
          <w:rFonts w:hint="eastAsia" w:ascii="宋体" w:hAnsi="宋体" w:cs="宋体"/>
          <w:b/>
          <w:color w:val="auto"/>
          <w:sz w:val="28"/>
          <w:szCs w:val="28"/>
          <w:highlight w:val="none"/>
        </w:rPr>
        <w:t>招标文件</w:t>
      </w:r>
    </w:p>
    <w:p w14:paraId="46A44023">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777EEBC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14:paraId="40878A9D">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1055017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6295F93E">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79FDCAE1">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7092E14E">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5D819F8A">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14:paraId="15E89240">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第五章  合同条款及格式</w:t>
      </w:r>
    </w:p>
    <w:p w14:paraId="5A2E8E89">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14:paraId="12C92DCA">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1F97DF2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14:paraId="7F0264F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电子邮箱</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将以更正公告形式在滁州市扬子工业投资集团有限公司官网（https://czyzgtjt.com/）或中国扬子集团官网（http://www.yangzigroup.cn/）予以公布</w:t>
      </w:r>
      <w:r>
        <w:rPr>
          <w:rFonts w:hint="eastAsia" w:ascii="宋体" w:hAnsi="宋体" w:cs="宋体"/>
          <w:color w:val="auto"/>
          <w:szCs w:val="21"/>
          <w:highlight w:val="none"/>
        </w:rPr>
        <w:t>，但不指明澄清问题的来源。如果澄清内容影响投标文件编制的，将相应延长投标截止时间。</w:t>
      </w:r>
    </w:p>
    <w:p w14:paraId="1642BB00">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147FC37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在滁州市扬子工业投资集团有限公司官网（https://czyzgtjt.com/）或中国扬子集团官网（http://www.yangzigroup.cn/）予以公布。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084A3441">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31A55C4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5CC6CDC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39EDD97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2EEBE02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135B59B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59288502">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0A2CBA3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17.1招标文件、招标文件的澄清、修改、补充及招标答疑等在网站发出。</w:t>
      </w:r>
    </w:p>
    <w:p w14:paraId="7AE5F188">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14:paraId="1823EE2A">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14:paraId="6AA2827A">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14:paraId="4FC9C7E5">
      <w:pPr>
        <w:spacing w:before="312" w:beforeLines="100" w:after="312" w:afterLines="100" w:line="440" w:lineRule="exact"/>
        <w:jc w:val="center"/>
        <w:rPr>
          <w:rFonts w:hint="eastAsia" w:ascii="宋体" w:hAnsi="宋体" w:cs="宋体"/>
          <w:b/>
          <w:color w:val="auto"/>
          <w:sz w:val="28"/>
          <w:szCs w:val="28"/>
          <w:highlight w:val="none"/>
        </w:rPr>
      </w:pPr>
      <w:bookmarkStart w:id="41" w:name="_Toc449028869"/>
      <w:r>
        <w:rPr>
          <w:rFonts w:hint="eastAsia" w:ascii="宋体" w:hAnsi="宋体" w:cs="宋体"/>
          <w:b/>
          <w:color w:val="auto"/>
          <w:sz w:val="28"/>
          <w:szCs w:val="28"/>
          <w:highlight w:val="none"/>
        </w:rPr>
        <w:t>（三）投标文件的编制</w:t>
      </w:r>
      <w:bookmarkEnd w:id="41"/>
    </w:p>
    <w:p w14:paraId="7C9D5282">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14:paraId="788D9573">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4DADC22B">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14:paraId="6DB94D96">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14:paraId="2A6B9B4A">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14:paraId="1C4F64E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39666C4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3934078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14:paraId="0C3D5DA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14:paraId="01F38C13">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14:paraId="7D53EE2F">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02219291">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051CF94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1F1352B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w:t>
      </w:r>
      <w:r>
        <w:rPr>
          <w:rFonts w:hint="eastAsia" w:ascii="宋体" w:hAnsi="宋体" w:cs="宋体"/>
          <w:color w:val="auto"/>
          <w:szCs w:val="21"/>
          <w:highlight w:val="none"/>
          <w:lang w:eastAsia="zh-CN"/>
        </w:rPr>
        <w:t>做</w:t>
      </w:r>
      <w:r>
        <w:rPr>
          <w:rFonts w:hint="eastAsia" w:ascii="宋体" w:hAnsi="宋体" w:cs="宋体"/>
          <w:color w:val="auto"/>
          <w:szCs w:val="21"/>
          <w:highlight w:val="none"/>
        </w:rPr>
        <w:t>任何调整。</w:t>
      </w:r>
    </w:p>
    <w:p w14:paraId="26CF0DB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5552ED46">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3BA8D03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661B54F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3CEAF67A">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36E90D1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14:paraId="16F2C61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14:paraId="2456500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14:paraId="615A0C4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517F2154">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14:paraId="01F9903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投标人须知前附表规定递交投标保证金的，投标人在递交投标文件的同时，应按投标人须知前附表规定的金额、担保形式规定的或者事先经过招标人认可的保证金格式递交保证金，并作为其投标文件的组成部分。</w:t>
      </w:r>
    </w:p>
    <w:p w14:paraId="04C711A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.2投标人不按</w:t>
      </w: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要求提交投标保证金的，评标委员会将否决其投标。</w:t>
      </w:r>
    </w:p>
    <w:p w14:paraId="1E9EA90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.3未中标投标人的投标保证金，</w:t>
      </w:r>
      <w:r>
        <w:rPr>
          <w:rFonts w:hint="eastAsia" w:ascii="宋体" w:hAnsi="宋体" w:cs="宋体"/>
          <w:color w:val="auto"/>
          <w:szCs w:val="21"/>
          <w:highlight w:val="none"/>
          <w:lang w:val="en-US" w:eastAsia="zh-CN"/>
        </w:rPr>
        <w:t>在</w:t>
      </w:r>
      <w:r>
        <w:rPr>
          <w:rFonts w:hint="eastAsia" w:ascii="宋体" w:hAnsi="宋体" w:cs="宋体"/>
          <w:color w:val="auto"/>
          <w:szCs w:val="21"/>
          <w:highlight w:val="none"/>
        </w:rPr>
        <w:t>中标通知书</w:t>
      </w:r>
      <w:r>
        <w:rPr>
          <w:rFonts w:hint="eastAsia" w:ascii="宋体" w:hAnsi="宋体" w:cs="宋体"/>
          <w:color w:val="auto"/>
          <w:szCs w:val="21"/>
          <w:highlight w:val="none"/>
          <w:lang w:val="en-US" w:eastAsia="zh-CN"/>
        </w:rPr>
        <w:t>发放后5个工作日内退还</w:t>
      </w:r>
      <w:r>
        <w:rPr>
          <w:rFonts w:hint="eastAsia" w:ascii="宋体" w:hAnsi="宋体" w:cs="宋体"/>
          <w:color w:val="auto"/>
          <w:szCs w:val="21"/>
          <w:highlight w:val="none"/>
        </w:rPr>
        <w:t>。</w:t>
      </w:r>
    </w:p>
    <w:p w14:paraId="143228F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.4有下列情形之一的，投标保证金将不予退还： </w:t>
      </w:r>
    </w:p>
    <w:p w14:paraId="5079D75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（1）投标截止后投标人撤销投标文件的；</w:t>
      </w:r>
    </w:p>
    <w:p w14:paraId="04F5B07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（2）中标人无正当理由不与招标人订立合同，在签订合同时向招标人提出附加条件，或者不按照招标文件要求提交履约保证金的。</w:t>
      </w:r>
    </w:p>
    <w:p w14:paraId="4CDE01CD">
      <w:pPr>
        <w:spacing w:before="312" w:beforeLines="100" w:after="312" w:afterLines="100" w:line="440" w:lineRule="exact"/>
        <w:jc w:val="center"/>
        <w:rPr>
          <w:rFonts w:hint="eastAsia" w:ascii="宋体" w:hAnsi="宋体" w:eastAsia="宋体" w:cs="宋体"/>
          <w:b/>
          <w:color w:val="auto"/>
          <w:sz w:val="28"/>
          <w:szCs w:val="28"/>
          <w:highlight w:val="none"/>
        </w:rPr>
      </w:pPr>
      <w:bookmarkStart w:id="42" w:name="_Toc449028870"/>
      <w:r>
        <w:rPr>
          <w:rFonts w:hint="eastAsia" w:ascii="宋体" w:hAnsi="宋体" w:eastAsia="宋体" w:cs="宋体"/>
          <w:b/>
          <w:color w:val="auto"/>
          <w:sz w:val="28"/>
          <w:szCs w:val="28"/>
          <w:highlight w:val="none"/>
        </w:rPr>
        <w:t>（四）投标文件的递交</w:t>
      </w:r>
      <w:bookmarkEnd w:id="42"/>
    </w:p>
    <w:p w14:paraId="188FD95D">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14:paraId="30F5148C">
      <w:pPr>
        <w:spacing w:line="440" w:lineRule="exact"/>
        <w:ind w:firstLine="315" w:firstLineChars="150"/>
        <w:jc w:val="left"/>
        <w:rPr>
          <w:rFonts w:hint="eastAsia" w:ascii="宋体" w:hAnsi="宋体" w:cs="宋体"/>
          <w:b w:val="0"/>
          <w:bCs w:val="0"/>
          <w:color w:val="auto"/>
          <w:szCs w:val="21"/>
          <w:highlight w:val="none"/>
        </w:rPr>
      </w:pPr>
      <w:bookmarkStart w:id="43"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w:t>
      </w:r>
      <w:r>
        <w:rPr>
          <w:rFonts w:hint="eastAsia" w:ascii="宋体" w:hAnsi="宋体" w:cs="宋体"/>
          <w:b w:val="0"/>
          <w:bCs w:val="0"/>
          <w:color w:val="auto"/>
          <w:szCs w:val="21"/>
          <w:highlight w:val="none"/>
          <w:lang w:eastAsia="zh-CN"/>
        </w:rPr>
        <w:t>，</w:t>
      </w:r>
      <w:r>
        <w:rPr>
          <w:rFonts w:hint="eastAsia" w:ascii="宋体" w:hAnsi="宋体" w:cs="宋体"/>
          <w:b w:val="0"/>
          <w:bCs w:val="0"/>
          <w:color w:val="auto"/>
          <w:szCs w:val="21"/>
          <w:highlight w:val="none"/>
        </w:rPr>
        <w:t xml:space="preserve"> 按照无效投标处理。</w:t>
      </w:r>
    </w:p>
    <w:p w14:paraId="0BBFAA11">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14:paraId="203AAEB9">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14:paraId="4DBC5CD5">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14:paraId="73AF4EAE">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14:paraId="5C9A4D67">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43"/>
    </w:p>
    <w:p w14:paraId="65B91A2F">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14:paraId="4928C5EA">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14:paraId="1122FB3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14:paraId="6E9A2C7D">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14:paraId="0071EB8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14:paraId="3036A2A2">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14:paraId="5C27A3B3">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14:paraId="0346E18A">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14:paraId="686E769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14:paraId="1E27BAA0">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14:paraId="6DF1C5EB">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14:paraId="5906DA5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14:paraId="22572585">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14:paraId="33523C3C">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14:paraId="0AF92ACC">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14:paraId="72582DBF">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72334D38">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14:paraId="24E37664">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14:paraId="5E64454A">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14:paraId="1BD179E4">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14:paraId="5768C106">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14:paraId="45ED8E7F">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14:paraId="3B189A38">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14:paraId="762A94FE">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14:paraId="70BEEED7">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26922152">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260E0B5A">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14:paraId="3865BCA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14:paraId="2BE859A2">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.4.1在评标过程中，评标委员会认为需要，在公共资源交易监督管理部门的监督下，可要求投标人对投标文件中的有关问题进行澄清或提供补充说明及有关资料，投标人应做出书面答复。</w:t>
      </w:r>
    </w:p>
    <w:p w14:paraId="1AFB7AB9">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14:paraId="49E336EA">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14:paraId="7A2C5D0C">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8CAE898">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14:paraId="737D7BB3">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027B1FD1">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761DA60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14:paraId="29ADB63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w:t>
      </w:r>
      <w:r>
        <w:rPr>
          <w:rFonts w:hint="eastAsia" w:ascii="宋体"/>
          <w:color w:val="auto"/>
          <w:szCs w:val="21"/>
          <w:highlight w:val="none"/>
          <w:lang w:eastAsia="zh-CN"/>
        </w:rPr>
        <w:t>，</w:t>
      </w:r>
      <w:r>
        <w:rPr>
          <w:rFonts w:hint="eastAsia" w:ascii="宋体"/>
          <w:color w:val="auto"/>
          <w:szCs w:val="21"/>
          <w:highlight w:val="none"/>
        </w:rPr>
        <w:t>所有成员应签字确认。对评标结论持有异议的评标委员会成员可以书面方式阐述其不同意见和理由。评标委员会成员拒绝在评标报告上签字且不陈述其不同意见和理由的，视为同意评标结论。</w:t>
      </w:r>
    </w:p>
    <w:p w14:paraId="385207F7">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14:paraId="4067CB7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4267794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14:paraId="41B5F6AE">
      <w:pPr>
        <w:spacing w:line="440" w:lineRule="exact"/>
        <w:ind w:firstLine="420" w:firstLineChars="200"/>
        <w:jc w:val="left"/>
        <w:rPr>
          <w:rFonts w:hint="eastAsia" w:ascii="宋体" w:hAnsi="宋体" w:cs="宋体"/>
          <w:color w:val="auto"/>
          <w:szCs w:val="21"/>
          <w:highlight w:val="none"/>
        </w:rPr>
      </w:pPr>
      <w:r>
        <w:rPr>
          <w:rFonts w:hint="eastAsia" w:ascii="宋体"/>
          <w:color w:val="auto"/>
          <w:szCs w:val="21"/>
          <w:highlight w:val="none"/>
        </w:rPr>
        <w:t>招标人应将中标人的情况在</w:t>
      </w:r>
      <w:r>
        <w:rPr>
          <w:rFonts w:hint="eastAsia" w:ascii="宋体" w:hAnsi="宋体" w:cs="宋体"/>
          <w:color w:val="auto"/>
          <w:szCs w:val="21"/>
          <w:highlight w:val="none"/>
          <w:lang w:val="en-US" w:eastAsia="zh-CN"/>
        </w:rPr>
        <w:t>滁州市扬子工业投资集团有限公司官网（https://czyzgtjt.com/）或中国扬子集团官网（http://www.yangzigroup.cn/）</w:t>
      </w:r>
      <w:r>
        <w:rPr>
          <w:rFonts w:hint="eastAsia" w:ascii="宋体"/>
          <w:color w:val="auto"/>
          <w:szCs w:val="21"/>
          <w:highlight w:val="none"/>
        </w:rPr>
        <w:t>予以公告，公告期为3日。</w:t>
      </w:r>
      <w:r>
        <w:rPr>
          <w:rFonts w:hint="eastAsia" w:ascii="宋体" w:hAnsi="宋体" w:cs="宋体"/>
          <w:b/>
          <w:bCs/>
          <w:color w:val="auto"/>
          <w:szCs w:val="21"/>
          <w:highlight w:val="none"/>
        </w:rPr>
        <w:t xml:space="preserve">  </w:t>
      </w:r>
    </w:p>
    <w:p w14:paraId="2893B7B8">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14:paraId="656E47C5">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14:paraId="14E6A89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14:paraId="7C48589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30.2 中标通知书</w:t>
      </w:r>
    </w:p>
    <w:p w14:paraId="0BA81D80">
      <w:pPr>
        <w:pStyle w:val="15"/>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w:t>
      </w:r>
      <w:r>
        <w:rPr>
          <w:rFonts w:hint="eastAsia" w:ascii="宋体" w:hAnsi="宋体" w:cs="宋体"/>
          <w:color w:val="auto"/>
          <w:highlight w:val="none"/>
          <w:lang w:val="en-US" w:eastAsia="zh-CN"/>
        </w:rPr>
        <w:t>2</w:t>
      </w:r>
      <w:r>
        <w:rPr>
          <w:rFonts w:hint="eastAsia" w:ascii="宋体" w:hAnsi="宋体" w:cs="宋体"/>
          <w:color w:val="auto"/>
          <w:highlight w:val="none"/>
        </w:rPr>
        <w:t>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429CF21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、采购代理机构公章后，方可发出。</w:t>
      </w:r>
    </w:p>
    <w:p w14:paraId="37CE5548">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14:paraId="0348926A">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14:paraId="45A4E481">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2B4A84D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(1) 出现影响采购公正的违法、违规行为的；</w:t>
      </w:r>
    </w:p>
    <w:p w14:paraId="5E083CCE">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lang w:eastAsia="zh-CN"/>
        </w:rPr>
        <w:t>（</w:t>
      </w:r>
      <w:r>
        <w:rPr>
          <w:rFonts w:hint="eastAsia" w:ascii="宋体" w:hAnsi="宋体" w:cs="宋体"/>
          <w:color w:val="auto"/>
          <w:kern w:val="10"/>
          <w:szCs w:val="21"/>
          <w:highlight w:val="none"/>
        </w:rPr>
        <w:t>2</w:t>
      </w:r>
      <w:r>
        <w:rPr>
          <w:rFonts w:hint="eastAsia" w:ascii="宋体" w:hAnsi="宋体" w:cs="宋体"/>
          <w:color w:val="auto"/>
          <w:kern w:val="10"/>
          <w:szCs w:val="21"/>
          <w:highlight w:val="none"/>
          <w:lang w:eastAsia="zh-CN"/>
        </w:rPr>
        <w:t>）</w:t>
      </w:r>
      <w:r>
        <w:rPr>
          <w:rFonts w:hint="eastAsia" w:ascii="宋体" w:hAnsi="宋体" w:cs="宋体"/>
          <w:color w:val="auto"/>
          <w:kern w:val="10"/>
          <w:szCs w:val="21"/>
          <w:highlight w:val="none"/>
        </w:rPr>
        <w:t>投标人的报价均脱离实际且无充分证据的；</w:t>
      </w:r>
    </w:p>
    <w:p w14:paraId="3C00AD8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lang w:eastAsia="zh-CN"/>
        </w:rPr>
        <w:t>（</w:t>
      </w:r>
      <w:r>
        <w:rPr>
          <w:rFonts w:hint="eastAsia" w:ascii="宋体" w:hAnsi="宋体" w:cs="宋体"/>
          <w:color w:val="auto"/>
          <w:kern w:val="10"/>
          <w:szCs w:val="21"/>
          <w:highlight w:val="none"/>
        </w:rPr>
        <w:t>3</w:t>
      </w:r>
      <w:r>
        <w:rPr>
          <w:rFonts w:hint="eastAsia" w:ascii="宋体" w:hAnsi="宋体" w:cs="宋体"/>
          <w:color w:val="auto"/>
          <w:kern w:val="10"/>
          <w:szCs w:val="21"/>
          <w:highlight w:val="none"/>
          <w:lang w:eastAsia="zh-CN"/>
        </w:rPr>
        <w:t>）</w:t>
      </w:r>
      <w:r>
        <w:rPr>
          <w:rFonts w:hint="eastAsia" w:ascii="宋体" w:hAnsi="宋体" w:eastAsia="宋体" w:cs="宋体"/>
          <w:color w:val="auto"/>
          <w:kern w:val="10"/>
          <w:szCs w:val="21"/>
          <w:highlight w:val="none"/>
        </w:rPr>
        <w:t>因重大变故，采购任务取消的。</w:t>
      </w:r>
    </w:p>
    <w:p w14:paraId="7438AA4B">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14:paraId="68D6B96A">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4" w:name="_Toc449028872"/>
      <w:r>
        <w:rPr>
          <w:rFonts w:hint="eastAsia" w:ascii="宋体" w:hAnsi="宋体" w:eastAsia="宋体" w:cs="宋体"/>
          <w:color w:val="auto"/>
          <w:kern w:val="10"/>
          <w:szCs w:val="21"/>
          <w:highlight w:val="none"/>
        </w:rPr>
        <w:t>按照滁州市公管局和财政局相关规定执行。</w:t>
      </w:r>
      <w:bookmarkEnd w:id="44"/>
      <w:bookmarkStart w:id="45" w:name="_Toc449028873"/>
    </w:p>
    <w:p w14:paraId="4168FF84">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5"/>
    </w:p>
    <w:p w14:paraId="57DDED54">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14:paraId="05481F39">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14:paraId="18539A6E">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14:paraId="0D2F171D">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w:t>
      </w:r>
      <w:r>
        <w:rPr>
          <w:rFonts w:hint="eastAsia" w:ascii="宋体" w:hAnsi="宋体" w:cs="宋体"/>
          <w:color w:val="auto"/>
          <w:szCs w:val="21"/>
          <w:highlight w:val="none"/>
          <w:lang w:val="en-US" w:eastAsia="zh-CN"/>
        </w:rPr>
        <w:t>30</w:t>
      </w:r>
      <w:r>
        <w:rPr>
          <w:rFonts w:hint="eastAsia" w:ascii="宋体" w:hAnsi="宋体" w:cs="宋体"/>
          <w:color w:val="auto"/>
          <w:szCs w:val="21"/>
          <w:highlight w:val="none"/>
        </w:rPr>
        <w:t>个</w:t>
      </w:r>
      <w:r>
        <w:rPr>
          <w:rFonts w:hint="eastAsia" w:ascii="宋体" w:hAnsi="宋体" w:cs="宋体"/>
          <w:color w:val="auto"/>
          <w:szCs w:val="21"/>
          <w:highlight w:val="none"/>
          <w:lang w:val="en-US" w:eastAsia="zh-CN"/>
        </w:rPr>
        <w:t>日历天</w:t>
      </w:r>
      <w:r>
        <w:rPr>
          <w:rFonts w:hint="eastAsia" w:ascii="宋体" w:hAnsi="宋体" w:cs="宋体"/>
          <w:color w:val="auto"/>
          <w:szCs w:val="21"/>
          <w:highlight w:val="none"/>
        </w:rPr>
        <w:t>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3486D175">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0389EBB8">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14:paraId="43E9CC35">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14:paraId="252D67BE">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6"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6"/>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63A4609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4DC61C2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38E9C6F9">
      <w:pPr>
        <w:spacing w:before="312" w:beforeLines="100" w:after="312" w:afterLines="100" w:line="440" w:lineRule="exact"/>
        <w:jc w:val="center"/>
        <w:rPr>
          <w:rFonts w:hint="eastAsia" w:ascii="宋体" w:hAnsi="宋体" w:eastAsia="宋体" w:cs="宋体"/>
          <w:b/>
          <w:color w:val="auto"/>
          <w:sz w:val="28"/>
          <w:szCs w:val="28"/>
          <w:highlight w:val="none"/>
        </w:rPr>
      </w:pPr>
      <w:bookmarkStart w:id="47" w:name="_Toc449028874"/>
      <w:r>
        <w:rPr>
          <w:rFonts w:hint="eastAsia" w:ascii="宋体" w:hAnsi="宋体" w:eastAsia="宋体" w:cs="宋体"/>
          <w:b/>
          <w:color w:val="auto"/>
          <w:sz w:val="28"/>
          <w:szCs w:val="28"/>
          <w:highlight w:val="none"/>
        </w:rPr>
        <w:t>（七）纪律和监督</w:t>
      </w:r>
      <w:bookmarkEnd w:id="47"/>
    </w:p>
    <w:p w14:paraId="26553498">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05EEEA0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7B232892">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14:paraId="3090510F">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46E99431">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14:paraId="65471E57">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14:paraId="3EE85A00">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14:paraId="684E0BD7">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14:paraId="31F13EA7">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35A25735">
      <w:pPr>
        <w:spacing w:before="312" w:beforeLines="100" w:after="312" w:afterLines="100" w:line="440" w:lineRule="exact"/>
        <w:jc w:val="center"/>
        <w:rPr>
          <w:rFonts w:hint="eastAsia" w:ascii="宋体" w:hAnsi="宋体" w:eastAsia="宋体" w:cs="宋体"/>
          <w:b/>
          <w:color w:val="auto"/>
          <w:sz w:val="28"/>
          <w:szCs w:val="28"/>
          <w:highlight w:val="none"/>
        </w:rPr>
      </w:pPr>
      <w:bookmarkStart w:id="48" w:name="_Toc449028875"/>
      <w:r>
        <w:rPr>
          <w:rFonts w:hint="eastAsia" w:ascii="宋体" w:hAnsi="宋体" w:eastAsia="宋体" w:cs="宋体"/>
          <w:b/>
          <w:color w:val="auto"/>
          <w:sz w:val="28"/>
          <w:szCs w:val="28"/>
          <w:highlight w:val="none"/>
        </w:rPr>
        <w:t>（八）质疑与投诉</w:t>
      </w:r>
      <w:bookmarkEnd w:id="48"/>
    </w:p>
    <w:p w14:paraId="77D3D939">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lang w:val="en-US" w:eastAsia="zh-CN"/>
        </w:rPr>
        <w:t>39</w:t>
      </w:r>
      <w:r>
        <w:rPr>
          <w:rFonts w:hint="eastAsia" w:ascii="宋体" w:hAnsi="宋体"/>
          <w:b/>
          <w:color w:val="auto"/>
          <w:szCs w:val="21"/>
          <w:highlight w:val="none"/>
        </w:rPr>
        <w:t>. 投诉</w:t>
      </w:r>
    </w:p>
    <w:p w14:paraId="7B2D3B5F">
      <w:pPr>
        <w:adjustRightInd w:val="0"/>
        <w:snapToGrid w:val="0"/>
        <w:spacing w:line="420" w:lineRule="exact"/>
        <w:ind w:firstLine="315" w:firstLineChars="150"/>
        <w:rPr>
          <w:rFonts w:hint="eastAsia" w:ascii="宋体"/>
          <w:color w:val="auto"/>
          <w:kern w:val="10"/>
          <w:szCs w:val="21"/>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433CA35D">
      <w:pPr>
        <w:adjustRightInd w:val="0"/>
        <w:snapToGrid w:val="0"/>
        <w:spacing w:line="420" w:lineRule="exact"/>
        <w:ind w:firstLine="315" w:firstLineChars="150"/>
        <w:rPr>
          <w:rFonts w:hint="eastAsia" w:ascii="黑体" w:eastAsia="黑体"/>
          <w:color w:val="auto"/>
          <w:sz w:val="30"/>
          <w:szCs w:val="30"/>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14:paraId="63CB34A1">
      <w:pPr>
        <w:spacing w:line="440" w:lineRule="exact"/>
        <w:ind w:firstLine="450" w:firstLineChars="150"/>
        <w:jc w:val="left"/>
        <w:rPr>
          <w:rFonts w:hint="eastAsia" w:ascii="宋体" w:hAnsi="宋体" w:cs="宋体"/>
          <w:color w:val="auto"/>
          <w:sz w:val="30"/>
          <w:szCs w:val="30"/>
          <w:highlight w:val="none"/>
        </w:rPr>
      </w:pPr>
    </w:p>
    <w:p w14:paraId="79996EB8">
      <w:pPr>
        <w:spacing w:before="156" w:beforeLines="50" w:after="156" w:afterLines="50"/>
        <w:jc w:val="center"/>
        <w:outlineLvl w:val="0"/>
        <w:rPr>
          <w:rFonts w:hint="eastAsia" w:ascii="宋体"/>
          <w:b/>
          <w:color w:val="auto"/>
          <w:sz w:val="32"/>
          <w:szCs w:val="32"/>
          <w:highlight w:val="none"/>
        </w:rPr>
      </w:pPr>
      <w:bookmarkStart w:id="49"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评标办法（综合评分法）</w:t>
      </w:r>
      <w:bookmarkEnd w:id="49"/>
    </w:p>
    <w:p w14:paraId="6C2BAEC5">
      <w:pPr>
        <w:spacing w:before="156" w:beforeLines="50" w:after="156" w:afterLines="50" w:line="440" w:lineRule="exact"/>
        <w:jc w:val="center"/>
        <w:outlineLvl w:val="1"/>
        <w:rPr>
          <w:rFonts w:hint="eastAsia" w:ascii="宋体"/>
          <w:b/>
          <w:color w:val="auto"/>
          <w:sz w:val="28"/>
          <w:szCs w:val="28"/>
          <w:highlight w:val="none"/>
        </w:rPr>
      </w:pPr>
      <w:bookmarkStart w:id="50" w:name="_Toc58430317"/>
      <w:bookmarkStart w:id="51" w:name="_Toc362983801"/>
      <w:bookmarkStart w:id="52" w:name="_Toc449028877"/>
      <w:bookmarkStart w:id="53" w:name="_Toc267320058"/>
      <w:bookmarkStart w:id="54" w:name="_Toc363135205"/>
      <w:r>
        <w:rPr>
          <w:rFonts w:hint="eastAsia" w:ascii="宋体"/>
          <w:b/>
          <w:color w:val="auto"/>
          <w:sz w:val="28"/>
          <w:szCs w:val="28"/>
          <w:highlight w:val="none"/>
        </w:rPr>
        <w:t>一、总则</w:t>
      </w:r>
      <w:bookmarkEnd w:id="50"/>
      <w:bookmarkEnd w:id="51"/>
      <w:bookmarkEnd w:id="52"/>
    </w:p>
    <w:p w14:paraId="40038418">
      <w:pPr>
        <w:spacing w:line="440" w:lineRule="exact"/>
        <w:ind w:firstLine="316" w:firstLineChars="150"/>
        <w:jc w:val="left"/>
        <w:rPr>
          <w:rFonts w:hint="eastAsia" w:ascii="宋体"/>
          <w:b/>
          <w:color w:val="auto"/>
          <w:szCs w:val="21"/>
          <w:highlight w:val="none"/>
        </w:rPr>
      </w:pPr>
      <w:r>
        <w:rPr>
          <w:rFonts w:hint="eastAsia" w:ascii="宋体"/>
          <w:b/>
          <w:color w:val="auto"/>
          <w:szCs w:val="21"/>
          <w:highlight w:val="none"/>
        </w:rPr>
        <w:t xml:space="preserve"> 1. 本次评标采用综合评分法</w:t>
      </w:r>
    </w:p>
    <w:p w14:paraId="20DC08E7">
      <w:pPr>
        <w:spacing w:line="440" w:lineRule="exact"/>
        <w:ind w:firstLine="420" w:firstLineChars="200"/>
        <w:jc w:val="left"/>
        <w:rPr>
          <w:rFonts w:hint="eastAsia" w:ascii="宋体" w:hAnsi="宋体"/>
          <w:color w:val="auto"/>
          <w:szCs w:val="21"/>
          <w:highlight w:val="none"/>
        </w:rPr>
      </w:pPr>
      <w:r>
        <w:rPr>
          <w:rFonts w:hint="eastAsia" w:ascii="宋体"/>
          <w:color w:val="auto"/>
          <w:szCs w:val="21"/>
          <w:highlight w:val="none"/>
        </w:rPr>
        <w:t>1.1综合评分法是指投标文件满足招标文件全部实质性要求且按照评审因素的量化指标评审总得分从高到低的供应商为中标候选人的评标方法。</w:t>
      </w:r>
    </w:p>
    <w:p w14:paraId="0E70C76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 1.2综合评分法一般适用于较为复杂、评价指标难以量化且价格为非主要因素的非标准定制商品和非通用服务项目的项目评审。</w:t>
      </w:r>
    </w:p>
    <w:p w14:paraId="5A95EDE7">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7194E114">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43898BA7">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126B96E0">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752AB293">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比较与评价</w:t>
      </w:r>
    </w:p>
    <w:p w14:paraId="3F15C252">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.1按招标文件中规定的评标方法和标准，对资格性检查和符合性检查合格的投标文件进行资信、商务和技术评估，综合比较与评价。</w:t>
      </w:r>
    </w:p>
    <w:p w14:paraId="0EEEE6B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推荐中标候选人名单</w:t>
      </w:r>
    </w:p>
    <w:p w14:paraId="500B02CF">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.1中标候选人数量应当根据采购需要确定，但必须按顺序排列中标候选人。</w:t>
      </w:r>
    </w:p>
    <w:p w14:paraId="16B99517">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7B4C4FAC">
      <w:pPr>
        <w:jc w:val="center"/>
        <w:outlineLvl w:val="1"/>
        <w:rPr>
          <w:rFonts w:hint="eastAsia" w:ascii="宋体"/>
          <w:b/>
          <w:color w:val="auto"/>
          <w:sz w:val="28"/>
          <w:szCs w:val="28"/>
          <w:highlight w:val="none"/>
        </w:rPr>
      </w:pPr>
      <w:bookmarkStart w:id="55" w:name="_Toc449028878"/>
      <w:bookmarkStart w:id="56" w:name="_Toc362983802"/>
      <w:bookmarkStart w:id="57" w:name="_Toc58430318"/>
      <w:r>
        <w:rPr>
          <w:rFonts w:hint="eastAsia" w:ascii="宋体"/>
          <w:b/>
          <w:color w:val="auto"/>
          <w:sz w:val="28"/>
          <w:szCs w:val="28"/>
          <w:highlight w:val="none"/>
        </w:rPr>
        <w:t>二、投标文件初审</w:t>
      </w:r>
      <w:bookmarkEnd w:id="55"/>
      <w:bookmarkEnd w:id="56"/>
      <w:bookmarkEnd w:id="57"/>
    </w:p>
    <w:p w14:paraId="56CCA698">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r>
        <w:rPr>
          <w:rFonts w:hint="eastAsia" w:ascii="宋体" w:hAnsi="宋体" w:cs="宋体"/>
          <w:b/>
          <w:color w:val="auto"/>
          <w:szCs w:val="21"/>
          <w:highlight w:val="none"/>
          <w:lang w:eastAsia="zh-CN"/>
        </w:rPr>
        <w:t>：</w:t>
      </w:r>
    </w:p>
    <w:p w14:paraId="108E27B1">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5"/>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13DD4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19D3AF4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43EC144B">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55D706CA">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552FE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48A701A8">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6DECD9B8">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6E0C574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w:t>
            </w:r>
            <w:r>
              <w:rPr>
                <w:rFonts w:hint="eastAsia" w:ascii="宋体" w:hAnsi="宋体" w:cs="宋体"/>
                <w:color w:val="auto"/>
                <w:szCs w:val="21"/>
                <w:highlight w:val="none"/>
                <w:lang w:eastAsia="zh-CN"/>
              </w:rPr>
              <w:t>（</w:t>
            </w:r>
            <w:r>
              <w:rPr>
                <w:rFonts w:hint="eastAsia" w:ascii="宋体" w:hAnsi="宋体" w:cs="宋体"/>
                <w:color w:val="auto"/>
                <w:szCs w:val="21"/>
                <w:highlight w:val="none"/>
              </w:rPr>
              <w:t>或法定代表人授权委托书和委托代理人有效身份证</w:t>
            </w:r>
            <w:r>
              <w:rPr>
                <w:rFonts w:hint="eastAsia" w:ascii="宋体" w:hAnsi="宋体" w:cs="宋体"/>
                <w:color w:val="auto"/>
                <w:szCs w:val="21"/>
                <w:highlight w:val="none"/>
                <w:lang w:eastAsia="zh-CN"/>
              </w:rPr>
              <w:t>）</w:t>
            </w:r>
          </w:p>
        </w:tc>
        <w:tc>
          <w:tcPr>
            <w:tcW w:w="4492" w:type="dxa"/>
            <w:noWrap w:val="0"/>
            <w:vAlign w:val="center"/>
          </w:tcPr>
          <w:p w14:paraId="4B8B61CC">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73D59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restart"/>
            <w:noWrap w:val="0"/>
            <w:vAlign w:val="center"/>
          </w:tcPr>
          <w:p w14:paraId="1369A7A7">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3225E76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0606026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160FBAD2">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6424BAAD">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w:t>
            </w:r>
          </w:p>
        </w:tc>
      </w:tr>
      <w:tr w14:paraId="533F3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0BD23403">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604DF1CD">
            <w:pPr>
              <w:spacing w:line="440" w:lineRule="exact"/>
              <w:rPr>
                <w:rFonts w:hint="eastAsia" w:ascii="宋体" w:hAnsi="宋体" w:cs="宋体"/>
                <w:color w:val="auto"/>
                <w:szCs w:val="21"/>
                <w:highlight w:val="none"/>
              </w:rPr>
            </w:pPr>
          </w:p>
        </w:tc>
        <w:tc>
          <w:tcPr>
            <w:tcW w:w="3368" w:type="dxa"/>
            <w:noWrap w:val="0"/>
            <w:vAlign w:val="center"/>
          </w:tcPr>
          <w:p w14:paraId="36123AB9">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3）具备资产评估资格（附资产评估备案证明截图）及证券类资产评估资质。</w:t>
            </w:r>
          </w:p>
        </w:tc>
        <w:tc>
          <w:tcPr>
            <w:tcW w:w="4492" w:type="dxa"/>
            <w:noWrap w:val="0"/>
            <w:vAlign w:val="center"/>
          </w:tcPr>
          <w:p w14:paraId="54D1189E">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4BA29A79">
            <w:pPr>
              <w:spacing w:line="440" w:lineRule="exact"/>
              <w:rPr>
                <w:rFonts w:hint="default" w:ascii="宋体" w:eastAsia="宋体"/>
                <w:color w:val="auto"/>
                <w:szCs w:val="21"/>
                <w:highlight w:val="none"/>
                <w:lang w:val="en-US" w:eastAsia="zh-CN"/>
              </w:rPr>
            </w:pPr>
            <w:r>
              <w:rPr>
                <w:rFonts w:hint="eastAsia" w:ascii="宋体"/>
                <w:color w:val="auto"/>
                <w:szCs w:val="21"/>
                <w:highlight w:val="none"/>
                <w:lang w:val="en-US" w:eastAsia="zh-CN"/>
              </w:rPr>
              <w:t>有效的资质证明材料</w:t>
            </w:r>
          </w:p>
        </w:tc>
      </w:tr>
      <w:tr w14:paraId="1A40D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10932D88">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317B264D">
            <w:pPr>
              <w:spacing w:line="440" w:lineRule="exact"/>
              <w:rPr>
                <w:rFonts w:hint="eastAsia" w:ascii="宋体" w:hAnsi="宋体" w:cs="宋体"/>
                <w:color w:val="auto"/>
                <w:szCs w:val="21"/>
                <w:highlight w:val="none"/>
              </w:rPr>
            </w:pPr>
          </w:p>
        </w:tc>
        <w:tc>
          <w:tcPr>
            <w:tcW w:w="3368" w:type="dxa"/>
            <w:noWrap w:val="0"/>
            <w:vAlign w:val="top"/>
          </w:tcPr>
          <w:p w14:paraId="3DD16907">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）诚信投标承诺书</w:t>
            </w:r>
          </w:p>
        </w:tc>
        <w:tc>
          <w:tcPr>
            <w:tcW w:w="4492" w:type="dxa"/>
            <w:noWrap w:val="0"/>
            <w:vAlign w:val="top"/>
          </w:tcPr>
          <w:p w14:paraId="1CCD055C">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1704E468">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3B3F76EC">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59064B2B">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1CC45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6A8874B3">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1AA0BA64">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690DAEC6">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34773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3998D4EF">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733040F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024E71F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56CDE27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426C3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464391B9">
            <w:pPr>
              <w:spacing w:line="440" w:lineRule="exact"/>
              <w:rPr>
                <w:rFonts w:hint="eastAsia" w:ascii="宋体" w:hAnsi="宋体" w:cs="宋体"/>
                <w:color w:val="auto"/>
                <w:szCs w:val="21"/>
                <w:highlight w:val="none"/>
              </w:rPr>
            </w:pPr>
          </w:p>
        </w:tc>
        <w:tc>
          <w:tcPr>
            <w:tcW w:w="1204" w:type="dxa"/>
            <w:vMerge w:val="continue"/>
            <w:noWrap w:val="0"/>
            <w:vAlign w:val="center"/>
          </w:tcPr>
          <w:p w14:paraId="40AA97DD">
            <w:pPr>
              <w:spacing w:line="440" w:lineRule="exact"/>
              <w:rPr>
                <w:rFonts w:hint="eastAsia" w:ascii="宋体" w:hAnsi="宋体" w:cs="宋体"/>
                <w:color w:val="auto"/>
                <w:szCs w:val="21"/>
                <w:highlight w:val="none"/>
              </w:rPr>
            </w:pPr>
          </w:p>
        </w:tc>
        <w:tc>
          <w:tcPr>
            <w:tcW w:w="2931" w:type="dxa"/>
            <w:noWrap w:val="0"/>
            <w:vAlign w:val="center"/>
          </w:tcPr>
          <w:p w14:paraId="5DF544B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23FC92E8">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321EB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04E7AB87">
            <w:pPr>
              <w:spacing w:line="440" w:lineRule="exact"/>
              <w:rPr>
                <w:rFonts w:hint="eastAsia" w:ascii="宋体" w:hAnsi="宋体" w:cs="宋体"/>
                <w:color w:val="auto"/>
                <w:szCs w:val="21"/>
                <w:highlight w:val="none"/>
              </w:rPr>
            </w:pPr>
          </w:p>
        </w:tc>
        <w:tc>
          <w:tcPr>
            <w:tcW w:w="1204" w:type="dxa"/>
            <w:vMerge w:val="continue"/>
            <w:noWrap w:val="0"/>
            <w:vAlign w:val="center"/>
          </w:tcPr>
          <w:p w14:paraId="0C7205FD">
            <w:pPr>
              <w:spacing w:line="440" w:lineRule="exact"/>
              <w:rPr>
                <w:rFonts w:hint="eastAsia" w:ascii="宋体" w:hAnsi="宋体" w:cs="宋体"/>
                <w:color w:val="auto"/>
                <w:szCs w:val="21"/>
                <w:highlight w:val="none"/>
              </w:rPr>
            </w:pPr>
          </w:p>
        </w:tc>
        <w:tc>
          <w:tcPr>
            <w:tcW w:w="2931" w:type="dxa"/>
            <w:noWrap w:val="0"/>
            <w:vAlign w:val="center"/>
          </w:tcPr>
          <w:p w14:paraId="6381A92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5ED57F57">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741C2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27E52E4A">
            <w:pPr>
              <w:spacing w:line="440" w:lineRule="exact"/>
              <w:rPr>
                <w:rFonts w:hint="eastAsia" w:ascii="宋体" w:hAnsi="宋体" w:cs="宋体"/>
                <w:color w:val="auto"/>
                <w:szCs w:val="21"/>
                <w:highlight w:val="none"/>
              </w:rPr>
            </w:pPr>
          </w:p>
        </w:tc>
        <w:tc>
          <w:tcPr>
            <w:tcW w:w="1204" w:type="dxa"/>
            <w:vMerge w:val="continue"/>
            <w:noWrap w:val="0"/>
            <w:vAlign w:val="center"/>
          </w:tcPr>
          <w:p w14:paraId="1EAB75E0">
            <w:pPr>
              <w:spacing w:line="440" w:lineRule="exact"/>
              <w:rPr>
                <w:rFonts w:hint="eastAsia" w:ascii="宋体" w:hAnsi="宋体" w:cs="宋体"/>
                <w:color w:val="auto"/>
                <w:szCs w:val="21"/>
                <w:highlight w:val="none"/>
              </w:rPr>
            </w:pPr>
          </w:p>
        </w:tc>
        <w:tc>
          <w:tcPr>
            <w:tcW w:w="2931" w:type="dxa"/>
            <w:noWrap w:val="0"/>
            <w:vAlign w:val="center"/>
          </w:tcPr>
          <w:p w14:paraId="6C40551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7BE4924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E2DA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16BD7BB3">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511F231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5F3B0429">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3603D631">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正本</w:t>
            </w:r>
            <w:r>
              <w:rPr>
                <w:rFonts w:hint="eastAsia" w:ascii="宋体" w:hAnsi="宋体" w:cs="宋体"/>
                <w:color w:val="auto"/>
                <w:szCs w:val="21"/>
                <w:highlight w:val="none"/>
              </w:rPr>
              <w:t>一份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14:paraId="73BA9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692D74AC">
            <w:pPr>
              <w:spacing w:line="440" w:lineRule="exact"/>
              <w:rPr>
                <w:rFonts w:hint="eastAsia" w:ascii="宋体" w:hAnsi="宋体" w:cs="宋体"/>
                <w:color w:val="auto"/>
                <w:szCs w:val="21"/>
                <w:highlight w:val="none"/>
              </w:rPr>
            </w:pPr>
          </w:p>
        </w:tc>
        <w:tc>
          <w:tcPr>
            <w:tcW w:w="1204" w:type="dxa"/>
            <w:vMerge w:val="continue"/>
            <w:noWrap w:val="0"/>
            <w:vAlign w:val="center"/>
          </w:tcPr>
          <w:p w14:paraId="05D53281">
            <w:pPr>
              <w:spacing w:line="440" w:lineRule="exact"/>
              <w:rPr>
                <w:rFonts w:hint="eastAsia" w:ascii="宋体" w:hAnsi="宋体" w:cs="宋体"/>
                <w:color w:val="auto"/>
                <w:szCs w:val="21"/>
                <w:highlight w:val="none"/>
              </w:rPr>
            </w:pPr>
          </w:p>
        </w:tc>
        <w:tc>
          <w:tcPr>
            <w:tcW w:w="2931" w:type="dxa"/>
            <w:noWrap w:val="0"/>
            <w:vAlign w:val="center"/>
          </w:tcPr>
          <w:p w14:paraId="221B672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0AAEADF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65756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582DD88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478953F0">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14C6C34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73728C2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357DF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425E1A0F">
            <w:pPr>
              <w:spacing w:line="440" w:lineRule="exact"/>
              <w:rPr>
                <w:rFonts w:hint="eastAsia" w:ascii="宋体" w:hAnsi="宋体" w:cs="宋体"/>
                <w:color w:val="auto"/>
                <w:szCs w:val="21"/>
                <w:highlight w:val="none"/>
              </w:rPr>
            </w:pPr>
          </w:p>
        </w:tc>
        <w:tc>
          <w:tcPr>
            <w:tcW w:w="1204" w:type="dxa"/>
            <w:vMerge w:val="continue"/>
            <w:noWrap w:val="0"/>
            <w:vAlign w:val="center"/>
          </w:tcPr>
          <w:p w14:paraId="3D5E0C54">
            <w:pPr>
              <w:spacing w:line="440" w:lineRule="exact"/>
              <w:rPr>
                <w:rFonts w:hint="eastAsia" w:ascii="宋体" w:hAnsi="宋体" w:cs="宋体"/>
                <w:color w:val="auto"/>
                <w:szCs w:val="21"/>
                <w:highlight w:val="none"/>
              </w:rPr>
            </w:pPr>
          </w:p>
        </w:tc>
        <w:tc>
          <w:tcPr>
            <w:tcW w:w="2931" w:type="dxa"/>
            <w:noWrap w:val="0"/>
            <w:vAlign w:val="center"/>
          </w:tcPr>
          <w:p w14:paraId="1CC1C45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1D41C25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4786F04A">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144B2225">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73B6E7D3">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3921DEB2">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65D05795">
      <w:pPr>
        <w:jc w:val="center"/>
        <w:outlineLvl w:val="1"/>
        <w:rPr>
          <w:rFonts w:hint="eastAsia" w:ascii="宋体" w:hAnsi="Times New Roman" w:eastAsia="宋体" w:cs="Times New Roman"/>
          <w:b/>
          <w:color w:val="auto"/>
          <w:sz w:val="28"/>
          <w:szCs w:val="28"/>
          <w:highlight w:val="none"/>
        </w:rPr>
      </w:pPr>
      <w:bookmarkStart w:id="58" w:name="_Toc58430319"/>
      <w:bookmarkStart w:id="59" w:name="_Toc449028879"/>
      <w:bookmarkStart w:id="60" w:name="_Toc362983803"/>
      <w:r>
        <w:rPr>
          <w:rFonts w:hint="eastAsia" w:ascii="宋体" w:hAnsi="Times New Roman" w:eastAsia="宋体" w:cs="Times New Roman"/>
          <w:b/>
          <w:color w:val="auto"/>
          <w:sz w:val="28"/>
          <w:szCs w:val="28"/>
          <w:highlight w:val="none"/>
        </w:rPr>
        <w:t>三、投标文件的澄清和补正</w:t>
      </w:r>
      <w:bookmarkEnd w:id="58"/>
      <w:bookmarkEnd w:id="59"/>
      <w:bookmarkEnd w:id="60"/>
    </w:p>
    <w:p w14:paraId="4702916A">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1EE4A4C1">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02DD680B">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5B05E202">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5FED7B32">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2083C939">
      <w:pPr>
        <w:spacing w:line="440" w:lineRule="exact"/>
        <w:ind w:firstLine="403" w:firstLineChars="192"/>
        <w:jc w:val="left"/>
        <w:rPr>
          <w:rFonts w:hint="eastAsia" w:ascii="宋体"/>
          <w:b/>
          <w:bCs/>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5.4评委会将按上述修正错误的方法调整投标文件中的投标报价，调整后的价格应对投标人具有约束力。无论投标人是接受或是拒绝调整后的价格，都应当由投标人确认。</w:t>
      </w:r>
      <w:r>
        <w:rPr>
          <w:rFonts w:hint="eastAsia" w:ascii="宋体"/>
          <w:b/>
          <w:bCs/>
          <w:color w:val="auto"/>
          <w:szCs w:val="21"/>
          <w:highlight w:val="none"/>
        </w:rPr>
        <w:t>投标人拒绝对投标文件出现的错漏按上述原则进行修正、澄清、说明，评标委员会应当否决其投标。</w:t>
      </w:r>
      <w:bookmarkStart w:id="61" w:name="_Toc449028880"/>
      <w:bookmarkStart w:id="62" w:name="_Toc58430320"/>
    </w:p>
    <w:p w14:paraId="27FC1911">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61"/>
      <w:bookmarkEnd w:id="62"/>
    </w:p>
    <w:p w14:paraId="1E9F2EEE">
      <w:pPr>
        <w:keepNext w:val="0"/>
        <w:keepLines w:val="0"/>
        <w:pageBreakBefore w:val="0"/>
        <w:widowControl w:val="0"/>
        <w:kinsoku/>
        <w:overflowPunct/>
        <w:topLinePunct w:val="0"/>
        <w:autoSpaceDE/>
        <w:autoSpaceDN/>
        <w:bidi w:val="0"/>
        <w:spacing w:line="440" w:lineRule="exact"/>
        <w:ind w:firstLine="417" w:firstLineChars="198"/>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6.</w:t>
      </w:r>
      <w:bookmarkStart w:id="63" w:name="_Toc362983805"/>
      <w:r>
        <w:rPr>
          <w:rFonts w:hint="eastAsia" w:ascii="宋体" w:hAnsi="宋体" w:eastAsia="宋体" w:cs="宋体"/>
          <w:b/>
          <w:color w:val="auto"/>
          <w:sz w:val="21"/>
          <w:szCs w:val="21"/>
          <w:highlight w:val="none"/>
        </w:rPr>
        <w:t>详细评审即按招标文件中规定的评标方法和标准，评标委员会将对通过初审的投标文件，进行资信、技术和商务部分评估、综合比较与评价。</w:t>
      </w:r>
    </w:p>
    <w:p w14:paraId="3BC7C2B8">
      <w:pPr>
        <w:keepNext w:val="0"/>
        <w:keepLines w:val="0"/>
        <w:pageBreakBefore w:val="0"/>
        <w:widowControl w:val="0"/>
        <w:kinsoku/>
        <w:overflowPunct/>
        <w:topLinePunct w:val="0"/>
        <w:autoSpaceDE/>
        <w:autoSpaceDN/>
        <w:bidi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w:t>
      </w:r>
      <w:r>
        <w:rPr>
          <w:rFonts w:hint="eastAsia" w:ascii="宋体" w:hAnsi="宋体" w:cs="宋体"/>
          <w:color w:val="auto"/>
          <w:sz w:val="21"/>
          <w:szCs w:val="21"/>
          <w:highlight w:val="none"/>
          <w:lang w:val="en-US" w:eastAsia="zh-CN"/>
        </w:rPr>
        <w:t>评分</w:t>
      </w:r>
      <w:r>
        <w:rPr>
          <w:rFonts w:hint="eastAsia" w:ascii="宋体" w:hAnsi="宋体" w:eastAsia="宋体" w:cs="宋体"/>
          <w:color w:val="auto"/>
          <w:sz w:val="21"/>
          <w:szCs w:val="21"/>
          <w:highlight w:val="none"/>
        </w:rPr>
        <w:t>细则（</w:t>
      </w: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p>
    <w:tbl>
      <w:tblPr>
        <w:tblStyle w:val="35"/>
        <w:tblW w:w="10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230"/>
        <w:gridCol w:w="699"/>
        <w:gridCol w:w="7409"/>
        <w:gridCol w:w="55"/>
      </w:tblGrid>
      <w:tr w14:paraId="2D344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5" w:type="dxa"/>
          <w:trHeight w:val="644" w:hRule="atLeast"/>
          <w:jc w:val="center"/>
        </w:trPr>
        <w:tc>
          <w:tcPr>
            <w:tcW w:w="645" w:type="dxa"/>
            <w:noWrap w:val="0"/>
            <w:vAlign w:val="center"/>
          </w:tcPr>
          <w:p w14:paraId="1EBCA2FC">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30" w:type="dxa"/>
            <w:noWrap w:val="0"/>
            <w:vAlign w:val="center"/>
          </w:tcPr>
          <w:p w14:paraId="3BD8B228">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99" w:type="dxa"/>
            <w:noWrap w:val="0"/>
            <w:vAlign w:val="center"/>
          </w:tcPr>
          <w:p w14:paraId="40633863">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409" w:type="dxa"/>
            <w:noWrap w:val="0"/>
            <w:vAlign w:val="center"/>
          </w:tcPr>
          <w:p w14:paraId="52B5E7FD">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3E110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486" w:hRule="atLeast"/>
          <w:jc w:val="center"/>
        </w:trPr>
        <w:tc>
          <w:tcPr>
            <w:tcW w:w="645" w:type="dxa"/>
            <w:noWrap w:val="0"/>
            <w:vAlign w:val="center"/>
          </w:tcPr>
          <w:p w14:paraId="6389C8DE">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230" w:type="dxa"/>
            <w:noWrap w:val="0"/>
            <w:vAlign w:val="center"/>
          </w:tcPr>
          <w:p w14:paraId="4A59F3CC">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人员业绩</w:t>
            </w:r>
          </w:p>
        </w:tc>
        <w:tc>
          <w:tcPr>
            <w:tcW w:w="699" w:type="dxa"/>
            <w:noWrap w:val="0"/>
            <w:vAlign w:val="center"/>
          </w:tcPr>
          <w:p w14:paraId="2C953B24">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lang w:val="en-US" w:eastAsia="zh-CN"/>
              </w:rPr>
              <w:t>分</w:t>
            </w:r>
          </w:p>
        </w:tc>
        <w:tc>
          <w:tcPr>
            <w:tcW w:w="7409" w:type="dxa"/>
            <w:shd w:val="clear" w:color="auto" w:fill="auto"/>
            <w:noWrap w:val="0"/>
            <w:vAlign w:val="center"/>
          </w:tcPr>
          <w:p w14:paraId="3A502A05">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1.项目负责人具有资产评估师证书得5分，满分5分。</w:t>
            </w:r>
          </w:p>
          <w:p w14:paraId="53163C05">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（投标文件中提供证书</w:t>
            </w:r>
            <w:r>
              <w:rPr>
                <w:rFonts w:hint="eastAsia" w:ascii="宋体" w:hAnsi="宋体" w:eastAsia="宋体" w:cs="宋体"/>
                <w:b/>
                <w:bCs/>
                <w:color w:val="auto"/>
                <w:sz w:val="21"/>
                <w:szCs w:val="21"/>
                <w:highlight w:val="none"/>
                <w:lang w:val="en-US" w:eastAsia="zh-CN"/>
              </w:rPr>
              <w:t>复印件并</w:t>
            </w:r>
            <w:r>
              <w:rPr>
                <w:rFonts w:hint="eastAsia" w:ascii="宋体" w:hAnsi="宋体" w:cs="宋体"/>
                <w:b/>
                <w:bCs/>
                <w:color w:val="auto"/>
                <w:sz w:val="21"/>
                <w:szCs w:val="21"/>
                <w:highlight w:val="none"/>
                <w:lang w:val="en-US" w:eastAsia="zh-CN"/>
              </w:rPr>
              <w:t>加盖单位</w:t>
            </w:r>
            <w:r>
              <w:rPr>
                <w:rFonts w:hint="eastAsia" w:ascii="宋体" w:hAnsi="宋体" w:eastAsia="宋体" w:cs="宋体"/>
                <w:b/>
                <w:bCs/>
                <w:color w:val="auto"/>
                <w:sz w:val="21"/>
                <w:szCs w:val="21"/>
                <w:highlight w:val="none"/>
                <w:lang w:val="en-US" w:eastAsia="zh-CN"/>
              </w:rPr>
              <w:t>公章和投标人为其</w:t>
            </w:r>
            <w:r>
              <w:rPr>
                <w:rFonts w:hint="eastAsia" w:ascii="宋体" w:hAnsi="宋体" w:cs="宋体"/>
                <w:b/>
                <w:bCs/>
                <w:color w:val="auto"/>
                <w:sz w:val="21"/>
                <w:szCs w:val="21"/>
                <w:highlight w:val="none"/>
                <w:lang w:val="en-US" w:eastAsia="zh-CN"/>
              </w:rPr>
              <w:t>缴纳的</w:t>
            </w:r>
            <w:r>
              <w:rPr>
                <w:rFonts w:hint="eastAsia" w:ascii="宋体" w:hAnsi="宋体" w:eastAsia="宋体" w:cs="宋体"/>
                <w:b/>
                <w:bCs/>
                <w:color w:val="auto"/>
                <w:sz w:val="21"/>
                <w:szCs w:val="21"/>
                <w:highlight w:val="none"/>
                <w:lang w:val="en-US" w:eastAsia="zh-CN"/>
              </w:rPr>
              <w:t>近三个月社保证明复印件并加盖单位公章）</w:t>
            </w:r>
          </w:p>
          <w:p w14:paraId="30200856">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2.自2021年1月1日至投标截止时间止，拟派项目负责人具有发债类资产评估服务业绩，每提供一个得5分，满分15分。</w:t>
            </w:r>
          </w:p>
          <w:p w14:paraId="4D95A40F">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（投标文件中提供合同复印件并加盖单位公章，未能体现评审因素的，须提供委托单位情况说明）</w:t>
            </w:r>
          </w:p>
          <w:p w14:paraId="35694A35">
            <w:pPr>
              <w:keepNext w:val="0"/>
              <w:keepLines w:val="0"/>
              <w:pageBreakBefore w:val="0"/>
              <w:widowControl w:val="0"/>
              <w:numPr>
                <w:ilvl w:val="0"/>
                <w:numId w:val="0"/>
              </w:numPr>
              <w:kinsoku/>
              <w:wordWrap/>
              <w:overflowPunct/>
              <w:topLinePunct w:val="0"/>
              <w:autoSpaceDE/>
              <w:autoSpaceDN/>
              <w:bidi w:val="0"/>
              <w:spacing w:line="440" w:lineRule="exact"/>
              <w:textAlignment w:val="auto"/>
              <w:rPr>
                <w:rFonts w:hint="eastAsia"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除项目负责人外，</w:t>
            </w:r>
            <w:r>
              <w:rPr>
                <w:rFonts w:hint="eastAsia" w:ascii="宋体" w:hAnsi="宋体"/>
                <w:color w:val="auto"/>
                <w:sz w:val="21"/>
                <w:szCs w:val="21"/>
                <w:lang w:val="en-US" w:eastAsia="zh-CN"/>
              </w:rPr>
              <w:t>针对本项目</w:t>
            </w:r>
            <w:r>
              <w:rPr>
                <w:rFonts w:hint="eastAsia" w:ascii="宋体" w:hAnsi="宋体"/>
                <w:color w:val="auto"/>
                <w:sz w:val="21"/>
                <w:szCs w:val="21"/>
              </w:rPr>
              <w:t>每增加1名资产评估师加</w:t>
            </w:r>
            <w:r>
              <w:rPr>
                <w:rFonts w:ascii="宋体" w:hAnsi="宋体"/>
                <w:color w:val="auto"/>
                <w:sz w:val="21"/>
                <w:szCs w:val="21"/>
              </w:rPr>
              <w:t>2</w:t>
            </w:r>
            <w:r>
              <w:rPr>
                <w:rFonts w:hint="eastAsia" w:ascii="宋体" w:hAnsi="宋体"/>
                <w:color w:val="auto"/>
                <w:sz w:val="21"/>
                <w:szCs w:val="21"/>
              </w:rPr>
              <w:t>分，</w:t>
            </w:r>
            <w:r>
              <w:rPr>
                <w:rFonts w:hint="eastAsia" w:ascii="宋体" w:hAnsi="宋体"/>
                <w:color w:val="auto"/>
                <w:sz w:val="21"/>
                <w:szCs w:val="21"/>
                <w:lang w:val="en-US" w:eastAsia="zh-CN"/>
              </w:rPr>
              <w:t>满分</w:t>
            </w:r>
            <w:r>
              <w:rPr>
                <w:rFonts w:ascii="宋体" w:hAnsi="宋体"/>
                <w:color w:val="auto"/>
                <w:sz w:val="21"/>
                <w:szCs w:val="21"/>
              </w:rPr>
              <w:t>10</w:t>
            </w:r>
            <w:r>
              <w:rPr>
                <w:rFonts w:hint="eastAsia" w:ascii="宋体" w:hAnsi="宋体"/>
                <w:color w:val="auto"/>
                <w:sz w:val="21"/>
                <w:szCs w:val="21"/>
              </w:rPr>
              <w:t>分。</w:t>
            </w:r>
          </w:p>
          <w:p w14:paraId="5791D7A7">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b/>
                <w:bCs/>
                <w:color w:val="auto"/>
                <w:sz w:val="21"/>
                <w:szCs w:val="21"/>
                <w:lang w:eastAsia="zh-CN"/>
              </w:rPr>
              <w:t>（</w:t>
            </w:r>
            <w:r>
              <w:rPr>
                <w:rFonts w:hint="eastAsia" w:ascii="宋体" w:hAnsi="宋体"/>
                <w:b/>
                <w:bCs/>
                <w:color w:val="auto"/>
                <w:sz w:val="21"/>
                <w:szCs w:val="21"/>
                <w:lang w:val="en-US" w:eastAsia="zh-CN"/>
              </w:rPr>
              <w:t>投标文件中提供人员证书复印件并加盖单位公章和投标人为其缴纳的近三个月社保证明复印件并加盖单位公章）</w:t>
            </w:r>
          </w:p>
        </w:tc>
      </w:tr>
      <w:tr w14:paraId="20616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2188" w:hRule="atLeast"/>
          <w:jc w:val="center"/>
        </w:trPr>
        <w:tc>
          <w:tcPr>
            <w:tcW w:w="645" w:type="dxa"/>
            <w:noWrap w:val="0"/>
            <w:vAlign w:val="center"/>
          </w:tcPr>
          <w:p w14:paraId="51968E4A">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30" w:type="dxa"/>
            <w:noWrap w:val="0"/>
            <w:vAlign w:val="center"/>
          </w:tcPr>
          <w:p w14:paraId="7A6F93B6">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工作方案</w:t>
            </w:r>
          </w:p>
        </w:tc>
        <w:tc>
          <w:tcPr>
            <w:tcW w:w="699" w:type="dxa"/>
            <w:noWrap w:val="0"/>
            <w:vAlign w:val="center"/>
          </w:tcPr>
          <w:p w14:paraId="15E55482">
            <w:pPr>
              <w:keepNext w:val="0"/>
              <w:keepLines w:val="0"/>
              <w:pageBreakBefore w:val="0"/>
              <w:widowControl w:val="0"/>
              <w:kinsoku/>
              <w:wordWrap/>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20</w:t>
            </w:r>
            <w:r>
              <w:rPr>
                <w:rFonts w:hint="eastAsia" w:ascii="宋体" w:hAnsi="宋体" w:eastAsia="宋体" w:cs="宋体"/>
                <w:color w:val="auto"/>
                <w:sz w:val="21"/>
                <w:szCs w:val="21"/>
                <w:highlight w:val="none"/>
                <w:lang w:val="en-US" w:eastAsia="zh-CN"/>
              </w:rPr>
              <w:t>分</w:t>
            </w:r>
          </w:p>
        </w:tc>
        <w:tc>
          <w:tcPr>
            <w:tcW w:w="7409" w:type="dxa"/>
            <w:noWrap w:val="0"/>
            <w:vAlign w:val="center"/>
          </w:tcPr>
          <w:p w14:paraId="2032B2CB">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color w:val="auto"/>
                <w:sz w:val="21"/>
                <w:szCs w:val="21"/>
              </w:rPr>
            </w:pPr>
            <w:r>
              <w:rPr>
                <w:rFonts w:hint="eastAsia" w:ascii="宋体" w:hAnsi="宋体"/>
                <w:color w:val="auto"/>
                <w:sz w:val="21"/>
                <w:szCs w:val="21"/>
              </w:rPr>
              <w:t>1</w:t>
            </w:r>
            <w:r>
              <w:rPr>
                <w:rFonts w:hint="eastAsia" w:ascii="宋体" w:hAnsi="宋体"/>
                <w:color w:val="auto"/>
                <w:sz w:val="21"/>
                <w:szCs w:val="21"/>
                <w:lang w:val="en-US" w:eastAsia="zh-CN"/>
              </w:rPr>
              <w:t>.</w:t>
            </w:r>
            <w:r>
              <w:rPr>
                <w:rFonts w:hint="eastAsia" w:ascii="宋体" w:hAnsi="宋体"/>
                <w:color w:val="auto"/>
                <w:sz w:val="21"/>
                <w:szCs w:val="21"/>
              </w:rPr>
              <w:t>方案细致</w:t>
            </w:r>
            <w:r>
              <w:rPr>
                <w:rFonts w:hint="eastAsia" w:ascii="宋体" w:hAnsi="宋体"/>
                <w:color w:val="auto"/>
                <w:sz w:val="21"/>
                <w:szCs w:val="21"/>
                <w:lang w:val="en-US" w:eastAsia="zh-CN"/>
              </w:rPr>
              <w:t>详实</w:t>
            </w:r>
            <w:r>
              <w:rPr>
                <w:rFonts w:hint="eastAsia" w:ascii="宋体" w:hAnsi="宋体"/>
                <w:color w:val="auto"/>
                <w:sz w:val="21"/>
                <w:szCs w:val="21"/>
              </w:rPr>
              <w:t>、操作性</w:t>
            </w:r>
            <w:r>
              <w:rPr>
                <w:rFonts w:hint="eastAsia" w:ascii="宋体" w:hAnsi="宋体"/>
                <w:color w:val="auto"/>
                <w:sz w:val="21"/>
                <w:szCs w:val="21"/>
                <w:lang w:val="en-US" w:eastAsia="zh-CN"/>
              </w:rPr>
              <w:t>较</w:t>
            </w:r>
            <w:r>
              <w:rPr>
                <w:rFonts w:hint="eastAsia" w:ascii="宋体" w:hAnsi="宋体"/>
                <w:color w:val="auto"/>
                <w:sz w:val="21"/>
                <w:szCs w:val="21"/>
              </w:rPr>
              <w:t>强、时间安排合理，保证措施强，</w:t>
            </w:r>
            <w:r>
              <w:rPr>
                <w:rFonts w:hint="eastAsia" w:ascii="宋体" w:hAnsi="宋体"/>
                <w:color w:val="auto"/>
                <w:sz w:val="21"/>
                <w:szCs w:val="21"/>
                <w:lang w:val="en-US" w:eastAsia="zh-CN"/>
              </w:rPr>
              <w:t>预计</w:t>
            </w:r>
            <w:r>
              <w:rPr>
                <w:rFonts w:hint="eastAsia" w:ascii="宋体" w:hAnsi="宋体"/>
                <w:color w:val="auto"/>
                <w:sz w:val="21"/>
                <w:szCs w:val="21"/>
              </w:rPr>
              <w:t>能优质完成工作任务的，得</w:t>
            </w:r>
            <w:r>
              <w:rPr>
                <w:rFonts w:hint="eastAsia" w:ascii="宋体" w:hAnsi="宋体"/>
                <w:color w:val="auto"/>
                <w:sz w:val="21"/>
                <w:szCs w:val="21"/>
                <w:lang w:val="en-US" w:eastAsia="zh-CN"/>
              </w:rPr>
              <w:t>20</w:t>
            </w:r>
            <w:r>
              <w:rPr>
                <w:rFonts w:hint="eastAsia" w:ascii="宋体" w:hAnsi="宋体"/>
                <w:color w:val="auto"/>
                <w:sz w:val="21"/>
                <w:szCs w:val="21"/>
              </w:rPr>
              <w:t>分。</w:t>
            </w:r>
          </w:p>
          <w:p w14:paraId="5401E7F1">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color w:val="auto"/>
                <w:sz w:val="21"/>
                <w:szCs w:val="21"/>
              </w:rPr>
            </w:pPr>
            <w:r>
              <w:rPr>
                <w:rFonts w:hint="eastAsia" w:ascii="宋体" w:hAnsi="宋体"/>
                <w:color w:val="auto"/>
                <w:sz w:val="21"/>
                <w:szCs w:val="21"/>
              </w:rPr>
              <w:t>2</w:t>
            </w:r>
            <w:r>
              <w:rPr>
                <w:rFonts w:hint="eastAsia" w:ascii="宋体" w:hAnsi="宋体"/>
                <w:color w:val="auto"/>
                <w:sz w:val="21"/>
                <w:szCs w:val="21"/>
                <w:lang w:val="en-US" w:eastAsia="zh-CN"/>
              </w:rPr>
              <w:t>.</w:t>
            </w:r>
            <w:r>
              <w:rPr>
                <w:rFonts w:hint="eastAsia" w:ascii="宋体" w:hAnsi="宋体"/>
                <w:color w:val="auto"/>
                <w:sz w:val="21"/>
                <w:szCs w:val="21"/>
              </w:rPr>
              <w:t>方案合理、</w:t>
            </w:r>
            <w:r>
              <w:rPr>
                <w:rFonts w:hint="eastAsia" w:ascii="宋体" w:hAnsi="宋体"/>
                <w:color w:val="auto"/>
                <w:sz w:val="21"/>
                <w:szCs w:val="21"/>
                <w:lang w:val="en-US" w:eastAsia="zh-CN"/>
              </w:rPr>
              <w:t>具有</w:t>
            </w:r>
            <w:r>
              <w:rPr>
                <w:rFonts w:hint="eastAsia" w:ascii="宋体" w:hAnsi="宋体"/>
                <w:color w:val="auto"/>
                <w:sz w:val="21"/>
                <w:szCs w:val="21"/>
              </w:rPr>
              <w:t>操作性、时间安排较合理，保证措施</w:t>
            </w:r>
            <w:r>
              <w:rPr>
                <w:rFonts w:hint="eastAsia" w:ascii="宋体" w:hAnsi="宋体"/>
                <w:color w:val="auto"/>
                <w:sz w:val="21"/>
                <w:szCs w:val="21"/>
                <w:lang w:val="en-US" w:eastAsia="zh-CN"/>
              </w:rPr>
              <w:t>较好</w:t>
            </w:r>
            <w:r>
              <w:rPr>
                <w:rFonts w:hint="eastAsia" w:ascii="宋体" w:hAnsi="宋体"/>
                <w:color w:val="auto"/>
                <w:sz w:val="21"/>
                <w:szCs w:val="21"/>
              </w:rPr>
              <w:t>，预计能按时保质完成工作任务的，得</w:t>
            </w:r>
            <w:r>
              <w:rPr>
                <w:rFonts w:hint="eastAsia" w:ascii="宋体" w:hAnsi="宋体"/>
                <w:color w:val="auto"/>
                <w:sz w:val="21"/>
                <w:szCs w:val="21"/>
                <w:lang w:val="en-US" w:eastAsia="zh-CN"/>
              </w:rPr>
              <w:t>18</w:t>
            </w:r>
            <w:r>
              <w:rPr>
                <w:rFonts w:hint="eastAsia" w:ascii="宋体" w:hAnsi="宋体"/>
                <w:color w:val="auto"/>
                <w:sz w:val="21"/>
                <w:szCs w:val="21"/>
              </w:rPr>
              <w:t>分。</w:t>
            </w:r>
          </w:p>
          <w:p w14:paraId="02679AAE">
            <w:pPr>
              <w:keepNext w:val="0"/>
              <w:keepLines w:val="0"/>
              <w:pageBreakBefore w:val="0"/>
              <w:widowControl w:val="0"/>
              <w:numPr>
                <w:ilvl w:val="0"/>
                <w:numId w:val="0"/>
              </w:numPr>
              <w:kinsoku/>
              <w:wordWrap/>
              <w:overflowPunct/>
              <w:topLinePunct w:val="0"/>
              <w:autoSpaceDE/>
              <w:autoSpaceDN/>
              <w:bidi w:val="0"/>
              <w:spacing w:line="440" w:lineRule="exact"/>
              <w:textAlignment w:val="auto"/>
              <w:rPr>
                <w:rFonts w:hint="eastAsia"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方案</w:t>
            </w:r>
            <w:r>
              <w:rPr>
                <w:rFonts w:hint="eastAsia" w:ascii="宋体" w:hAnsi="宋体"/>
                <w:color w:val="auto"/>
                <w:sz w:val="21"/>
                <w:szCs w:val="21"/>
                <w:lang w:val="en-US" w:eastAsia="zh-CN"/>
              </w:rPr>
              <w:t>及操作性不完善</w:t>
            </w:r>
            <w:r>
              <w:rPr>
                <w:rFonts w:hint="eastAsia" w:ascii="宋体" w:hAnsi="宋体"/>
                <w:color w:val="auto"/>
                <w:sz w:val="21"/>
                <w:szCs w:val="21"/>
              </w:rPr>
              <w:t>、时间安排</w:t>
            </w:r>
            <w:r>
              <w:rPr>
                <w:rFonts w:hint="eastAsia" w:ascii="宋体" w:hAnsi="宋体"/>
                <w:color w:val="auto"/>
                <w:sz w:val="21"/>
                <w:szCs w:val="21"/>
                <w:lang w:val="en-US" w:eastAsia="zh-CN"/>
              </w:rPr>
              <w:t>有待提升</w:t>
            </w:r>
            <w:r>
              <w:rPr>
                <w:rFonts w:hint="eastAsia" w:ascii="宋体" w:hAnsi="宋体"/>
                <w:color w:val="auto"/>
                <w:sz w:val="21"/>
                <w:szCs w:val="21"/>
              </w:rPr>
              <w:t>，预计完成工作任务质量</w:t>
            </w:r>
            <w:r>
              <w:rPr>
                <w:rFonts w:hint="eastAsia" w:ascii="宋体" w:hAnsi="宋体"/>
                <w:color w:val="auto"/>
                <w:sz w:val="21"/>
                <w:szCs w:val="21"/>
                <w:lang w:val="en-US" w:eastAsia="zh-CN"/>
              </w:rPr>
              <w:t>一般</w:t>
            </w:r>
            <w:r>
              <w:rPr>
                <w:rFonts w:hint="eastAsia" w:ascii="宋体" w:hAnsi="宋体"/>
                <w:color w:val="auto"/>
                <w:sz w:val="21"/>
                <w:szCs w:val="21"/>
              </w:rPr>
              <w:t>，得</w:t>
            </w:r>
            <w:r>
              <w:rPr>
                <w:rFonts w:hint="eastAsia" w:ascii="宋体" w:hAnsi="宋体"/>
                <w:color w:val="auto"/>
                <w:sz w:val="21"/>
                <w:szCs w:val="21"/>
                <w:lang w:val="en-US" w:eastAsia="zh-CN"/>
              </w:rPr>
              <w:t>16</w:t>
            </w:r>
            <w:r>
              <w:rPr>
                <w:rFonts w:hint="eastAsia" w:ascii="宋体" w:hAnsi="宋体"/>
                <w:color w:val="auto"/>
                <w:sz w:val="21"/>
                <w:szCs w:val="21"/>
              </w:rPr>
              <w:t>分。</w:t>
            </w:r>
          </w:p>
          <w:p w14:paraId="2D33B351">
            <w:pPr>
              <w:keepNext w:val="0"/>
              <w:keepLines w:val="0"/>
              <w:pageBreakBefore w:val="0"/>
              <w:widowControl w:val="0"/>
              <w:numPr>
                <w:ilvl w:val="0"/>
                <w:numId w:val="0"/>
              </w:numPr>
              <w:kinsoku/>
              <w:wordWrap/>
              <w:overflowPunct/>
              <w:topLinePunct w:val="0"/>
              <w:autoSpaceDE/>
              <w:autoSpaceDN/>
              <w:bidi w:val="0"/>
              <w:spacing w:line="440" w:lineRule="exact"/>
              <w:textAlignment w:val="auto"/>
              <w:rPr>
                <w:rFonts w:hint="default" w:ascii="宋体" w:hAnsi="宋体"/>
                <w:color w:val="auto"/>
                <w:sz w:val="21"/>
                <w:szCs w:val="21"/>
                <w:lang w:val="en-US" w:eastAsia="zh-CN"/>
              </w:rPr>
            </w:pPr>
            <w:r>
              <w:rPr>
                <w:rFonts w:hint="eastAsia" w:ascii="宋体" w:hAnsi="宋体"/>
                <w:color w:val="auto"/>
                <w:sz w:val="21"/>
                <w:szCs w:val="21"/>
                <w:lang w:val="en-US" w:eastAsia="zh-CN"/>
              </w:rPr>
              <w:t>4.未提供服务方案或与项目不匹配的不得分。</w:t>
            </w:r>
          </w:p>
        </w:tc>
      </w:tr>
      <w:tr w14:paraId="70B8B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45" w:type="dxa"/>
            <w:noWrap w:val="0"/>
            <w:vAlign w:val="center"/>
          </w:tcPr>
          <w:p w14:paraId="34D609BA">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3</w:t>
            </w:r>
          </w:p>
        </w:tc>
        <w:tc>
          <w:tcPr>
            <w:tcW w:w="1230" w:type="dxa"/>
            <w:noWrap w:val="0"/>
            <w:vAlign w:val="center"/>
          </w:tcPr>
          <w:p w14:paraId="18A93BAB">
            <w:pPr>
              <w:keepNext w:val="0"/>
              <w:keepLines w:val="0"/>
              <w:pageBreakBefore w:val="0"/>
              <w:widowControl w:val="0"/>
              <w:kinsoku/>
              <w:wordWrap/>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w:t>
            </w:r>
          </w:p>
        </w:tc>
        <w:tc>
          <w:tcPr>
            <w:tcW w:w="699" w:type="dxa"/>
            <w:noWrap w:val="0"/>
            <w:vAlign w:val="center"/>
          </w:tcPr>
          <w:p w14:paraId="4E39A1A7">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bCs/>
                <w:color w:val="auto"/>
                <w:sz w:val="21"/>
                <w:szCs w:val="21"/>
                <w:highlight w:val="none"/>
              </w:rPr>
            </w:pPr>
            <w:r>
              <w:rPr>
                <w:rFonts w:hint="eastAsia" w:ascii="宋体" w:hAnsi="宋体" w:cs="宋体"/>
                <w:bCs/>
                <w:color w:val="auto"/>
                <w:sz w:val="21"/>
                <w:szCs w:val="21"/>
                <w:highlight w:val="none"/>
                <w:lang w:val="en-US" w:eastAsia="zh-CN"/>
              </w:rPr>
              <w:t>50</w:t>
            </w:r>
            <w:r>
              <w:rPr>
                <w:rFonts w:hint="eastAsia" w:ascii="宋体" w:hAnsi="宋体" w:eastAsia="宋体" w:cs="宋体"/>
                <w:bCs/>
                <w:color w:val="auto"/>
                <w:sz w:val="21"/>
                <w:szCs w:val="21"/>
                <w:highlight w:val="none"/>
              </w:rPr>
              <w:t>分</w:t>
            </w:r>
          </w:p>
        </w:tc>
        <w:tc>
          <w:tcPr>
            <w:tcW w:w="7464" w:type="dxa"/>
            <w:gridSpan w:val="2"/>
            <w:noWrap w:val="0"/>
            <w:vAlign w:val="center"/>
          </w:tcPr>
          <w:p w14:paraId="5720081A">
            <w:pPr>
              <w:keepNext w:val="0"/>
              <w:keepLines w:val="0"/>
              <w:pageBreakBefore w:val="0"/>
              <w:widowControl w:val="0"/>
              <w:tabs>
                <w:tab w:val="left" w:pos="1080"/>
              </w:tabs>
              <w:kinsoku/>
              <w:wordWrap/>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招标人设置投标报价最高限价，各投标人有效报价不得高于最高限价，否则，其投标文件按无效标处理。</w:t>
            </w:r>
          </w:p>
          <w:p w14:paraId="64B22090">
            <w:pPr>
              <w:keepNext w:val="0"/>
              <w:keepLines w:val="0"/>
              <w:pageBreakBefore w:val="0"/>
              <w:widowControl w:val="0"/>
              <w:tabs>
                <w:tab w:val="left" w:pos="1080"/>
              </w:tabs>
              <w:kinsoku/>
              <w:wordWrap/>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1.评标基准价=所有有效投标人</w:t>
            </w:r>
            <w:r>
              <w:rPr>
                <w:rFonts w:hint="eastAsia" w:ascii="宋体" w:hAnsi="宋体" w:eastAsia="宋体"/>
                <w:color w:val="auto"/>
                <w:sz w:val="21"/>
                <w:szCs w:val="21"/>
                <w:lang w:val="en-US" w:eastAsia="zh-CN"/>
              </w:rPr>
              <w:t>按有效的扣除可抵扣进项税后的报价最低值</w:t>
            </w:r>
            <w:r>
              <w:rPr>
                <w:rFonts w:hint="eastAsia" w:ascii="宋体" w:hAnsi="宋体" w:eastAsia="宋体" w:cs="宋体"/>
                <w:color w:val="auto"/>
                <w:sz w:val="21"/>
                <w:szCs w:val="21"/>
                <w:highlight w:val="none"/>
                <w:lang w:val="en-US" w:eastAsia="zh-CN"/>
              </w:rPr>
              <w:t>；其得分为满分；</w:t>
            </w:r>
          </w:p>
          <w:p w14:paraId="1A27037A">
            <w:pPr>
              <w:keepNext w:val="0"/>
              <w:keepLines w:val="0"/>
              <w:pageBreakBefore w:val="0"/>
              <w:widowControl w:val="0"/>
              <w:tabs>
                <w:tab w:val="left" w:pos="1080"/>
              </w:tabs>
              <w:kinsoku/>
              <w:wordWrap/>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2.其它报价得分=评标基准价/投标总报价</w:t>
            </w:r>
            <w:r>
              <w:rPr>
                <w:rFonts w:hint="eastAsia" w:ascii="宋体" w:hAnsi="宋体" w:eastAsia="宋体"/>
                <w:color w:val="auto"/>
                <w:sz w:val="21"/>
                <w:szCs w:val="21"/>
                <w:lang w:val="en-US" w:eastAsia="zh-CN"/>
              </w:rPr>
              <w:t>（扣除可抵扣进项税后）</w:t>
            </w:r>
            <w:r>
              <w:rPr>
                <w:rFonts w:hint="eastAsia" w:ascii="宋体" w:hAnsi="宋体" w:eastAsia="宋体" w:cs="宋体"/>
                <w:color w:val="auto"/>
                <w:sz w:val="21"/>
                <w:szCs w:val="21"/>
                <w:highlight w:val="none"/>
                <w:lang w:val="en-US" w:eastAsia="zh-CN"/>
              </w:rPr>
              <w:t>*50分，小数点后保留两位小数，第三位四舍五入；</w:t>
            </w:r>
          </w:p>
          <w:p w14:paraId="13AB47F6">
            <w:pPr>
              <w:keepNext w:val="0"/>
              <w:keepLines w:val="0"/>
              <w:pageBreakBefore w:val="0"/>
              <w:widowControl w:val="0"/>
              <w:tabs>
                <w:tab w:val="left" w:pos="1080"/>
              </w:tabs>
              <w:kinsoku/>
              <w:wordWrap/>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3.本项分值由评标委员会负责组织计算。</w:t>
            </w:r>
          </w:p>
        </w:tc>
      </w:tr>
    </w:tbl>
    <w:p w14:paraId="2C0B01AF">
      <w:pPr>
        <w:spacing w:line="400" w:lineRule="exact"/>
        <w:ind w:firstLine="403" w:firstLineChars="192"/>
        <w:rPr>
          <w:rFonts w:hint="eastAsia" w:ascii="宋体" w:cs="宋体"/>
          <w:b/>
          <w:color w:val="auto"/>
          <w:szCs w:val="21"/>
          <w:highlight w:val="none"/>
        </w:rPr>
      </w:pPr>
      <w:r>
        <w:rPr>
          <w:rFonts w:hint="eastAsia" w:ascii="宋体" w:hAnsi="宋体"/>
          <w:color w:val="auto"/>
          <w:szCs w:val="21"/>
          <w:highlight w:val="none"/>
          <w:lang w:val="en-US" w:eastAsia="zh-CN"/>
        </w:rPr>
        <w:t>注：</w:t>
      </w:r>
      <w:r>
        <w:rPr>
          <w:rFonts w:hint="eastAsia" w:ascii="宋体" w:hAnsi="宋体" w:eastAsia="宋体" w:cs="宋体"/>
          <w:color w:val="auto"/>
          <w:kern w:val="0"/>
          <w:sz w:val="21"/>
          <w:szCs w:val="21"/>
          <w:highlight w:val="none"/>
          <w:lang w:val="en-US" w:eastAsia="zh-CN" w:bidi="ar"/>
        </w:rPr>
        <w:t>工作方案分取所有评委评分的平均值为最终得分，保留两位小数点，第三位四舍五入。</w:t>
      </w:r>
    </w:p>
    <w:p w14:paraId="4ADA50E4">
      <w:pPr>
        <w:spacing w:line="440" w:lineRule="exact"/>
        <w:ind w:firstLine="422" w:firstLineChars="200"/>
        <w:jc w:val="left"/>
        <w:rPr>
          <w:rFonts w:hint="eastAsia" w:ascii="宋体" w:cs="宋体"/>
          <w:b/>
          <w:color w:val="auto"/>
          <w:szCs w:val="21"/>
          <w:highlight w:val="none"/>
        </w:rPr>
      </w:pPr>
      <w:r>
        <w:rPr>
          <w:rFonts w:hint="eastAsia" w:ascii="宋体" w:cs="宋体"/>
          <w:b/>
          <w:color w:val="auto"/>
          <w:szCs w:val="21"/>
          <w:highlight w:val="none"/>
        </w:rPr>
        <w:t>特别说明：</w:t>
      </w:r>
    </w:p>
    <w:p w14:paraId="25ED49CE">
      <w:pPr>
        <w:spacing w:line="440" w:lineRule="exact"/>
        <w:ind w:left="-420" w:leftChars="-200" w:firstLine="420" w:firstLineChars="200"/>
        <w:jc w:val="left"/>
        <w:rPr>
          <w:rFonts w:hint="eastAsia"/>
          <w:b w:val="0"/>
          <w:bCs/>
          <w:color w:val="auto"/>
          <w:szCs w:val="21"/>
          <w:highlight w:val="none"/>
        </w:rPr>
      </w:pPr>
      <w:r>
        <w:rPr>
          <w:rFonts w:hint="eastAsia"/>
          <w:b w:val="0"/>
          <w:bCs/>
          <w:color w:val="auto"/>
          <w:szCs w:val="21"/>
          <w:highlight w:val="none"/>
          <w:lang w:val="en-US" w:eastAsia="zh-CN"/>
        </w:rPr>
        <w:t>1.</w:t>
      </w:r>
      <w:r>
        <w:rPr>
          <w:rFonts w:hint="eastAsia"/>
          <w:b w:val="0"/>
          <w:bCs/>
          <w:color w:val="auto"/>
          <w:szCs w:val="21"/>
          <w:highlight w:val="none"/>
        </w:rPr>
        <w:t>评标专家检验电子投标文件的上述材料，如果由于投标人自身原因导致评标专家无法查看并检验电子投标文件中以上相关资料的，后果由投标人自行承担。</w:t>
      </w:r>
    </w:p>
    <w:p w14:paraId="3F8812A9">
      <w:pPr>
        <w:spacing w:line="440" w:lineRule="exact"/>
        <w:ind w:left="-420" w:leftChars="-200" w:firstLine="420" w:firstLineChars="200"/>
        <w:jc w:val="left"/>
        <w:rPr>
          <w:rFonts w:hint="eastAsia"/>
          <w:b w:val="0"/>
          <w:bCs/>
          <w:color w:val="auto"/>
          <w:szCs w:val="21"/>
          <w:highlight w:val="none"/>
        </w:rPr>
      </w:pPr>
      <w:r>
        <w:rPr>
          <w:rFonts w:hint="eastAsia"/>
          <w:b w:val="0"/>
          <w:bCs/>
          <w:color w:val="auto"/>
          <w:szCs w:val="21"/>
          <w:highlight w:val="none"/>
          <w:lang w:val="en-US" w:eastAsia="zh-CN"/>
        </w:rPr>
        <w:t>2.</w:t>
      </w:r>
      <w:r>
        <w:rPr>
          <w:rFonts w:hint="eastAsia"/>
          <w:b w:val="0"/>
          <w:bCs/>
          <w:color w:val="auto"/>
          <w:szCs w:val="21"/>
          <w:highlight w:val="none"/>
        </w:rPr>
        <w:t>以上分值均保留二位小数，小数点后第三位四舍五入。</w:t>
      </w:r>
      <w:bookmarkStart w:id="64" w:name="_Toc449028881"/>
    </w:p>
    <w:p w14:paraId="473262C8">
      <w:pPr>
        <w:jc w:val="center"/>
        <w:outlineLvl w:val="1"/>
        <w:rPr>
          <w:rFonts w:hint="eastAsia" w:ascii="宋体" w:hAnsi="Times New Roman" w:eastAsia="宋体" w:cs="Times New Roman"/>
          <w:b/>
          <w:color w:val="auto"/>
          <w:sz w:val="28"/>
          <w:szCs w:val="28"/>
          <w:highlight w:val="none"/>
        </w:rPr>
      </w:pPr>
      <w:bookmarkStart w:id="65" w:name="_Toc58430321"/>
      <w:r>
        <w:rPr>
          <w:rFonts w:hint="eastAsia" w:ascii="宋体" w:hAnsi="Times New Roman" w:eastAsia="宋体" w:cs="Times New Roman"/>
          <w:b/>
          <w:color w:val="auto"/>
          <w:sz w:val="28"/>
          <w:szCs w:val="28"/>
          <w:highlight w:val="none"/>
        </w:rPr>
        <w:t>五、推荐中标候选人</w:t>
      </w:r>
      <w:bookmarkEnd w:id="63"/>
      <w:bookmarkEnd w:id="64"/>
      <w:bookmarkEnd w:id="65"/>
    </w:p>
    <w:bookmarkEnd w:id="53"/>
    <w:p w14:paraId="46EA038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7.评标委员会按得分之和，从高到低</w:t>
      </w:r>
      <w:r>
        <w:rPr>
          <w:rFonts w:hint="eastAsia" w:ascii="宋体" w:hAnsi="宋体" w:cs="宋体"/>
          <w:color w:val="auto"/>
          <w:szCs w:val="21"/>
          <w:highlight w:val="none"/>
          <w:lang w:val="en-US" w:eastAsia="zh-CN"/>
        </w:rPr>
        <w:t>推荐3名中标候选人</w:t>
      </w:r>
      <w:r>
        <w:rPr>
          <w:rFonts w:hint="eastAsia" w:ascii="宋体" w:hAnsi="宋体" w:cs="宋体"/>
          <w:color w:val="auto"/>
          <w:szCs w:val="21"/>
          <w:highlight w:val="none"/>
        </w:rPr>
        <w:t>。</w:t>
      </w:r>
    </w:p>
    <w:p w14:paraId="32F785A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7.1得分相同的，按投标报价由低到高顺序排列。得分且报价相同的并列，由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现场采取随机摇号的方式确定中标候选人。</w:t>
      </w:r>
    </w:p>
    <w:p w14:paraId="1870F7C6">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6" w:name="_Hlk61815781"/>
      <w:r>
        <w:rPr>
          <w:rFonts w:hint="eastAsia" w:ascii="宋体" w:hAnsi="宋体" w:cs="宋体"/>
          <w:b/>
          <w:color w:val="auto"/>
          <w:szCs w:val="21"/>
          <w:highlight w:val="none"/>
        </w:rPr>
        <w:t>无效投标条款</w:t>
      </w:r>
    </w:p>
    <w:p w14:paraId="35692AA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其投标文件拒收</w:t>
      </w:r>
      <w:r>
        <w:rPr>
          <w:rFonts w:hint="eastAsia" w:ascii="宋体" w:hAnsi="宋体" w:cs="宋体"/>
          <w:color w:val="auto"/>
          <w:szCs w:val="21"/>
          <w:highlight w:val="none"/>
          <w:lang w:eastAsia="zh-CN"/>
        </w:rPr>
        <w:t>：</w:t>
      </w:r>
    </w:p>
    <w:p w14:paraId="44B3A39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308F695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资格审查后其投标作无效投标处理：</w:t>
      </w:r>
    </w:p>
    <w:p w14:paraId="1D91AF5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投标人为本项目提供招标代理服务的；</w:t>
      </w:r>
    </w:p>
    <w:p w14:paraId="08467CF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投标人与在本项目代理机构存在相互任职或工作的；</w:t>
      </w:r>
    </w:p>
    <w:p w14:paraId="6EB96CB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189DF9C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55D011A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768FF61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1A8F0C5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24069BC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14:paraId="145E527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w:t>
      </w:r>
      <w:r>
        <w:rPr>
          <w:rFonts w:hint="eastAsia" w:ascii="宋体" w:hAnsi="宋体" w:cs="宋体"/>
          <w:color w:val="auto"/>
          <w:szCs w:val="21"/>
          <w:highlight w:val="none"/>
          <w:lang w:eastAsia="zh-CN"/>
        </w:rPr>
        <w:t>的其他</w:t>
      </w:r>
      <w:r>
        <w:rPr>
          <w:rFonts w:hint="eastAsia" w:ascii="宋体" w:hAnsi="宋体" w:cs="宋体"/>
          <w:color w:val="auto"/>
          <w:szCs w:val="21"/>
          <w:highlight w:val="none"/>
        </w:rPr>
        <w:t>无效投标情形。</w:t>
      </w:r>
    </w:p>
    <w:p w14:paraId="50856FB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符合性审查后其投标按无效投标处理：</w:t>
      </w:r>
    </w:p>
    <w:p w14:paraId="049A30C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投标文件签字、盖章不全，经评标委员会一致认定对开评标内容有实质性影响的；</w:t>
      </w:r>
    </w:p>
    <w:p w14:paraId="53D3D90A">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2</w:t>
      </w:r>
      <w:r>
        <w:rPr>
          <w:rFonts w:hint="eastAsia" w:ascii="宋体" w:hAnsi="宋体" w:cs="宋体"/>
          <w:color w:val="auto"/>
          <w:szCs w:val="21"/>
          <w:highlight w:val="none"/>
          <w:lang w:eastAsia="zh-CN"/>
        </w:rPr>
        <w:t>）</w:t>
      </w:r>
      <w:r>
        <w:rPr>
          <w:rFonts w:hint="eastAsia" w:ascii="宋体"/>
          <w:color w:val="auto"/>
          <w:szCs w:val="21"/>
          <w:highlight w:val="none"/>
        </w:rPr>
        <w:t>未按规定的格式填写导致实质性内容不全以及实质上不响应，或者关键字迹模糊、无法辨认；</w:t>
      </w:r>
    </w:p>
    <w:p w14:paraId="52200C7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同一投标人提交两个以上不同的投标文件或者投标报价，但招标文件规定提交备选方案的除外；</w:t>
      </w:r>
    </w:p>
    <w:p w14:paraId="0BBD4EB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4</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投标文件没有对招标文件的实质性要求和条件作出响应</w:t>
      </w:r>
      <w:r>
        <w:rPr>
          <w:rFonts w:hint="eastAsia" w:ascii="宋体" w:hAnsi="宋体" w:cs="宋体"/>
          <w:color w:val="auto"/>
          <w:szCs w:val="21"/>
          <w:highlight w:val="none"/>
          <w:lang w:eastAsia="zh-CN"/>
        </w:rPr>
        <w:t>；</w:t>
      </w:r>
    </w:p>
    <w:p w14:paraId="789D207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5</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投标报价超出规定的投标限价或公布的采购预算的；</w:t>
      </w:r>
    </w:p>
    <w:p w14:paraId="3A3AF7C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6</w:t>
      </w:r>
      <w:r>
        <w:rPr>
          <w:rFonts w:hint="eastAsia" w:ascii="宋体" w:hAnsi="宋体" w:cs="宋体"/>
          <w:color w:val="auto"/>
          <w:szCs w:val="21"/>
          <w:highlight w:val="none"/>
          <w:lang w:eastAsia="zh-CN"/>
        </w:rPr>
        <w:t>）</w:t>
      </w:r>
      <w:r>
        <w:rPr>
          <w:rFonts w:hint="eastAsia" w:ascii="宋体" w:hAnsi="宋体" w:cs="宋体"/>
          <w:color w:val="auto"/>
          <w:szCs w:val="21"/>
          <w:highlight w:val="none"/>
        </w:rPr>
        <w:t>不按评标委员会要求澄清、说明或补正的，或者评标委员会根据招标文件的规定对招标文件的计算错误进行修正后，投标人不接受修正的投标报价的。</w:t>
      </w:r>
    </w:p>
    <w:p w14:paraId="2EE8AAE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7</w:t>
      </w:r>
      <w:r>
        <w:rPr>
          <w:rFonts w:hint="eastAsia" w:ascii="宋体" w:hAnsi="宋体" w:cs="宋体"/>
          <w:color w:val="auto"/>
          <w:szCs w:val="21"/>
          <w:highlight w:val="none"/>
          <w:lang w:eastAsia="zh-CN"/>
        </w:rPr>
        <w:t>）</w:t>
      </w:r>
      <w:r>
        <w:rPr>
          <w:rFonts w:hint="eastAsia" w:ascii="宋体" w:hAnsi="宋体" w:cs="宋体"/>
          <w:color w:val="auto"/>
          <w:szCs w:val="21"/>
          <w:highlight w:val="none"/>
        </w:rPr>
        <w:t>其它情形，经评标委员会委提出按无效投标处理的；</w:t>
      </w:r>
    </w:p>
    <w:p w14:paraId="7FA8288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8</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0144167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9</w:t>
      </w:r>
      <w:r>
        <w:rPr>
          <w:rFonts w:hint="eastAsia" w:ascii="宋体" w:hAnsi="宋体" w:cs="宋体"/>
          <w:color w:val="auto"/>
          <w:szCs w:val="21"/>
          <w:highlight w:val="none"/>
          <w:lang w:eastAsia="zh-CN"/>
        </w:rPr>
        <w:t>）</w:t>
      </w:r>
      <w:r>
        <w:rPr>
          <w:rFonts w:hint="eastAsia" w:ascii="宋体" w:hAnsi="宋体" w:cs="宋体"/>
          <w:color w:val="auto"/>
          <w:szCs w:val="21"/>
          <w:highlight w:val="none"/>
        </w:rPr>
        <w:t>招标文件规定</w:t>
      </w:r>
      <w:r>
        <w:rPr>
          <w:rFonts w:hint="eastAsia" w:ascii="宋体" w:hAnsi="宋体" w:cs="宋体"/>
          <w:color w:val="auto"/>
          <w:szCs w:val="21"/>
          <w:highlight w:val="none"/>
          <w:lang w:eastAsia="zh-CN"/>
        </w:rPr>
        <w:t>的其他</w:t>
      </w:r>
      <w:r>
        <w:rPr>
          <w:rFonts w:hint="eastAsia" w:ascii="宋体" w:hAnsi="宋体" w:cs="宋体"/>
          <w:color w:val="auto"/>
          <w:szCs w:val="21"/>
          <w:highlight w:val="none"/>
        </w:rPr>
        <w:t>无效投标情形。</w:t>
      </w:r>
    </w:p>
    <w:p w14:paraId="1391959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详细评审后其投标按无效投标处理：</w:t>
      </w:r>
    </w:p>
    <w:p w14:paraId="543ED6A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投标产品不符合必须强制执行的国家标准的；</w:t>
      </w:r>
    </w:p>
    <w:p w14:paraId="54CB7D7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投标人有串通投标、弄虚作假、行贿等违法行为；</w:t>
      </w:r>
    </w:p>
    <w:p w14:paraId="67AD273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7B7FD85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40D5C19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48AC5EB5">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7186A66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w:t>
      </w:r>
      <w:r>
        <w:rPr>
          <w:rFonts w:hint="eastAsia" w:ascii="宋体" w:hAnsi="宋体" w:cs="宋体"/>
          <w:color w:val="auto"/>
          <w:szCs w:val="21"/>
          <w:highlight w:val="none"/>
          <w:lang w:eastAsia="zh-CN"/>
        </w:rPr>
        <w:t>的其他</w:t>
      </w:r>
      <w:r>
        <w:rPr>
          <w:rFonts w:hint="eastAsia" w:ascii="宋体" w:hAnsi="宋体" w:cs="宋体"/>
          <w:color w:val="auto"/>
          <w:szCs w:val="21"/>
          <w:highlight w:val="none"/>
        </w:rPr>
        <w:t>无效投标情形。</w:t>
      </w:r>
    </w:p>
    <w:bookmarkEnd w:id="54"/>
    <w:bookmarkEnd w:id="66"/>
    <w:p w14:paraId="09D1990C">
      <w:pPr>
        <w:spacing w:before="156" w:beforeLines="50" w:after="156" w:afterLines="50"/>
        <w:jc w:val="both"/>
        <w:outlineLvl w:val="0"/>
        <w:rPr>
          <w:rFonts w:hint="eastAsia" w:ascii="宋体"/>
          <w:b/>
          <w:color w:val="auto"/>
          <w:sz w:val="32"/>
          <w:szCs w:val="32"/>
          <w:highlight w:val="none"/>
        </w:rPr>
      </w:pPr>
      <w:bookmarkStart w:id="67" w:name="_Toc58430329"/>
      <w:bookmarkStart w:id="68" w:name="_Toc449028945"/>
      <w:r>
        <w:rPr>
          <w:rStyle w:val="37"/>
          <w:rFonts w:hint="eastAsia" w:ascii="宋体" w:hAnsi="宋体" w:cs="宋体"/>
          <w:b w:val="0"/>
          <w:bCs w:val="0"/>
          <w:color w:val="000000" w:themeColor="text1"/>
          <w:kern w:val="2"/>
          <w:sz w:val="21"/>
          <w:szCs w:val="21"/>
          <w:highlight w:val="none"/>
          <w14:textFill>
            <w14:solidFill>
              <w14:schemeClr w14:val="tx1"/>
            </w14:solidFill>
          </w14:textFill>
        </w:rPr>
        <w:br w:type="page"/>
      </w:r>
    </w:p>
    <w:p w14:paraId="79B6295A">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第</w:t>
      </w:r>
      <w:r>
        <w:rPr>
          <w:rFonts w:hint="eastAsia" w:ascii="宋体"/>
          <w:b/>
          <w:color w:val="auto"/>
          <w:sz w:val="32"/>
          <w:szCs w:val="32"/>
          <w:highlight w:val="none"/>
          <w:lang w:val="en-US" w:eastAsia="zh-CN"/>
        </w:rPr>
        <w:t>四</w:t>
      </w:r>
      <w:r>
        <w:rPr>
          <w:rFonts w:hint="eastAsia" w:ascii="宋体"/>
          <w:b/>
          <w:color w:val="auto"/>
          <w:sz w:val="32"/>
          <w:szCs w:val="32"/>
          <w:highlight w:val="none"/>
        </w:rPr>
        <w:t>章  投标文件格式</w:t>
      </w:r>
    </w:p>
    <w:p w14:paraId="44C34767">
      <w:pPr>
        <w:jc w:val="center"/>
        <w:rPr>
          <w:rFonts w:hint="eastAsia" w:eastAsia="黑体"/>
          <w:color w:val="auto"/>
          <w:sz w:val="20"/>
          <w:highlight w:val="none"/>
        </w:rPr>
      </w:pPr>
    </w:p>
    <w:p w14:paraId="12B0AB51">
      <w:pPr>
        <w:rPr>
          <w:rFonts w:hint="eastAsia" w:eastAsia="黑体"/>
          <w:color w:val="auto"/>
          <w:sz w:val="20"/>
          <w:highlight w:val="none"/>
        </w:rPr>
      </w:pPr>
    </w:p>
    <w:p w14:paraId="65B13DED">
      <w:pPr>
        <w:rPr>
          <w:rFonts w:hint="eastAsia" w:eastAsia="黑体"/>
          <w:color w:val="auto"/>
          <w:sz w:val="20"/>
          <w:highlight w:val="none"/>
        </w:rPr>
      </w:pPr>
    </w:p>
    <w:p w14:paraId="0F1DEA53">
      <w:pPr>
        <w:rPr>
          <w:rFonts w:hint="eastAsia" w:eastAsia="黑体"/>
          <w:color w:val="auto"/>
          <w:sz w:val="20"/>
          <w:highlight w:val="none"/>
        </w:rPr>
      </w:pPr>
    </w:p>
    <w:p w14:paraId="0D73A1A1">
      <w:pPr>
        <w:jc w:val="center"/>
        <w:rPr>
          <w:rFonts w:hint="eastAsia" w:ascii="宋体"/>
          <w:b/>
          <w:color w:val="auto"/>
          <w:sz w:val="44"/>
          <w:szCs w:val="44"/>
          <w:highlight w:val="none"/>
        </w:rPr>
      </w:pPr>
      <w:bookmarkStart w:id="69" w:name="_Toc449028949"/>
      <w:bookmarkStart w:id="70" w:name="_Toc350698753"/>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69"/>
      <w:bookmarkEnd w:id="70"/>
    </w:p>
    <w:p w14:paraId="2B7968EA">
      <w:pPr>
        <w:jc w:val="center"/>
        <w:rPr>
          <w:rFonts w:hint="eastAsia" w:eastAsia="黑体"/>
          <w:color w:val="auto"/>
          <w:sz w:val="44"/>
          <w:szCs w:val="44"/>
          <w:highlight w:val="none"/>
        </w:rPr>
      </w:pPr>
    </w:p>
    <w:p w14:paraId="3B423825">
      <w:pPr>
        <w:jc w:val="center"/>
        <w:rPr>
          <w:rFonts w:hint="eastAsia" w:eastAsia="黑体"/>
          <w:color w:val="auto"/>
          <w:sz w:val="44"/>
          <w:szCs w:val="44"/>
          <w:highlight w:val="none"/>
        </w:rPr>
      </w:pPr>
    </w:p>
    <w:p w14:paraId="6D49D390">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5EA60D66">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7691238B">
      <w:pPr>
        <w:rPr>
          <w:rFonts w:hint="eastAsia" w:ascii="宋体"/>
          <w:color w:val="auto"/>
          <w:sz w:val="28"/>
          <w:szCs w:val="28"/>
          <w:highlight w:val="none"/>
        </w:rPr>
      </w:pPr>
    </w:p>
    <w:p w14:paraId="3742B360">
      <w:pPr>
        <w:rPr>
          <w:rFonts w:hint="eastAsia" w:ascii="宋体"/>
          <w:color w:val="auto"/>
          <w:sz w:val="28"/>
          <w:szCs w:val="28"/>
          <w:highlight w:val="none"/>
        </w:rPr>
      </w:pPr>
    </w:p>
    <w:p w14:paraId="62B8FC86">
      <w:pPr>
        <w:rPr>
          <w:rFonts w:hint="eastAsia" w:ascii="宋体"/>
          <w:color w:val="auto"/>
          <w:sz w:val="28"/>
          <w:szCs w:val="28"/>
          <w:highlight w:val="none"/>
        </w:rPr>
      </w:pPr>
    </w:p>
    <w:p w14:paraId="7D23F189">
      <w:pPr>
        <w:rPr>
          <w:rFonts w:hint="eastAsia" w:ascii="宋体"/>
          <w:color w:val="auto"/>
          <w:sz w:val="28"/>
          <w:szCs w:val="28"/>
          <w:highlight w:val="none"/>
        </w:rPr>
      </w:pPr>
    </w:p>
    <w:p w14:paraId="42A88458">
      <w:pPr>
        <w:rPr>
          <w:rFonts w:hint="eastAsia" w:ascii="宋体"/>
          <w:color w:val="auto"/>
          <w:sz w:val="28"/>
          <w:szCs w:val="28"/>
          <w:highlight w:val="none"/>
        </w:rPr>
      </w:pPr>
    </w:p>
    <w:p w14:paraId="05D012F9">
      <w:pPr>
        <w:rPr>
          <w:rFonts w:hint="eastAsia" w:ascii="宋体"/>
          <w:color w:val="auto"/>
          <w:sz w:val="28"/>
          <w:szCs w:val="28"/>
          <w:highlight w:val="none"/>
        </w:rPr>
      </w:pPr>
    </w:p>
    <w:p w14:paraId="58373D45">
      <w:pPr>
        <w:rPr>
          <w:rFonts w:hint="eastAsia" w:ascii="宋体"/>
          <w:color w:val="auto"/>
          <w:sz w:val="28"/>
          <w:szCs w:val="28"/>
          <w:highlight w:val="none"/>
        </w:rPr>
      </w:pPr>
    </w:p>
    <w:p w14:paraId="734B660D">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53394E04">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986FEA3">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09B2D2A1">
      <w:pPr>
        <w:spacing w:line="720" w:lineRule="auto"/>
        <w:jc w:val="center"/>
        <w:rPr>
          <w:rFonts w:hint="eastAsia" w:ascii="宋体"/>
          <w:b/>
          <w:color w:val="auto"/>
          <w:sz w:val="36"/>
          <w:szCs w:val="36"/>
          <w:highlight w:val="none"/>
        </w:rPr>
      </w:pPr>
    </w:p>
    <w:p w14:paraId="28BC2454">
      <w:pPr>
        <w:spacing w:line="400" w:lineRule="exact"/>
        <w:ind w:firstLine="4130" w:firstLineChars="935"/>
        <w:rPr>
          <w:rFonts w:hint="eastAsia"/>
          <w:b/>
          <w:color w:val="auto"/>
          <w:sz w:val="44"/>
          <w:szCs w:val="44"/>
          <w:highlight w:val="none"/>
        </w:rPr>
      </w:pPr>
    </w:p>
    <w:p w14:paraId="76C1DE1F">
      <w:pPr>
        <w:spacing w:line="400" w:lineRule="exact"/>
        <w:ind w:firstLine="4130" w:firstLineChars="935"/>
        <w:rPr>
          <w:rFonts w:hint="eastAsia"/>
          <w:b/>
          <w:color w:val="auto"/>
          <w:sz w:val="44"/>
          <w:szCs w:val="44"/>
          <w:highlight w:val="none"/>
        </w:rPr>
      </w:pPr>
    </w:p>
    <w:p w14:paraId="19AB07E8">
      <w:pPr>
        <w:spacing w:line="400" w:lineRule="exact"/>
        <w:ind w:firstLine="4130" w:firstLineChars="935"/>
        <w:rPr>
          <w:rFonts w:hint="eastAsia"/>
          <w:b/>
          <w:color w:val="auto"/>
          <w:sz w:val="44"/>
          <w:szCs w:val="44"/>
          <w:highlight w:val="none"/>
        </w:rPr>
      </w:pPr>
    </w:p>
    <w:p w14:paraId="5BA0D63D">
      <w:pPr>
        <w:jc w:val="center"/>
        <w:rPr>
          <w:rFonts w:hint="eastAsia"/>
          <w:b/>
          <w:color w:val="auto"/>
          <w:sz w:val="44"/>
          <w:szCs w:val="44"/>
          <w:highlight w:val="none"/>
        </w:rPr>
      </w:pPr>
      <w:r>
        <w:rPr>
          <w:rFonts w:hint="eastAsia"/>
          <w:b/>
          <w:color w:val="auto"/>
          <w:sz w:val="36"/>
          <w:szCs w:val="36"/>
          <w:highlight w:val="none"/>
        </w:rPr>
        <w:t>目   录</w:t>
      </w:r>
    </w:p>
    <w:p w14:paraId="30A9EC6A">
      <w:pPr>
        <w:spacing w:line="400" w:lineRule="exact"/>
        <w:ind w:firstLine="562" w:firstLineChars="200"/>
        <w:rPr>
          <w:rFonts w:hint="eastAsia"/>
          <w:b/>
          <w:color w:val="auto"/>
          <w:sz w:val="28"/>
          <w:szCs w:val="28"/>
          <w:highlight w:val="none"/>
        </w:rPr>
      </w:pPr>
    </w:p>
    <w:p w14:paraId="0904FEAC">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7780E98D">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有效的营业执照</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14:paraId="02770EC0">
      <w:pPr>
        <w:spacing w:line="500" w:lineRule="exact"/>
        <w:ind w:firstLine="420" w:firstLineChars="200"/>
        <w:jc w:val="left"/>
        <w:rPr>
          <w:rFonts w:hint="default" w:ascii="宋体" w:hAnsi="宋体" w:eastAsia="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3）投标人具</w:t>
      </w:r>
      <w:r>
        <w:rPr>
          <w:rFonts w:hint="eastAsia" w:ascii="宋体" w:hAnsi="宋体" w:cs="宋体"/>
          <w:color w:val="auto"/>
          <w:szCs w:val="21"/>
          <w:highlight w:val="none"/>
          <w:lang w:val="en-US" w:eastAsia="zh-CN"/>
        </w:rPr>
        <w:t>备资产评估资格（附资产评估备案证明截图）及证券类资产评估资质证明材料（复印件加盖单位公章）</w:t>
      </w:r>
      <w:r>
        <w:rPr>
          <w:rFonts w:hint="eastAsia" w:ascii="宋体" w:hAnsi="宋体" w:cs="宋体-18030"/>
          <w:color w:val="auto"/>
          <w:szCs w:val="21"/>
          <w:highlight w:val="none"/>
          <w:lang w:val="en-US" w:eastAsia="zh-CN"/>
        </w:rPr>
        <w:t>；</w:t>
      </w:r>
    </w:p>
    <w:p w14:paraId="5C4FC539">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4</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0E86F632">
      <w:pPr>
        <w:spacing w:line="500" w:lineRule="exact"/>
        <w:ind w:firstLine="420" w:firstLineChars="200"/>
        <w:jc w:val="left"/>
        <w:rPr>
          <w:rFonts w:hint="default" w:ascii="宋体" w:cs="Times New Roman"/>
          <w:color w:val="auto"/>
          <w:szCs w:val="21"/>
          <w:highlight w:val="none"/>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5）投标函（格式见附件）；</w:t>
      </w:r>
    </w:p>
    <w:p w14:paraId="38373E3A">
      <w:pPr>
        <w:spacing w:line="500" w:lineRule="exact"/>
        <w:ind w:firstLine="420" w:firstLineChars="200"/>
        <w:jc w:val="left"/>
        <w:rPr>
          <w:rFonts w:hint="eastAsia" w:ascii="宋体" w:hAnsi="Times New Roman" w:eastAsia="宋体" w:cs="Times New Roman"/>
          <w:color w:val="auto"/>
          <w:szCs w:val="21"/>
          <w:highlight w:val="none"/>
          <w:lang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6）</w:t>
      </w:r>
      <w:r>
        <w:rPr>
          <w:rFonts w:hint="eastAsia" w:ascii="宋体" w:hAnsi="Times New Roman" w:eastAsia="宋体" w:cs="Times New Roman"/>
          <w:color w:val="auto"/>
          <w:szCs w:val="21"/>
          <w:highlight w:val="none"/>
        </w:rPr>
        <w:t>招标文件中要求评分的支持资料</w:t>
      </w:r>
      <w:r>
        <w:rPr>
          <w:rFonts w:hint="eastAsia" w:ascii="宋体" w:hAnsi="Times New Roman" w:eastAsia="宋体" w:cs="Times New Roman"/>
          <w:color w:val="auto"/>
          <w:szCs w:val="21"/>
          <w:highlight w:val="none"/>
          <w:lang w:val="en-US" w:eastAsia="zh-CN"/>
        </w:rPr>
        <w:t>（复印件加盖单位公章）</w:t>
      </w:r>
      <w:r>
        <w:rPr>
          <w:rFonts w:hint="eastAsia" w:ascii="宋体" w:cs="Times New Roman"/>
          <w:color w:val="auto"/>
          <w:szCs w:val="21"/>
          <w:highlight w:val="none"/>
          <w:lang w:eastAsia="zh-CN"/>
        </w:rPr>
        <w:t>。</w:t>
      </w:r>
    </w:p>
    <w:p w14:paraId="52371B11">
      <w:pPr>
        <w:spacing w:line="500" w:lineRule="exact"/>
        <w:ind w:firstLine="420" w:firstLineChars="200"/>
        <w:jc w:val="left"/>
        <w:rPr>
          <w:rFonts w:hint="eastAsia" w:ascii="宋体" w:hAnsi="Times New Roman" w:eastAsia="宋体" w:cs="Times New Roman"/>
          <w:color w:val="auto"/>
          <w:szCs w:val="21"/>
          <w:highlight w:val="none"/>
        </w:rPr>
      </w:pPr>
    </w:p>
    <w:p w14:paraId="1FD75D18">
      <w:pPr>
        <w:spacing w:line="400" w:lineRule="exact"/>
        <w:ind w:firstLine="562" w:firstLineChars="200"/>
        <w:rPr>
          <w:rFonts w:hint="eastAsia"/>
          <w:b/>
          <w:color w:val="auto"/>
          <w:sz w:val="28"/>
          <w:szCs w:val="28"/>
          <w:highlight w:val="none"/>
        </w:rPr>
      </w:pPr>
    </w:p>
    <w:p w14:paraId="370B4C1A">
      <w:pPr>
        <w:spacing w:line="400" w:lineRule="exact"/>
        <w:ind w:firstLine="562" w:firstLineChars="200"/>
        <w:rPr>
          <w:rFonts w:hint="eastAsia"/>
          <w:b/>
          <w:color w:val="auto"/>
          <w:sz w:val="28"/>
          <w:szCs w:val="28"/>
          <w:highlight w:val="none"/>
        </w:rPr>
      </w:pPr>
    </w:p>
    <w:p w14:paraId="09E594E0">
      <w:pPr>
        <w:spacing w:line="400" w:lineRule="exact"/>
        <w:ind w:firstLine="562" w:firstLineChars="200"/>
        <w:rPr>
          <w:rFonts w:hint="eastAsia"/>
          <w:b/>
          <w:color w:val="auto"/>
          <w:sz w:val="28"/>
          <w:szCs w:val="28"/>
          <w:highlight w:val="none"/>
        </w:rPr>
      </w:pPr>
    </w:p>
    <w:p w14:paraId="235911AE">
      <w:pPr>
        <w:spacing w:line="400" w:lineRule="exact"/>
        <w:ind w:firstLine="562" w:firstLineChars="200"/>
        <w:rPr>
          <w:rFonts w:hint="eastAsia"/>
          <w:b/>
          <w:color w:val="auto"/>
          <w:sz w:val="28"/>
          <w:szCs w:val="28"/>
          <w:highlight w:val="none"/>
        </w:rPr>
      </w:pPr>
    </w:p>
    <w:p w14:paraId="52FD35E4">
      <w:pPr>
        <w:spacing w:line="400" w:lineRule="exact"/>
        <w:ind w:firstLine="562" w:firstLineChars="200"/>
        <w:rPr>
          <w:rFonts w:hint="eastAsia"/>
          <w:b/>
          <w:color w:val="auto"/>
          <w:sz w:val="28"/>
          <w:szCs w:val="28"/>
          <w:highlight w:val="none"/>
        </w:rPr>
      </w:pPr>
    </w:p>
    <w:p w14:paraId="4D90EB08">
      <w:pPr>
        <w:spacing w:line="400" w:lineRule="exact"/>
        <w:rPr>
          <w:b/>
          <w:color w:val="auto"/>
          <w:sz w:val="28"/>
          <w:szCs w:val="28"/>
          <w:highlight w:val="none"/>
        </w:rPr>
        <w:sectPr>
          <w:headerReference r:id="rId8" w:type="default"/>
          <w:footerReference r:id="rId9" w:type="default"/>
          <w:pgSz w:w="11906" w:h="16838"/>
          <w:pgMar w:top="1440" w:right="1066" w:bottom="1440" w:left="1800" w:header="851" w:footer="992" w:gutter="0"/>
          <w:pgNumType w:fmt="numberInDash" w:start="1"/>
          <w:cols w:space="720" w:num="1"/>
          <w:docGrid w:type="lines" w:linePitch="312" w:charSpace="0"/>
        </w:sectPr>
      </w:pPr>
    </w:p>
    <w:p w14:paraId="54D8C531">
      <w:pPr>
        <w:spacing w:line="360" w:lineRule="auto"/>
        <w:rPr>
          <w:rFonts w:hint="eastAsia"/>
          <w:b/>
          <w:color w:val="auto"/>
          <w:sz w:val="28"/>
          <w:szCs w:val="28"/>
          <w:highlight w:val="none"/>
        </w:rPr>
      </w:pPr>
      <w:r>
        <w:rPr>
          <w:rFonts w:hint="eastAsia"/>
          <w:b/>
          <w:color w:val="auto"/>
          <w:sz w:val="28"/>
          <w:szCs w:val="28"/>
          <w:highlight w:val="none"/>
        </w:rPr>
        <w:t>附件1</w:t>
      </w:r>
    </w:p>
    <w:p w14:paraId="75A79258">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4BD2D961">
      <w:pPr>
        <w:pStyle w:val="120"/>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6C300616">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3FB957D5">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79704F6A">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62C9C77A">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7C4A4A19">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63E13C5E">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303334F5">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7226A7A7">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30822F62">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69EF04FD">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108FBE61">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699F2BFD">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w:t>
      </w:r>
      <w:r>
        <w:rPr>
          <w:rFonts w:hint="eastAsia" w:ascii="宋体"/>
          <w:color w:val="auto"/>
          <w:sz w:val="24"/>
          <w:highlight w:val="none"/>
          <w:lang w:eastAsia="zh-CN"/>
        </w:rPr>
        <w:t>（</w:t>
      </w:r>
      <w:r>
        <w:rPr>
          <w:rFonts w:hint="eastAsia" w:ascii="宋体"/>
          <w:color w:val="auto"/>
          <w:sz w:val="24"/>
          <w:highlight w:val="none"/>
        </w:rPr>
        <w:t>项目名称、编号）投标文件，全权处理与该项目投标、评审答疑、签订合同以及与合同执行有关的一切事务，其法律后果由我方承担。</w:t>
      </w:r>
    </w:p>
    <w:p w14:paraId="0BB52CCC">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2EDFF50E">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5B9B118F">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69DE40A7">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0D96B49B">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1AA7BBB">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427D0AB5">
      <w:pPr>
        <w:spacing w:line="360" w:lineRule="exact"/>
        <w:ind w:firstLine="413" w:firstLineChars="147"/>
        <w:rPr>
          <w:rFonts w:hint="eastAsia"/>
          <w:b/>
          <w:color w:val="auto"/>
          <w:sz w:val="28"/>
          <w:szCs w:val="28"/>
          <w:highlight w:val="none"/>
          <w:u w:val="single"/>
        </w:rPr>
      </w:pPr>
    </w:p>
    <w:p w14:paraId="47680D3B">
      <w:pPr>
        <w:spacing w:line="360" w:lineRule="exact"/>
        <w:ind w:firstLine="413" w:firstLineChars="147"/>
        <w:rPr>
          <w:rFonts w:hint="eastAsia"/>
          <w:b/>
          <w:color w:val="auto"/>
          <w:sz w:val="28"/>
          <w:szCs w:val="28"/>
          <w:highlight w:val="none"/>
          <w:u w:val="single"/>
        </w:rPr>
      </w:pPr>
    </w:p>
    <w:p w14:paraId="48477964">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2890D0AE">
      <w:pPr>
        <w:spacing w:line="360" w:lineRule="auto"/>
        <w:jc w:val="center"/>
        <w:rPr>
          <w:rFonts w:hint="eastAsia"/>
          <w:b/>
          <w:color w:val="auto"/>
          <w:sz w:val="28"/>
          <w:szCs w:val="28"/>
          <w:highlight w:val="none"/>
        </w:rPr>
      </w:pPr>
      <w:bookmarkStart w:id="71" w:name="_Toc440443268"/>
      <w:bookmarkStart w:id="72" w:name="_Toc449028950"/>
      <w:r>
        <w:rPr>
          <w:rFonts w:hint="eastAsia"/>
          <w:b/>
          <w:color w:val="auto"/>
          <w:sz w:val="28"/>
          <w:szCs w:val="28"/>
          <w:highlight w:val="none"/>
        </w:rPr>
        <w:t>诚信投标承诺书 </w:t>
      </w:r>
    </w:p>
    <w:p w14:paraId="5FC4BD4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688C4AD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3909890F">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3EB44A8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0D16BFB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2C415BD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4D5AF97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14:paraId="2BB6AC2D">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51F973D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14C5211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6399FC2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3199B032">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2D8DEA4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2FFE63E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460CCEF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106D042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62BE0AD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0F8B5443">
      <w:pPr>
        <w:spacing w:line="500" w:lineRule="exact"/>
        <w:ind w:firstLine="420" w:firstLineChars="200"/>
        <w:rPr>
          <w:rFonts w:hint="eastAsia" w:ascii="宋体" w:hAnsi="宋体"/>
          <w:color w:val="auto"/>
          <w:szCs w:val="21"/>
          <w:highlight w:val="none"/>
        </w:rPr>
      </w:pPr>
    </w:p>
    <w:p w14:paraId="26CD09FF">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7634B614">
      <w:pPr>
        <w:spacing w:line="360" w:lineRule="auto"/>
        <w:jc w:val="center"/>
        <w:rPr>
          <w:rFonts w:hint="eastAsia"/>
          <w:b/>
          <w:color w:val="auto"/>
          <w:sz w:val="28"/>
          <w:szCs w:val="28"/>
          <w:highlight w:val="none"/>
        </w:rPr>
      </w:pPr>
    </w:p>
    <w:p w14:paraId="4208B35F">
      <w:pPr>
        <w:spacing w:line="360" w:lineRule="exact"/>
        <w:ind w:firstLine="443" w:firstLineChars="147"/>
        <w:rPr>
          <w:rFonts w:hint="eastAsia" w:ascii="宋体"/>
          <w:b/>
          <w:color w:val="auto"/>
          <w:sz w:val="30"/>
          <w:szCs w:val="30"/>
          <w:highlight w:val="none"/>
        </w:rPr>
      </w:pPr>
    </w:p>
    <w:p w14:paraId="60E30D5F">
      <w:pPr>
        <w:spacing w:line="360" w:lineRule="exact"/>
        <w:ind w:firstLine="443" w:firstLineChars="147"/>
        <w:rPr>
          <w:rFonts w:hint="eastAsia" w:ascii="宋体"/>
          <w:b/>
          <w:color w:val="auto"/>
          <w:sz w:val="30"/>
          <w:szCs w:val="30"/>
          <w:highlight w:val="none"/>
        </w:rPr>
      </w:pPr>
    </w:p>
    <w:p w14:paraId="4BCC4F46">
      <w:pPr>
        <w:spacing w:line="360" w:lineRule="exact"/>
        <w:ind w:firstLine="443" w:firstLineChars="147"/>
        <w:rPr>
          <w:rFonts w:hint="eastAsia" w:ascii="宋体"/>
          <w:b/>
          <w:color w:val="auto"/>
          <w:sz w:val="30"/>
          <w:szCs w:val="30"/>
          <w:highlight w:val="none"/>
        </w:rPr>
      </w:pPr>
    </w:p>
    <w:p w14:paraId="14FC7AE2">
      <w:pPr>
        <w:spacing w:line="360" w:lineRule="exact"/>
        <w:ind w:firstLine="443" w:firstLineChars="147"/>
        <w:rPr>
          <w:rFonts w:hint="eastAsia" w:ascii="宋体"/>
          <w:b/>
          <w:color w:val="auto"/>
          <w:sz w:val="30"/>
          <w:szCs w:val="30"/>
          <w:highlight w:val="none"/>
        </w:rPr>
      </w:pPr>
    </w:p>
    <w:p w14:paraId="12A30DB5">
      <w:pPr>
        <w:spacing w:line="360" w:lineRule="exact"/>
        <w:ind w:firstLine="443" w:firstLineChars="147"/>
        <w:rPr>
          <w:rFonts w:hint="eastAsia" w:ascii="宋体"/>
          <w:b/>
          <w:color w:val="auto"/>
          <w:sz w:val="30"/>
          <w:szCs w:val="30"/>
          <w:highlight w:val="none"/>
        </w:rPr>
      </w:pPr>
    </w:p>
    <w:p w14:paraId="201191B9">
      <w:pPr>
        <w:spacing w:line="360" w:lineRule="exact"/>
        <w:ind w:firstLine="443" w:firstLineChars="147"/>
        <w:rPr>
          <w:rFonts w:hint="eastAsia" w:ascii="宋体"/>
          <w:b/>
          <w:color w:val="auto"/>
          <w:sz w:val="30"/>
          <w:szCs w:val="30"/>
          <w:highlight w:val="none"/>
        </w:rPr>
      </w:pPr>
    </w:p>
    <w:p w14:paraId="660D4055">
      <w:pPr>
        <w:spacing w:line="360" w:lineRule="exact"/>
        <w:ind w:firstLine="443" w:firstLineChars="147"/>
        <w:rPr>
          <w:rFonts w:hint="eastAsia" w:ascii="宋体"/>
          <w:b/>
          <w:color w:val="auto"/>
          <w:sz w:val="30"/>
          <w:szCs w:val="30"/>
          <w:highlight w:val="none"/>
        </w:rPr>
      </w:pPr>
    </w:p>
    <w:p w14:paraId="21399F2E">
      <w:pPr>
        <w:spacing w:line="360" w:lineRule="exact"/>
        <w:ind w:firstLine="443" w:firstLineChars="147"/>
        <w:rPr>
          <w:rFonts w:hint="eastAsia" w:ascii="宋体"/>
          <w:b/>
          <w:color w:val="auto"/>
          <w:sz w:val="30"/>
          <w:szCs w:val="30"/>
          <w:highlight w:val="none"/>
        </w:rPr>
      </w:pPr>
    </w:p>
    <w:p w14:paraId="06A2C081">
      <w:pPr>
        <w:rPr>
          <w:rFonts w:hint="eastAsia" w:ascii="宋体"/>
          <w:b/>
          <w:color w:val="auto"/>
          <w:sz w:val="30"/>
          <w:szCs w:val="30"/>
          <w:highlight w:val="none"/>
        </w:rPr>
      </w:pPr>
      <w:r>
        <w:rPr>
          <w:rFonts w:hint="eastAsia" w:ascii="宋体"/>
          <w:b/>
          <w:color w:val="auto"/>
          <w:sz w:val="44"/>
          <w:szCs w:val="44"/>
          <w:highlight w:val="none"/>
          <w:lang w:val="en-US" w:eastAsia="zh-CN"/>
        </w:rPr>
        <w:br w:type="page"/>
      </w:r>
      <w:bookmarkEnd w:id="71"/>
      <w:bookmarkEnd w:id="72"/>
    </w:p>
    <w:p w14:paraId="5E858282">
      <w:pPr>
        <w:spacing w:line="360" w:lineRule="exact"/>
        <w:ind w:firstLine="443" w:firstLineChars="147"/>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3</w:t>
      </w:r>
    </w:p>
    <w:p w14:paraId="23353D38">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13B03063">
      <w:pPr>
        <w:spacing w:line="440" w:lineRule="exact"/>
        <w:rPr>
          <w:rFonts w:hint="eastAsia" w:ascii="宋体"/>
          <w:color w:val="auto"/>
          <w:sz w:val="24"/>
          <w:highlight w:val="none"/>
        </w:rPr>
      </w:pPr>
    </w:p>
    <w:p w14:paraId="7DB4BBAC">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rPr>
        <w:t>姓名和职务</w:t>
      </w:r>
      <w:r>
        <w:rPr>
          <w:rFonts w:hint="eastAsia" w:ascii="宋体" w:hAnsi="宋体" w:cs="宋体"/>
          <w:color w:val="auto"/>
          <w:sz w:val="24"/>
          <w:highlight w:val="none"/>
          <w:lang w:eastAsia="zh-CN"/>
        </w:rPr>
        <w:t>）</w:t>
      </w:r>
      <w:r>
        <w:rPr>
          <w:rFonts w:hint="eastAsia" w:ascii="宋体" w:hAnsi="宋体" w:cs="宋体"/>
          <w:color w:val="auto"/>
          <w:sz w:val="24"/>
          <w:highlight w:val="none"/>
        </w:rPr>
        <w:t>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0E4FC9EA">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（项目编号）”项目的货物与服务，总投标价为人民币（大写）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小写）              元。</w:t>
      </w:r>
      <w:r>
        <w:rPr>
          <w:rFonts w:hint="eastAsia" w:ascii="宋体" w:hAnsi="宋体" w:eastAsia="宋体" w:cs="宋体"/>
          <w:color w:val="auto"/>
          <w:kern w:val="0"/>
          <w:sz w:val="24"/>
          <w:szCs w:val="24"/>
          <w:highlight w:val="none"/>
          <w:u w:val="single"/>
          <w:lang w:val="en-US" w:eastAsia="zh-CN"/>
        </w:rPr>
        <w:t>开具增值税（专用/普通）发票，税率为    %。（注：投标人须明确开具增值税发票的类型，否则按无效标处理）</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  </w:t>
      </w:r>
    </w:p>
    <w:p w14:paraId="7F4AEFF3">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068B8949">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1767BD79">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6B196070">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3534B0DE">
      <w:pPr>
        <w:spacing w:line="440" w:lineRule="exact"/>
        <w:rPr>
          <w:rFonts w:hint="eastAsia" w:ascii="宋体"/>
          <w:color w:val="auto"/>
          <w:sz w:val="24"/>
          <w:highlight w:val="none"/>
        </w:rPr>
      </w:pPr>
      <w:r>
        <w:rPr>
          <w:rFonts w:hint="eastAsia" w:ascii="宋体"/>
          <w:color w:val="auto"/>
          <w:sz w:val="24"/>
          <w:highlight w:val="none"/>
        </w:rPr>
        <w:t> </w:t>
      </w:r>
    </w:p>
    <w:p w14:paraId="347EA830">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73911EDE">
      <w:pPr>
        <w:spacing w:line="440" w:lineRule="exact"/>
        <w:jc w:val="right"/>
        <w:rPr>
          <w:rFonts w:hint="eastAsia" w:ascii="宋体"/>
          <w:color w:val="auto"/>
          <w:sz w:val="24"/>
          <w:highlight w:val="none"/>
        </w:rPr>
      </w:pPr>
    </w:p>
    <w:p w14:paraId="2EE797F5">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687FB852">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125508D2">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024B6B03">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341AF316">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20C9FE22">
      <w:pPr>
        <w:spacing w:line="360" w:lineRule="exact"/>
        <w:rPr>
          <w:rFonts w:hint="eastAsia" w:ascii="宋体"/>
          <w:b/>
          <w:color w:val="auto"/>
          <w:sz w:val="28"/>
          <w:szCs w:val="28"/>
          <w:highlight w:val="none"/>
        </w:rPr>
      </w:pPr>
    </w:p>
    <w:p w14:paraId="5B2F503E">
      <w:pPr>
        <w:spacing w:line="440" w:lineRule="exact"/>
        <w:jc w:val="center"/>
        <w:outlineLvl w:val="0"/>
        <w:rPr>
          <w:rFonts w:hint="eastAsia" w:ascii="宋体"/>
          <w:b/>
          <w:color w:val="auto"/>
          <w:sz w:val="32"/>
          <w:szCs w:val="32"/>
          <w:highlight w:val="none"/>
        </w:rPr>
      </w:pPr>
      <w:r>
        <w:rPr>
          <w:rFonts w:hint="eastAsia" w:ascii="宋体"/>
          <w:b/>
          <w:color w:val="auto"/>
          <w:sz w:val="32"/>
          <w:szCs w:val="32"/>
          <w:highlight w:val="none"/>
        </w:rPr>
        <w:br w:type="page"/>
      </w:r>
      <w:bookmarkEnd w:id="67"/>
      <w:bookmarkEnd w:id="68"/>
      <w:bookmarkStart w:id="73" w:name="_Toc58430333"/>
      <w:bookmarkStart w:id="74" w:name="_Toc449028957"/>
      <w:r>
        <w:rPr>
          <w:rFonts w:hint="eastAsia" w:ascii="宋体"/>
          <w:b/>
          <w:color w:val="auto"/>
          <w:sz w:val="32"/>
          <w:szCs w:val="32"/>
          <w:highlight w:val="none"/>
          <w:lang w:val="en-US" w:eastAsia="zh-CN"/>
        </w:rPr>
        <w:t>招标人</w:t>
      </w:r>
      <w:r>
        <w:rPr>
          <w:rFonts w:hint="eastAsia" w:ascii="宋体"/>
          <w:b/>
          <w:color w:val="auto"/>
          <w:sz w:val="32"/>
          <w:szCs w:val="32"/>
          <w:highlight w:val="none"/>
        </w:rPr>
        <w:t>、</w:t>
      </w: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代理机构对本招标文件的确认</w:t>
      </w:r>
      <w:bookmarkEnd w:id="73"/>
      <w:bookmarkEnd w:id="74"/>
    </w:p>
    <w:p w14:paraId="5027823C">
      <w:pPr>
        <w:spacing w:line="440" w:lineRule="exact"/>
        <w:rPr>
          <w:rFonts w:hint="eastAsia" w:ascii="宋体"/>
          <w:color w:val="auto"/>
          <w:sz w:val="24"/>
          <w:highlight w:val="none"/>
          <w:u w:val="single"/>
        </w:rPr>
      </w:pPr>
    </w:p>
    <w:tbl>
      <w:tblPr>
        <w:tblStyle w:val="35"/>
        <w:tblW w:w="0" w:type="auto"/>
        <w:jc w:val="center"/>
        <w:tblLayout w:type="fixed"/>
        <w:tblCellMar>
          <w:top w:w="0" w:type="dxa"/>
          <w:left w:w="108" w:type="dxa"/>
          <w:bottom w:w="0" w:type="dxa"/>
          <w:right w:w="108" w:type="dxa"/>
        </w:tblCellMar>
      </w:tblPr>
      <w:tblGrid>
        <w:gridCol w:w="9374"/>
      </w:tblGrid>
      <w:tr w14:paraId="13D90243">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20497CDC">
            <w:pPr>
              <w:spacing w:line="440" w:lineRule="exact"/>
              <w:ind w:firstLine="560" w:firstLineChars="200"/>
              <w:rPr>
                <w:rFonts w:hint="eastAsia" w:ascii="宋体" w:cs="宋体"/>
                <w:color w:val="auto"/>
                <w:sz w:val="28"/>
                <w:szCs w:val="28"/>
                <w:highlight w:val="none"/>
              </w:rPr>
            </w:pPr>
          </w:p>
          <w:p w14:paraId="1A304B5C">
            <w:pPr>
              <w:spacing w:line="360" w:lineRule="auto"/>
              <w:ind w:firstLine="560" w:firstLineChars="200"/>
              <w:rPr>
                <w:rFonts w:hint="eastAsia" w:ascii="宋体" w:hAnsi="宋体" w:cs="宋体"/>
                <w:color w:val="auto"/>
                <w:sz w:val="28"/>
                <w:szCs w:val="28"/>
                <w:highlight w:val="none"/>
              </w:rPr>
            </w:pPr>
            <w:r>
              <w:rPr>
                <w:rFonts w:hint="eastAsia" w:ascii="宋体" w:cs="宋体"/>
                <w:color w:val="auto"/>
                <w:sz w:val="28"/>
                <w:szCs w:val="28"/>
                <w:highlight w:val="none"/>
              </w:rPr>
              <w:t>我单位对</w:t>
            </w:r>
            <w:r>
              <w:rPr>
                <w:rFonts w:hint="eastAsia" w:ascii="宋体" w:cs="宋体"/>
                <w:color w:val="auto"/>
                <w:sz w:val="28"/>
                <w:szCs w:val="28"/>
                <w:highlight w:val="none"/>
                <w:u w:val="single"/>
                <w:lang w:val="en-US" w:eastAsia="zh-CN"/>
              </w:rPr>
              <w:t>滁州市扬子工业投资集团有限公司资产评估服务项目</w:t>
            </w:r>
            <w:r>
              <w:rPr>
                <w:rFonts w:hint="eastAsia" w:ascii="宋体" w:cs="宋体"/>
                <w:color w:val="auto"/>
                <w:sz w:val="28"/>
                <w:szCs w:val="28"/>
                <w:highlight w:val="none"/>
              </w:rPr>
              <w:t>的招标文件进行确认。</w:t>
            </w:r>
          </w:p>
          <w:p w14:paraId="0C4687CA">
            <w:pPr>
              <w:spacing w:line="360" w:lineRule="auto"/>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招标单位：</w:t>
            </w:r>
            <w:r>
              <w:rPr>
                <w:rFonts w:hint="eastAsia" w:ascii="宋体" w:hAnsi="宋体" w:cs="宋体"/>
                <w:color w:val="auto"/>
                <w:sz w:val="28"/>
                <w:szCs w:val="28"/>
                <w:highlight w:val="none"/>
                <w:lang w:eastAsia="zh-CN"/>
              </w:rPr>
              <w:t>滁州市扬子工业投资集团有限公司</w:t>
            </w:r>
          </w:p>
          <w:p w14:paraId="3D57C6E7">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委托代理人：</w:t>
            </w:r>
            <w:r>
              <w:rPr>
                <w:rFonts w:hint="eastAsia" w:ascii="宋体" w:hAnsi="宋体" w:cs="宋体"/>
                <w:color w:val="auto"/>
                <w:sz w:val="28"/>
                <w:szCs w:val="28"/>
                <w:highlight w:val="none"/>
                <w:lang w:val="en-US" w:eastAsia="zh-CN"/>
              </w:rPr>
              <w:t>杜永军</w:t>
            </w:r>
          </w:p>
          <w:p w14:paraId="2B5CDFF0">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联系电话：</w:t>
            </w:r>
            <w:r>
              <w:rPr>
                <w:rFonts w:hint="eastAsia" w:ascii="宋体" w:hAnsi="宋体" w:cs="宋体"/>
                <w:color w:val="auto"/>
                <w:sz w:val="28"/>
                <w:szCs w:val="28"/>
                <w:highlight w:val="none"/>
                <w:lang w:val="en-US" w:eastAsia="zh-CN"/>
              </w:rPr>
              <w:t xml:space="preserve"> 0550-3018129</w:t>
            </w:r>
          </w:p>
          <w:p w14:paraId="1D843A94">
            <w:pPr>
              <w:spacing w:line="540" w:lineRule="exact"/>
              <w:ind w:firstLine="7140" w:firstLineChars="2550"/>
              <w:rPr>
                <w:rFonts w:hint="eastAsia" w:ascii="宋体" w:cs="宋体"/>
                <w:color w:val="auto"/>
                <w:sz w:val="28"/>
                <w:szCs w:val="28"/>
                <w:highlight w:val="none"/>
              </w:rPr>
            </w:pPr>
          </w:p>
          <w:p w14:paraId="20049E5F">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14:paraId="684171B5">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w:t>
            </w:r>
            <w:r>
              <w:rPr>
                <w:rFonts w:hint="eastAsia" w:ascii="宋体" w:cs="宋体"/>
                <w:color w:val="auto"/>
                <w:sz w:val="28"/>
                <w:szCs w:val="28"/>
                <w:highlight w:val="none"/>
                <w:lang w:val="en-US" w:eastAsia="zh-CN"/>
              </w:rPr>
              <w:t>24</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10</w:t>
            </w:r>
            <w:r>
              <w:rPr>
                <w:rFonts w:hint="eastAsia" w:ascii="宋体" w:cs="宋体"/>
                <w:color w:val="auto"/>
                <w:sz w:val="28"/>
                <w:szCs w:val="28"/>
                <w:highlight w:val="none"/>
              </w:rPr>
              <w:t>月</w:t>
            </w:r>
          </w:p>
        </w:tc>
      </w:tr>
      <w:tr w14:paraId="42C5D9C9">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11C4FDF6">
            <w:pPr>
              <w:spacing w:line="440" w:lineRule="exact"/>
              <w:rPr>
                <w:rFonts w:hint="eastAsia" w:ascii="宋体" w:cs="宋体"/>
                <w:color w:val="auto"/>
                <w:sz w:val="28"/>
                <w:szCs w:val="28"/>
                <w:highlight w:val="none"/>
              </w:rPr>
            </w:pPr>
          </w:p>
          <w:p w14:paraId="5FF0FB7A">
            <w:pPr>
              <w:spacing w:line="520" w:lineRule="exact"/>
              <w:ind w:firstLine="560" w:firstLineChars="200"/>
              <w:rPr>
                <w:rFonts w:hint="eastAsia" w:ascii="宋体" w:eastAsia="宋体" w:cs="宋体"/>
                <w:color w:val="auto"/>
                <w:sz w:val="28"/>
                <w:szCs w:val="28"/>
                <w:highlight w:val="none"/>
                <w:lang w:eastAsia="zh-CN"/>
              </w:rPr>
            </w:pPr>
            <w:r>
              <w:rPr>
                <w:rFonts w:hint="eastAsia" w:ascii="宋体" w:cs="宋体"/>
                <w:color w:val="auto"/>
                <w:sz w:val="28"/>
                <w:szCs w:val="28"/>
                <w:highlight w:val="none"/>
              </w:rPr>
              <w:t>招标代理机构：</w:t>
            </w:r>
            <w:r>
              <w:rPr>
                <w:rFonts w:hint="eastAsia" w:ascii="宋体" w:cs="宋体"/>
                <w:color w:val="auto"/>
                <w:sz w:val="28"/>
                <w:szCs w:val="28"/>
                <w:highlight w:val="none"/>
                <w:lang w:eastAsia="zh-CN"/>
              </w:rPr>
              <w:t>滁州市城投工程咨询管理有限公司</w:t>
            </w:r>
          </w:p>
          <w:p w14:paraId="01A35B99">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经办人：杨韦</w:t>
            </w:r>
          </w:p>
          <w:p w14:paraId="22684045">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电  话：0550-3519590、18005501210</w:t>
            </w:r>
          </w:p>
          <w:p w14:paraId="686E5825">
            <w:pPr>
              <w:spacing w:line="520" w:lineRule="exact"/>
              <w:ind w:firstLine="6300" w:firstLineChars="2250"/>
              <w:rPr>
                <w:rFonts w:hint="eastAsia" w:ascii="宋体" w:cs="宋体"/>
                <w:color w:val="auto"/>
                <w:sz w:val="28"/>
                <w:szCs w:val="28"/>
                <w:highlight w:val="none"/>
              </w:rPr>
            </w:pPr>
          </w:p>
          <w:p w14:paraId="69784CCD">
            <w:pPr>
              <w:pStyle w:val="2"/>
              <w:rPr>
                <w:rFonts w:hint="eastAsia"/>
                <w:color w:val="auto"/>
                <w:highlight w:val="none"/>
              </w:rPr>
            </w:pPr>
          </w:p>
          <w:p w14:paraId="1B93EB1E">
            <w:pPr>
              <w:spacing w:line="520" w:lineRule="exact"/>
              <w:ind w:firstLine="6580" w:firstLineChars="2350"/>
              <w:rPr>
                <w:rFonts w:hint="eastAsia" w:ascii="宋体" w:cs="宋体"/>
                <w:color w:val="auto"/>
                <w:sz w:val="28"/>
                <w:szCs w:val="28"/>
                <w:highlight w:val="none"/>
              </w:rPr>
            </w:pPr>
          </w:p>
          <w:p w14:paraId="588D1772">
            <w:pPr>
              <w:spacing w:line="52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14:paraId="2F1F8B8A">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w:t>
            </w:r>
            <w:r>
              <w:rPr>
                <w:rFonts w:hint="eastAsia" w:ascii="宋体" w:cs="宋体"/>
                <w:color w:val="auto"/>
                <w:sz w:val="28"/>
                <w:szCs w:val="28"/>
                <w:highlight w:val="none"/>
                <w:lang w:val="en-US" w:eastAsia="zh-CN"/>
              </w:rPr>
              <w:t>24</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10</w:t>
            </w:r>
            <w:r>
              <w:rPr>
                <w:rFonts w:hint="eastAsia" w:ascii="宋体" w:cs="宋体"/>
                <w:color w:val="auto"/>
                <w:sz w:val="28"/>
                <w:szCs w:val="28"/>
                <w:highlight w:val="none"/>
              </w:rPr>
              <w:t>月</w:t>
            </w:r>
          </w:p>
        </w:tc>
      </w:tr>
      <w:bookmarkEnd w:id="0"/>
    </w:tbl>
    <w:p w14:paraId="7CFD80ED">
      <w:pPr>
        <w:rPr>
          <w:color w:val="auto"/>
          <w:highlight w:val="none"/>
        </w:rPr>
      </w:pPr>
    </w:p>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DokChampa">
    <w:altName w:val="Leelawadee UI"/>
    <w:panose1 w:val="020B0604020202020204"/>
    <w:charset w:val="00"/>
    <w:family w:val="swiss"/>
    <w:pitch w:val="default"/>
    <w:sig w:usb0="00000000" w:usb1="00000000" w:usb2="00000000" w:usb3="00000000" w:csb0="4001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893CA">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8C98D">
    <w:pPr>
      <w:pStyle w:val="23"/>
      <w:framePr w:wrap="around" w:vAnchor="text" w:hAnchor="margin" w:xAlign="center" w:y="1"/>
      <w:tabs>
        <w:tab w:val="clear" w:pos="4153"/>
        <w:tab w:val="clear" w:pos="8306"/>
      </w:tabs>
      <w:rPr>
        <w:rStyle w:val="39"/>
      </w:rPr>
    </w:pPr>
    <w:r>
      <w:fldChar w:fldCharType="begin"/>
    </w:r>
    <w:r>
      <w:rPr>
        <w:rStyle w:val="39"/>
      </w:rPr>
      <w:instrText xml:space="preserve">PAGE  </w:instrText>
    </w:r>
    <w:r>
      <w:fldChar w:fldCharType="separate"/>
    </w:r>
    <w:r>
      <w:t xml:space="preserve"> </w:t>
    </w:r>
    <w:r>
      <w:fldChar w:fldCharType="end"/>
    </w:r>
  </w:p>
  <w:p w14:paraId="72930192">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EF4EC">
    <w:pPr>
      <w:pStyle w:val="23"/>
      <w:framePr w:wrap="around" w:vAnchor="text" w:hAnchor="margin" w:xAlign="center" w:y="1"/>
      <w:tabs>
        <w:tab w:val="clear" w:pos="4153"/>
        <w:tab w:val="clear" w:pos="8306"/>
      </w:tabs>
      <w:rPr>
        <w:rStyle w:val="39"/>
        <w:rFonts w:hint="eastAsia"/>
      </w:rPr>
    </w:pPr>
  </w:p>
  <w:p w14:paraId="4E2F41FC">
    <w:pPr>
      <w:pStyle w:val="23"/>
      <w:tabs>
        <w:tab w:val="clear" w:pos="4153"/>
        <w:tab w:val="clear" w:pos="8306"/>
      </w:tabs>
      <w:rPr>
        <w:rFonts w:hint="eastAsia"/>
        <w:szCs w:val="21"/>
      </w:rPr>
    </w:pPr>
  </w:p>
  <w:p w14:paraId="00C9D172">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EC170">
    <w:pPr>
      <w:pStyle w:val="23"/>
      <w:tabs>
        <w:tab w:val="clear" w:pos="4153"/>
        <w:tab w:val="clear" w:pos="8306"/>
      </w:tabs>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277F78">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2277F78">
                    <w:pPr>
                      <w:pStyle w:val="2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C6825">
    <w:pPr>
      <w:pStyle w:val="23"/>
      <w:tabs>
        <w:tab w:val="clear" w:pos="4153"/>
        <w:tab w:val="clear" w:pos="8306"/>
      </w:tabs>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4272C1">
                          <w:pPr>
                            <w:pStyle w:val="23"/>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34272C1">
                    <w:pPr>
                      <w:pStyle w:val="23"/>
                    </w:pPr>
                    <w:r>
                      <w:fldChar w:fldCharType="begin"/>
                    </w:r>
                    <w:r>
                      <w:instrText xml:space="preserve"> PAGE  \* MERGEFORMAT </w:instrText>
                    </w:r>
                    <w:r>
                      <w:fldChar w:fldCharType="separate"/>
                    </w:r>
                    <w:r>
                      <w:t>23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94D35">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2E6F9">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DA03F">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DC3CD">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7"/>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2"/>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0"/>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7">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7"/>
  </w:num>
  <w:num w:numId="4">
    <w:abstractNumId w:val="3"/>
  </w:num>
  <w:num w:numId="5">
    <w:abstractNumId w:val="4"/>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84108D"/>
    <w:rsid w:val="02846ED2"/>
    <w:rsid w:val="02922C89"/>
    <w:rsid w:val="029F0F02"/>
    <w:rsid w:val="02AB3F80"/>
    <w:rsid w:val="02F92D08"/>
    <w:rsid w:val="02FF011F"/>
    <w:rsid w:val="0306625F"/>
    <w:rsid w:val="0314369E"/>
    <w:rsid w:val="032B6C3A"/>
    <w:rsid w:val="0332792D"/>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7F276C"/>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E7569"/>
    <w:rsid w:val="069717B9"/>
    <w:rsid w:val="06D0451E"/>
    <w:rsid w:val="06DA6FC6"/>
    <w:rsid w:val="06EB6E0C"/>
    <w:rsid w:val="06F34B4B"/>
    <w:rsid w:val="06FF299A"/>
    <w:rsid w:val="070A729C"/>
    <w:rsid w:val="07342561"/>
    <w:rsid w:val="073C599D"/>
    <w:rsid w:val="073E5575"/>
    <w:rsid w:val="074128B0"/>
    <w:rsid w:val="074A10F8"/>
    <w:rsid w:val="0761194E"/>
    <w:rsid w:val="076432D3"/>
    <w:rsid w:val="07702E6D"/>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43FF8"/>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06AB6"/>
    <w:rsid w:val="0DF465A6"/>
    <w:rsid w:val="0DFC545B"/>
    <w:rsid w:val="0E004116"/>
    <w:rsid w:val="0E077E36"/>
    <w:rsid w:val="0E0E22E1"/>
    <w:rsid w:val="0E256CE7"/>
    <w:rsid w:val="0E554C8F"/>
    <w:rsid w:val="0E5A2C39"/>
    <w:rsid w:val="0E736B11"/>
    <w:rsid w:val="0E7F3562"/>
    <w:rsid w:val="0E8E126E"/>
    <w:rsid w:val="0EBD2885"/>
    <w:rsid w:val="0EC34B2B"/>
    <w:rsid w:val="0ECA6B2D"/>
    <w:rsid w:val="0ECB5D10"/>
    <w:rsid w:val="0ECC1E18"/>
    <w:rsid w:val="0EE11257"/>
    <w:rsid w:val="0EE35EF2"/>
    <w:rsid w:val="0EEE7499"/>
    <w:rsid w:val="0EEF38D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C304B2"/>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D8720C"/>
    <w:rsid w:val="11E20E0C"/>
    <w:rsid w:val="11EB5F12"/>
    <w:rsid w:val="11F63B39"/>
    <w:rsid w:val="11F811A4"/>
    <w:rsid w:val="121534BC"/>
    <w:rsid w:val="1218482D"/>
    <w:rsid w:val="12321755"/>
    <w:rsid w:val="12392DC6"/>
    <w:rsid w:val="123A0C48"/>
    <w:rsid w:val="125735A8"/>
    <w:rsid w:val="125E4649"/>
    <w:rsid w:val="12653E6A"/>
    <w:rsid w:val="127658D7"/>
    <w:rsid w:val="12864FA7"/>
    <w:rsid w:val="12957C2C"/>
    <w:rsid w:val="12A04F4F"/>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317C5"/>
    <w:rsid w:val="15063688"/>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6B1B5B"/>
    <w:rsid w:val="188056B2"/>
    <w:rsid w:val="1887731B"/>
    <w:rsid w:val="18A312F5"/>
    <w:rsid w:val="18A71570"/>
    <w:rsid w:val="18AF5EEB"/>
    <w:rsid w:val="18B06992"/>
    <w:rsid w:val="18BF29A5"/>
    <w:rsid w:val="18C43019"/>
    <w:rsid w:val="18CE5C46"/>
    <w:rsid w:val="18D95C4B"/>
    <w:rsid w:val="18E33521"/>
    <w:rsid w:val="18EB67F8"/>
    <w:rsid w:val="18FA4C8D"/>
    <w:rsid w:val="18FF7748"/>
    <w:rsid w:val="19133920"/>
    <w:rsid w:val="191E097B"/>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37F0"/>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3330B"/>
    <w:rsid w:val="1D0C2883"/>
    <w:rsid w:val="1D3B1144"/>
    <w:rsid w:val="1D44297A"/>
    <w:rsid w:val="1D4E4561"/>
    <w:rsid w:val="1D703128"/>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A57D72"/>
    <w:rsid w:val="1EB06519"/>
    <w:rsid w:val="1EB458DE"/>
    <w:rsid w:val="1EC00497"/>
    <w:rsid w:val="1EDA5344"/>
    <w:rsid w:val="1EE613D0"/>
    <w:rsid w:val="1EF1268E"/>
    <w:rsid w:val="1EF21855"/>
    <w:rsid w:val="1EF501D6"/>
    <w:rsid w:val="1F1830CB"/>
    <w:rsid w:val="1F1D4CEA"/>
    <w:rsid w:val="1F3431EF"/>
    <w:rsid w:val="1F412ACD"/>
    <w:rsid w:val="1F896D6A"/>
    <w:rsid w:val="1FA51C58"/>
    <w:rsid w:val="1FA7649E"/>
    <w:rsid w:val="1FBE7B22"/>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9D6DB5"/>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87037"/>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E4723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33470"/>
    <w:rsid w:val="290B259E"/>
    <w:rsid w:val="291D0C4F"/>
    <w:rsid w:val="2924258A"/>
    <w:rsid w:val="29274E04"/>
    <w:rsid w:val="293F46A3"/>
    <w:rsid w:val="29516F20"/>
    <w:rsid w:val="296D1EE4"/>
    <w:rsid w:val="29944EB8"/>
    <w:rsid w:val="299C4433"/>
    <w:rsid w:val="29B35041"/>
    <w:rsid w:val="29CE346A"/>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6F0090"/>
    <w:rsid w:val="2EA63495"/>
    <w:rsid w:val="2EBA0298"/>
    <w:rsid w:val="2EBF09B3"/>
    <w:rsid w:val="2ED22F7C"/>
    <w:rsid w:val="2ED73784"/>
    <w:rsid w:val="2EDF3673"/>
    <w:rsid w:val="2EE213C2"/>
    <w:rsid w:val="2EFC30B5"/>
    <w:rsid w:val="2F486989"/>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747DE"/>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66BAC"/>
    <w:rsid w:val="33A37FA3"/>
    <w:rsid w:val="33B73A4E"/>
    <w:rsid w:val="33B946F2"/>
    <w:rsid w:val="33B95A18"/>
    <w:rsid w:val="33D4718D"/>
    <w:rsid w:val="33E54418"/>
    <w:rsid w:val="33F07509"/>
    <w:rsid w:val="33F627C9"/>
    <w:rsid w:val="341A5E10"/>
    <w:rsid w:val="34272982"/>
    <w:rsid w:val="342804A8"/>
    <w:rsid w:val="343C7EFD"/>
    <w:rsid w:val="34472085"/>
    <w:rsid w:val="34572B3B"/>
    <w:rsid w:val="346A286F"/>
    <w:rsid w:val="3474193F"/>
    <w:rsid w:val="347A4AA6"/>
    <w:rsid w:val="34BA5036"/>
    <w:rsid w:val="34BC5AFA"/>
    <w:rsid w:val="34D337DA"/>
    <w:rsid w:val="34D6600F"/>
    <w:rsid w:val="34EE34A0"/>
    <w:rsid w:val="34F07218"/>
    <w:rsid w:val="34FA7F15"/>
    <w:rsid w:val="34FB24F0"/>
    <w:rsid w:val="352930DB"/>
    <w:rsid w:val="353B59DD"/>
    <w:rsid w:val="35534E88"/>
    <w:rsid w:val="35633752"/>
    <w:rsid w:val="3569521C"/>
    <w:rsid w:val="35823489"/>
    <w:rsid w:val="35897E8C"/>
    <w:rsid w:val="35953A4C"/>
    <w:rsid w:val="35A66D4C"/>
    <w:rsid w:val="35B5404A"/>
    <w:rsid w:val="35CA6E6E"/>
    <w:rsid w:val="35CC2BA6"/>
    <w:rsid w:val="35F950CF"/>
    <w:rsid w:val="35FA1CB2"/>
    <w:rsid w:val="36050AA1"/>
    <w:rsid w:val="361E1B63"/>
    <w:rsid w:val="361E6D32"/>
    <w:rsid w:val="36301896"/>
    <w:rsid w:val="36320657"/>
    <w:rsid w:val="36321AB2"/>
    <w:rsid w:val="36673AC2"/>
    <w:rsid w:val="3683401A"/>
    <w:rsid w:val="369D7707"/>
    <w:rsid w:val="36AB2FBA"/>
    <w:rsid w:val="36C3270A"/>
    <w:rsid w:val="3700570C"/>
    <w:rsid w:val="371448CE"/>
    <w:rsid w:val="371D2877"/>
    <w:rsid w:val="372A0A3B"/>
    <w:rsid w:val="372A4537"/>
    <w:rsid w:val="373C4996"/>
    <w:rsid w:val="374A1E98"/>
    <w:rsid w:val="37533C0B"/>
    <w:rsid w:val="375F68D7"/>
    <w:rsid w:val="376712E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506C62"/>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D4741F"/>
    <w:rsid w:val="3CFB3A43"/>
    <w:rsid w:val="3CFB661F"/>
    <w:rsid w:val="3D0B626C"/>
    <w:rsid w:val="3D0F4D1C"/>
    <w:rsid w:val="3D487A50"/>
    <w:rsid w:val="3D5139EC"/>
    <w:rsid w:val="3D7A6218"/>
    <w:rsid w:val="3D8552FA"/>
    <w:rsid w:val="3D8C367A"/>
    <w:rsid w:val="3DB039E8"/>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73E43"/>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5E7BF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666D6B"/>
    <w:rsid w:val="427E4A81"/>
    <w:rsid w:val="428C524B"/>
    <w:rsid w:val="42927D62"/>
    <w:rsid w:val="429B3874"/>
    <w:rsid w:val="429F5DD9"/>
    <w:rsid w:val="42AD499A"/>
    <w:rsid w:val="42B61086"/>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5455A1"/>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39206F"/>
    <w:rsid w:val="475D3DAD"/>
    <w:rsid w:val="479C5383"/>
    <w:rsid w:val="479F646B"/>
    <w:rsid w:val="47A56FB4"/>
    <w:rsid w:val="47AD7CF1"/>
    <w:rsid w:val="47D67F88"/>
    <w:rsid w:val="4803505C"/>
    <w:rsid w:val="480831B5"/>
    <w:rsid w:val="480B4A09"/>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EC1AE4"/>
    <w:rsid w:val="49FA66B9"/>
    <w:rsid w:val="4A003601"/>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16322"/>
    <w:rsid w:val="4B6A463C"/>
    <w:rsid w:val="4B8967B2"/>
    <w:rsid w:val="4B902FB1"/>
    <w:rsid w:val="4B9E0E3F"/>
    <w:rsid w:val="4BB63B5B"/>
    <w:rsid w:val="4BB9615E"/>
    <w:rsid w:val="4BCC283D"/>
    <w:rsid w:val="4BD35E6D"/>
    <w:rsid w:val="4BDC1E4C"/>
    <w:rsid w:val="4BE1231B"/>
    <w:rsid w:val="4BFF5353"/>
    <w:rsid w:val="4C1F6EFC"/>
    <w:rsid w:val="4C231829"/>
    <w:rsid w:val="4C2F265F"/>
    <w:rsid w:val="4C5B5DF1"/>
    <w:rsid w:val="4C6D6DCE"/>
    <w:rsid w:val="4C752052"/>
    <w:rsid w:val="4C7D3694"/>
    <w:rsid w:val="4C9F27AB"/>
    <w:rsid w:val="4CBD4A44"/>
    <w:rsid w:val="4CD40D75"/>
    <w:rsid w:val="4CDE3815"/>
    <w:rsid w:val="4D012DED"/>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A0464D"/>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A6695C"/>
    <w:rsid w:val="52B8492E"/>
    <w:rsid w:val="52CD201A"/>
    <w:rsid w:val="52DB316A"/>
    <w:rsid w:val="52DF5523"/>
    <w:rsid w:val="52EE334D"/>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AF412E"/>
    <w:rsid w:val="55B24181"/>
    <w:rsid w:val="55B96238"/>
    <w:rsid w:val="55DD63E8"/>
    <w:rsid w:val="560501F2"/>
    <w:rsid w:val="56443DEE"/>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41C75"/>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20384C"/>
    <w:rsid w:val="5A447687"/>
    <w:rsid w:val="5A4C2893"/>
    <w:rsid w:val="5A603305"/>
    <w:rsid w:val="5A701838"/>
    <w:rsid w:val="5A7732C0"/>
    <w:rsid w:val="5A8156DE"/>
    <w:rsid w:val="5ADF3707"/>
    <w:rsid w:val="5AE3249E"/>
    <w:rsid w:val="5AE56545"/>
    <w:rsid w:val="5AE92129"/>
    <w:rsid w:val="5AF102AB"/>
    <w:rsid w:val="5B0F5D9A"/>
    <w:rsid w:val="5B163201"/>
    <w:rsid w:val="5B1A473F"/>
    <w:rsid w:val="5B2E3D47"/>
    <w:rsid w:val="5B37709F"/>
    <w:rsid w:val="5B6149A2"/>
    <w:rsid w:val="5B636D7E"/>
    <w:rsid w:val="5B7A6DEA"/>
    <w:rsid w:val="5B7E6A7C"/>
    <w:rsid w:val="5BA20303"/>
    <w:rsid w:val="5BB26726"/>
    <w:rsid w:val="5BB926FC"/>
    <w:rsid w:val="5BBE50CA"/>
    <w:rsid w:val="5BCF1086"/>
    <w:rsid w:val="5BF54320"/>
    <w:rsid w:val="5C1633F6"/>
    <w:rsid w:val="5C246971"/>
    <w:rsid w:val="5C4867F4"/>
    <w:rsid w:val="5C6737F1"/>
    <w:rsid w:val="5C9C18B0"/>
    <w:rsid w:val="5C9E7970"/>
    <w:rsid w:val="5CBD1826"/>
    <w:rsid w:val="5CC37F37"/>
    <w:rsid w:val="5CE45005"/>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602534E"/>
    <w:rsid w:val="66065FEC"/>
    <w:rsid w:val="660A5F17"/>
    <w:rsid w:val="660C7EB8"/>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AD290B"/>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7F5203E"/>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86BD3"/>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B32"/>
    <w:rsid w:val="6B036F9E"/>
    <w:rsid w:val="6B311795"/>
    <w:rsid w:val="6B3B7B7B"/>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E309C1"/>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B08D3"/>
    <w:rsid w:val="702F13E2"/>
    <w:rsid w:val="70335C2F"/>
    <w:rsid w:val="704C1556"/>
    <w:rsid w:val="705D5373"/>
    <w:rsid w:val="707D50FC"/>
    <w:rsid w:val="707E0FD5"/>
    <w:rsid w:val="70867402"/>
    <w:rsid w:val="70A95654"/>
    <w:rsid w:val="70C312D3"/>
    <w:rsid w:val="70D43718"/>
    <w:rsid w:val="70D9384C"/>
    <w:rsid w:val="70F73101"/>
    <w:rsid w:val="7116172E"/>
    <w:rsid w:val="71241D10"/>
    <w:rsid w:val="712437CA"/>
    <w:rsid w:val="712D0854"/>
    <w:rsid w:val="713421BA"/>
    <w:rsid w:val="713B389B"/>
    <w:rsid w:val="713C4FB8"/>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3857C5"/>
    <w:rsid w:val="745B4F58"/>
    <w:rsid w:val="748527D2"/>
    <w:rsid w:val="74921493"/>
    <w:rsid w:val="74A509B1"/>
    <w:rsid w:val="74B01B4A"/>
    <w:rsid w:val="74CA3328"/>
    <w:rsid w:val="74DA2B1D"/>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065E4C"/>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0E1773"/>
    <w:rsid w:val="7B110428"/>
    <w:rsid w:val="7B113011"/>
    <w:rsid w:val="7B205002"/>
    <w:rsid w:val="7B220D7A"/>
    <w:rsid w:val="7B22521E"/>
    <w:rsid w:val="7B2F5349"/>
    <w:rsid w:val="7B5666FB"/>
    <w:rsid w:val="7B5C232E"/>
    <w:rsid w:val="7B5E12BB"/>
    <w:rsid w:val="7B637C47"/>
    <w:rsid w:val="7BA43E85"/>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A23236"/>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4"/>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5"/>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6"/>
    <w:qFormat/>
    <w:uiPriority w:val="0"/>
    <w:pPr>
      <w:keepNext/>
      <w:keepLines/>
      <w:spacing w:before="280" w:after="290" w:line="376" w:lineRule="auto"/>
      <w:outlineLvl w:val="4"/>
    </w:pPr>
    <w:rPr>
      <w:b/>
      <w:bCs/>
      <w:sz w:val="28"/>
      <w:szCs w:val="28"/>
    </w:rPr>
  </w:style>
  <w:style w:type="paragraph" w:styleId="11">
    <w:name w:val="heading 6"/>
    <w:basedOn w:val="1"/>
    <w:next w:val="1"/>
    <w:link w:val="57"/>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8"/>
    <w:qFormat/>
    <w:uiPriority w:val="0"/>
    <w:pPr>
      <w:keepNext/>
      <w:keepLines/>
      <w:spacing w:before="240" w:after="64" w:line="320" w:lineRule="auto"/>
      <w:outlineLvl w:val="6"/>
    </w:pPr>
    <w:rPr>
      <w:b/>
      <w:bCs/>
      <w:sz w:val="24"/>
    </w:rPr>
  </w:style>
  <w:style w:type="character" w:default="1" w:styleId="37">
    <w:name w:val="Default Paragraph Font"/>
    <w:autoRedefine/>
    <w:semiHidden/>
    <w:qFormat/>
    <w:uiPriority w:val="0"/>
  </w:style>
  <w:style w:type="table" w:default="1" w:styleId="3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link w:val="53"/>
    <w:autoRedefine/>
    <w:qFormat/>
    <w:uiPriority w:val="0"/>
    <w:pPr>
      <w:ind w:left="420" w:firstLine="420" w:firstLineChars="200"/>
    </w:pPr>
  </w:style>
  <w:style w:type="paragraph" w:styleId="3">
    <w:name w:val="Body Text Indent"/>
    <w:basedOn w:val="1"/>
    <w:next w:val="4"/>
    <w:link w:val="52"/>
    <w:autoRedefine/>
    <w:qFormat/>
    <w:uiPriority w:val="0"/>
    <w:pPr>
      <w:spacing w:after="120"/>
      <w:ind w:left="20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autoRedefine/>
    <w:qFormat/>
    <w:uiPriority w:val="39"/>
    <w:pPr>
      <w:ind w:left="1260"/>
      <w:jc w:val="left"/>
    </w:pPr>
    <w:rPr>
      <w:sz w:val="18"/>
      <w:szCs w:val="18"/>
    </w:rPr>
  </w:style>
  <w:style w:type="paragraph" w:styleId="13">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9"/>
    <w:autoRedefine/>
    <w:qFormat/>
    <w:uiPriority w:val="0"/>
    <w:pPr>
      <w:jc w:val="left"/>
    </w:pPr>
  </w:style>
  <w:style w:type="paragraph" w:styleId="16">
    <w:name w:val="Body Text"/>
    <w:basedOn w:val="1"/>
    <w:semiHidden/>
    <w:qFormat/>
    <w:uiPriority w:val="0"/>
    <w:pPr>
      <w:spacing w:after="120"/>
    </w:pPr>
  </w:style>
  <w:style w:type="paragraph" w:styleId="17">
    <w:name w:val="toc 3"/>
    <w:basedOn w:val="1"/>
    <w:next w:val="1"/>
    <w:qFormat/>
    <w:uiPriority w:val="39"/>
    <w:pPr>
      <w:tabs>
        <w:tab w:val="right" w:leader="dot" w:pos="9288"/>
      </w:tabs>
      <w:ind w:left="400" w:leftChars="400"/>
    </w:pPr>
    <w:rPr>
      <w:rFonts w:ascii="宋体"/>
    </w:rPr>
  </w:style>
  <w:style w:type="paragraph" w:styleId="18">
    <w:name w:val="Plain Text"/>
    <w:basedOn w:val="1"/>
    <w:next w:val="1"/>
    <w:link w:val="60"/>
    <w:qFormat/>
    <w:uiPriority w:val="99"/>
    <w:rPr>
      <w:rFonts w:ascii="宋体"/>
      <w:color w:val="000000"/>
      <w:szCs w:val="20"/>
      <w:u w:val="none" w:color="000000"/>
    </w:rPr>
  </w:style>
  <w:style w:type="paragraph" w:styleId="19">
    <w:name w:val="Date"/>
    <w:basedOn w:val="1"/>
    <w:next w:val="1"/>
    <w:link w:val="61"/>
    <w:autoRedefine/>
    <w:qFormat/>
    <w:uiPriority w:val="0"/>
    <w:rPr>
      <w:rFonts w:ascii="Arial" w:hAnsi="Arial" w:eastAsia="仿宋_GB2312"/>
      <w:color w:val="000000"/>
      <w:sz w:val="32"/>
      <w:szCs w:val="20"/>
      <w:u w:val="none" w:color="000000"/>
    </w:rPr>
  </w:style>
  <w:style w:type="paragraph" w:styleId="20">
    <w:name w:val="Body Text Indent 2"/>
    <w:basedOn w:val="1"/>
    <w:link w:val="62"/>
    <w:qFormat/>
    <w:uiPriority w:val="0"/>
    <w:pPr>
      <w:spacing w:after="120" w:line="480" w:lineRule="auto"/>
      <w:ind w:left="420" w:leftChars="200"/>
    </w:pPr>
  </w:style>
  <w:style w:type="paragraph" w:styleId="21">
    <w:name w:val="endnote text"/>
    <w:basedOn w:val="1"/>
    <w:autoRedefine/>
    <w:qFormat/>
    <w:uiPriority w:val="99"/>
    <w:pPr>
      <w:snapToGrid w:val="0"/>
    </w:pPr>
    <w:rPr>
      <w:rFonts w:ascii="仿宋" w:hAnsi="仿宋"/>
    </w:rPr>
  </w:style>
  <w:style w:type="paragraph" w:styleId="22">
    <w:name w:val="Balloon Text"/>
    <w:basedOn w:val="1"/>
    <w:link w:val="63"/>
    <w:autoRedefine/>
    <w:qFormat/>
    <w:uiPriority w:val="0"/>
    <w:rPr>
      <w:sz w:val="18"/>
      <w:szCs w:val="18"/>
    </w:rPr>
  </w:style>
  <w:style w:type="paragraph" w:styleId="23">
    <w:name w:val="footer"/>
    <w:basedOn w:val="1"/>
    <w:link w:val="64"/>
    <w:qFormat/>
    <w:uiPriority w:val="0"/>
    <w:pPr>
      <w:tabs>
        <w:tab w:val="center" w:pos="4153"/>
        <w:tab w:val="right" w:pos="8306"/>
      </w:tabs>
      <w:snapToGrid w:val="0"/>
      <w:jc w:val="left"/>
    </w:pPr>
    <w:rPr>
      <w:sz w:val="18"/>
      <w:szCs w:val="18"/>
    </w:rPr>
  </w:style>
  <w:style w:type="paragraph" w:styleId="24">
    <w:name w:val="header"/>
    <w:basedOn w:val="1"/>
    <w:link w:val="65"/>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39"/>
  </w:style>
  <w:style w:type="paragraph" w:styleId="26">
    <w:name w:val="Subtitle"/>
    <w:basedOn w:val="1"/>
    <w:next w:val="1"/>
    <w:autoRedefine/>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autoRedefine/>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qFormat/>
    <w:uiPriority w:val="39"/>
    <w:pPr>
      <w:ind w:left="200" w:leftChars="200"/>
    </w:pPr>
  </w:style>
  <w:style w:type="paragraph" w:styleId="29">
    <w:name w:val="Normal (Web)"/>
    <w:basedOn w:val="1"/>
    <w:next w:val="30"/>
    <w:autoRedefine/>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autoRedefine/>
    <w:qFormat/>
    <w:uiPriority w:val="0"/>
    <w:pPr>
      <w:ind w:left="240"/>
    </w:pPr>
    <w:rPr>
      <w:sz w:val="16"/>
    </w:rPr>
  </w:style>
  <w:style w:type="paragraph" w:styleId="31">
    <w:name w:val="index 1"/>
    <w:basedOn w:val="1"/>
    <w:next w:val="1"/>
    <w:autoRedefine/>
    <w:qFormat/>
    <w:uiPriority w:val="0"/>
    <w:pPr>
      <w:jc w:val="center"/>
    </w:pPr>
    <w:rPr>
      <w:rFonts w:ascii="Arial" w:hAnsi="Arial" w:eastAsia="Arial" w:cs="Arial"/>
      <w:b/>
      <w:bCs/>
      <w:sz w:val="28"/>
    </w:rPr>
  </w:style>
  <w:style w:type="paragraph" w:styleId="32">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6"/>
    <w:qFormat/>
    <w:uiPriority w:val="0"/>
    <w:rPr>
      <w:b/>
      <w:bCs/>
    </w:rPr>
  </w:style>
  <w:style w:type="paragraph" w:styleId="34">
    <w:name w:val="Body Text First Indent"/>
    <w:basedOn w:val="16"/>
    <w:unhideWhenUsed/>
    <w:qFormat/>
    <w:uiPriority w:val="99"/>
    <w:pPr>
      <w:ind w:firstLine="420" w:firstLineChars="1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autoRedefine/>
    <w:qFormat/>
    <w:uiPriority w:val="0"/>
    <w:rPr>
      <w:b/>
    </w:rPr>
  </w:style>
  <w:style w:type="character" w:styleId="39">
    <w:name w:val="page number"/>
    <w:autoRedefine/>
    <w:qFormat/>
    <w:uiPriority w:val="0"/>
  </w:style>
  <w:style w:type="character" w:styleId="40">
    <w:name w:val="FollowedHyperlink"/>
    <w:autoRedefine/>
    <w:qFormat/>
    <w:uiPriority w:val="0"/>
    <w:rPr>
      <w:color w:val="333333"/>
      <w:u w:val="none"/>
    </w:rPr>
  </w:style>
  <w:style w:type="character" w:styleId="41">
    <w:name w:val="Emphasis"/>
    <w:qFormat/>
    <w:uiPriority w:val="20"/>
    <w:rPr>
      <w:i/>
      <w:iCs/>
    </w:rPr>
  </w:style>
  <w:style w:type="character" w:styleId="42">
    <w:name w:val="HTML Definition"/>
    <w:qFormat/>
    <w:uiPriority w:val="0"/>
  </w:style>
  <w:style w:type="character" w:styleId="43">
    <w:name w:val="HTML Typewriter"/>
    <w:autoRedefine/>
    <w:qFormat/>
    <w:uiPriority w:val="0"/>
    <w:rPr>
      <w:rFonts w:ascii="monospace" w:hAnsi="monospace" w:eastAsia="monospace" w:cs="monospace"/>
      <w:sz w:val="20"/>
    </w:rPr>
  </w:style>
  <w:style w:type="character" w:styleId="44">
    <w:name w:val="HTML Acronym"/>
    <w:autoRedefine/>
    <w:qFormat/>
    <w:uiPriority w:val="0"/>
  </w:style>
  <w:style w:type="character" w:styleId="45">
    <w:name w:val="HTML Variable"/>
    <w:qFormat/>
    <w:uiPriority w:val="0"/>
  </w:style>
  <w:style w:type="character" w:styleId="46">
    <w:name w:val="Hyperlink"/>
    <w:qFormat/>
    <w:uiPriority w:val="99"/>
    <w:rPr>
      <w:color w:val="333333"/>
      <w:u w:val="none"/>
    </w:rPr>
  </w:style>
  <w:style w:type="character" w:styleId="47">
    <w:name w:val="HTML Code"/>
    <w:autoRedefine/>
    <w:qFormat/>
    <w:uiPriority w:val="0"/>
    <w:rPr>
      <w:rFonts w:hint="default" w:ascii="monospace" w:hAnsi="monospace" w:eastAsia="monospace" w:cs="monospace"/>
      <w:sz w:val="20"/>
    </w:rPr>
  </w:style>
  <w:style w:type="character" w:styleId="48">
    <w:name w:val="annotation reference"/>
    <w:autoRedefine/>
    <w:qFormat/>
    <w:uiPriority w:val="0"/>
    <w:rPr>
      <w:sz w:val="21"/>
      <w:szCs w:val="21"/>
    </w:rPr>
  </w:style>
  <w:style w:type="character" w:styleId="49">
    <w:name w:val="HTML Cite"/>
    <w:autoRedefine/>
    <w:qFormat/>
    <w:uiPriority w:val="0"/>
  </w:style>
  <w:style w:type="character" w:styleId="50">
    <w:name w:val="HTML Keyboard"/>
    <w:qFormat/>
    <w:uiPriority w:val="0"/>
    <w:rPr>
      <w:rFonts w:hint="default" w:ascii="monospace" w:hAnsi="monospace" w:eastAsia="monospace" w:cs="monospace"/>
      <w:sz w:val="20"/>
    </w:rPr>
  </w:style>
  <w:style w:type="character" w:styleId="51">
    <w:name w:val="HTML Sample"/>
    <w:qFormat/>
    <w:uiPriority w:val="0"/>
    <w:rPr>
      <w:rFonts w:hint="default" w:ascii="monospace" w:hAnsi="monospace" w:eastAsia="monospace" w:cs="monospace"/>
    </w:rPr>
  </w:style>
  <w:style w:type="character" w:customStyle="1" w:styleId="52">
    <w:name w:val="正文文本缩进 字符"/>
    <w:link w:val="3"/>
    <w:autoRedefine/>
    <w:qFormat/>
    <w:uiPriority w:val="0"/>
    <w:rPr>
      <w:kern w:val="2"/>
      <w:sz w:val="21"/>
      <w:szCs w:val="24"/>
    </w:rPr>
  </w:style>
  <w:style w:type="character" w:customStyle="1" w:styleId="53">
    <w:name w:val="正文文本首行缩进 2 字符"/>
    <w:link w:val="2"/>
    <w:autoRedefine/>
    <w:qFormat/>
    <w:uiPriority w:val="0"/>
  </w:style>
  <w:style w:type="character" w:customStyle="1" w:styleId="54">
    <w:name w:val="标题 1 字符"/>
    <w:link w:val="6"/>
    <w:autoRedefine/>
    <w:qFormat/>
    <w:uiPriority w:val="0"/>
    <w:rPr>
      <w:b/>
      <w:bCs/>
      <w:kern w:val="44"/>
      <w:sz w:val="44"/>
      <w:szCs w:val="44"/>
    </w:rPr>
  </w:style>
  <w:style w:type="character" w:customStyle="1" w:styleId="55">
    <w:name w:val="标题 4 字符"/>
    <w:link w:val="9"/>
    <w:autoRedefine/>
    <w:qFormat/>
    <w:locked/>
    <w:uiPriority w:val="0"/>
    <w:rPr>
      <w:rFonts w:ascii="Arial" w:hAnsi="Arial" w:eastAsia="黑体"/>
      <w:b/>
      <w:bCs/>
      <w:color w:val="000000"/>
      <w:sz w:val="28"/>
      <w:szCs w:val="28"/>
      <w:u w:val="none" w:color="000000"/>
      <w:lang w:val="en-US" w:eastAsia="zh-CN" w:bidi="ar-SA"/>
    </w:rPr>
  </w:style>
  <w:style w:type="character" w:customStyle="1" w:styleId="56">
    <w:name w:val="标题 5 字符"/>
    <w:link w:val="10"/>
    <w:semiHidden/>
    <w:qFormat/>
    <w:uiPriority w:val="0"/>
    <w:rPr>
      <w:b/>
      <w:bCs/>
      <w:kern w:val="2"/>
      <w:sz w:val="28"/>
      <w:szCs w:val="28"/>
    </w:rPr>
  </w:style>
  <w:style w:type="character" w:customStyle="1" w:styleId="57">
    <w:name w:val="标题 6 字符"/>
    <w:link w:val="11"/>
    <w:semiHidden/>
    <w:qFormat/>
    <w:uiPriority w:val="0"/>
    <w:rPr>
      <w:rFonts w:ascii="Cambria" w:hAnsi="Cambria" w:eastAsia="宋体" w:cs="Times New Roman"/>
      <w:b/>
      <w:bCs/>
      <w:kern w:val="2"/>
      <w:sz w:val="24"/>
      <w:szCs w:val="24"/>
    </w:rPr>
  </w:style>
  <w:style w:type="character" w:customStyle="1" w:styleId="58">
    <w:name w:val="标题 7 字符"/>
    <w:link w:val="12"/>
    <w:semiHidden/>
    <w:qFormat/>
    <w:uiPriority w:val="0"/>
    <w:rPr>
      <w:b/>
      <w:bCs/>
      <w:kern w:val="2"/>
      <w:sz w:val="24"/>
      <w:szCs w:val="24"/>
    </w:rPr>
  </w:style>
  <w:style w:type="character" w:customStyle="1" w:styleId="59">
    <w:name w:val="批注文字 字符"/>
    <w:link w:val="15"/>
    <w:qFormat/>
    <w:uiPriority w:val="0"/>
    <w:rPr>
      <w:kern w:val="2"/>
      <w:sz w:val="21"/>
      <w:szCs w:val="24"/>
    </w:rPr>
  </w:style>
  <w:style w:type="character" w:customStyle="1" w:styleId="60">
    <w:name w:val="纯文本 字符"/>
    <w:link w:val="18"/>
    <w:qFormat/>
    <w:uiPriority w:val="99"/>
    <w:rPr>
      <w:rFonts w:ascii="宋体" w:eastAsia="宋体"/>
      <w:color w:val="000000"/>
      <w:kern w:val="2"/>
      <w:sz w:val="21"/>
      <w:u w:val="none" w:color="000000"/>
      <w:lang w:val="en-US" w:eastAsia="zh-CN" w:bidi="ar-SA"/>
    </w:rPr>
  </w:style>
  <w:style w:type="character" w:customStyle="1" w:styleId="61">
    <w:name w:val="日期 字符"/>
    <w:link w:val="19"/>
    <w:qFormat/>
    <w:uiPriority w:val="0"/>
    <w:rPr>
      <w:rFonts w:ascii="Arial" w:hAnsi="Arial" w:eastAsia="仿宋_GB2312"/>
      <w:color w:val="000000"/>
      <w:kern w:val="2"/>
      <w:sz w:val="32"/>
      <w:u w:val="none" w:color="000000"/>
    </w:rPr>
  </w:style>
  <w:style w:type="character" w:customStyle="1" w:styleId="62">
    <w:name w:val="正文文本缩进 2 字符"/>
    <w:link w:val="20"/>
    <w:autoRedefine/>
    <w:qFormat/>
    <w:uiPriority w:val="0"/>
    <w:rPr>
      <w:kern w:val="2"/>
      <w:sz w:val="21"/>
      <w:szCs w:val="24"/>
    </w:rPr>
  </w:style>
  <w:style w:type="character" w:customStyle="1" w:styleId="63">
    <w:name w:val="批注框文本 字符"/>
    <w:link w:val="22"/>
    <w:qFormat/>
    <w:uiPriority w:val="0"/>
    <w:rPr>
      <w:kern w:val="2"/>
      <w:sz w:val="18"/>
      <w:szCs w:val="18"/>
    </w:rPr>
  </w:style>
  <w:style w:type="character" w:customStyle="1" w:styleId="64">
    <w:name w:val="页脚 字符"/>
    <w:link w:val="23"/>
    <w:autoRedefine/>
    <w:qFormat/>
    <w:locked/>
    <w:uiPriority w:val="0"/>
    <w:rPr>
      <w:kern w:val="2"/>
      <w:sz w:val="18"/>
      <w:szCs w:val="18"/>
    </w:rPr>
  </w:style>
  <w:style w:type="character" w:customStyle="1" w:styleId="65">
    <w:name w:val="页眉 字符"/>
    <w:link w:val="24"/>
    <w:qFormat/>
    <w:locked/>
    <w:uiPriority w:val="0"/>
    <w:rPr>
      <w:kern w:val="2"/>
      <w:sz w:val="18"/>
      <w:szCs w:val="18"/>
    </w:rPr>
  </w:style>
  <w:style w:type="character" w:customStyle="1" w:styleId="66">
    <w:name w:val="批注主题 字符"/>
    <w:link w:val="33"/>
    <w:autoRedefine/>
    <w:qFormat/>
    <w:uiPriority w:val="0"/>
    <w:rPr>
      <w:b/>
      <w:bCs/>
      <w:kern w:val="2"/>
      <w:sz w:val="21"/>
      <w:szCs w:val="24"/>
    </w:rPr>
  </w:style>
  <w:style w:type="character" w:customStyle="1" w:styleId="67">
    <w:name w:val="font121"/>
    <w:autoRedefine/>
    <w:qFormat/>
    <w:uiPriority w:val="0"/>
    <w:rPr>
      <w:rFonts w:hint="eastAsia" w:ascii="宋体" w:hAnsi="宋体" w:eastAsia="宋体" w:cs="宋体"/>
      <w:color w:val="000000"/>
      <w:sz w:val="24"/>
      <w:szCs w:val="24"/>
      <w:u w:val="none"/>
    </w:rPr>
  </w:style>
  <w:style w:type="character" w:customStyle="1" w:styleId="68">
    <w:name w:val="font141"/>
    <w:qFormat/>
    <w:uiPriority w:val="0"/>
    <w:rPr>
      <w:rFonts w:ascii="Arial" w:hAnsi="Arial" w:cs="Arial"/>
      <w:color w:val="000000"/>
      <w:sz w:val="24"/>
      <w:szCs w:val="24"/>
      <w:u w:val="none"/>
    </w:rPr>
  </w:style>
  <w:style w:type="character" w:customStyle="1" w:styleId="69">
    <w:name w:val="_37aak"/>
    <w:autoRedefine/>
    <w:qFormat/>
    <w:uiPriority w:val="0"/>
  </w:style>
  <w:style w:type="character" w:customStyle="1" w:styleId="70">
    <w:name w:val="图表 Char"/>
    <w:link w:val="71"/>
    <w:qFormat/>
    <w:uiPriority w:val="0"/>
    <w:rPr>
      <w:kern w:val="2"/>
      <w:sz w:val="21"/>
      <w:szCs w:val="21"/>
    </w:rPr>
  </w:style>
  <w:style w:type="paragraph" w:customStyle="1" w:styleId="71">
    <w:name w:val="图表"/>
    <w:basedOn w:val="1"/>
    <w:next w:val="1"/>
    <w:link w:val="70"/>
    <w:autoRedefine/>
    <w:qFormat/>
    <w:uiPriority w:val="0"/>
    <w:pPr>
      <w:jc w:val="center"/>
    </w:pPr>
    <w:rPr>
      <w:szCs w:val="21"/>
    </w:rPr>
  </w:style>
  <w:style w:type="character" w:customStyle="1" w:styleId="72">
    <w:name w:val="font01"/>
    <w:qFormat/>
    <w:uiPriority w:val="0"/>
    <w:rPr>
      <w:rFonts w:hint="eastAsia" w:ascii="宋体" w:hAnsi="宋体" w:eastAsia="宋体" w:cs="宋体"/>
      <w:color w:val="000000"/>
      <w:sz w:val="22"/>
      <w:szCs w:val="22"/>
      <w:u w:val="none"/>
    </w:rPr>
  </w:style>
  <w:style w:type="character" w:customStyle="1" w:styleId="73">
    <w:name w:val="hover4"/>
    <w:autoRedefine/>
    <w:qFormat/>
    <w:uiPriority w:val="0"/>
    <w:rPr>
      <w:color w:val="2590EB"/>
      <w:shd w:val="clear" w:color="auto" w:fill="E9F4FD"/>
    </w:rPr>
  </w:style>
  <w:style w:type="character" w:customStyle="1" w:styleId="74">
    <w:name w:val="font101"/>
    <w:qFormat/>
    <w:uiPriority w:val="0"/>
    <w:rPr>
      <w:rFonts w:hint="eastAsia" w:ascii="宋体" w:hAnsi="宋体" w:eastAsia="宋体" w:cs="宋体"/>
      <w:color w:val="000000"/>
      <w:sz w:val="18"/>
      <w:szCs w:val="18"/>
      <w:u w:val="none"/>
    </w:rPr>
  </w:style>
  <w:style w:type="character" w:customStyle="1" w:styleId="75">
    <w:name w:val="font161"/>
    <w:qFormat/>
    <w:uiPriority w:val="0"/>
    <w:rPr>
      <w:rFonts w:hint="eastAsia" w:ascii="宋体" w:hAnsi="宋体" w:eastAsia="宋体" w:cs="宋体"/>
      <w:b/>
      <w:bCs/>
      <w:color w:val="333333"/>
      <w:sz w:val="27"/>
      <w:szCs w:val="27"/>
      <w:u w:val="none"/>
    </w:rPr>
  </w:style>
  <w:style w:type="character" w:customStyle="1" w:styleId="76">
    <w:name w:val="first-child"/>
    <w:qFormat/>
    <w:uiPriority w:val="0"/>
  </w:style>
  <w:style w:type="character" w:customStyle="1" w:styleId="77">
    <w:name w:val="【正文】 Char"/>
    <w:link w:val="78"/>
    <w:qFormat/>
    <w:uiPriority w:val="0"/>
    <w:rPr>
      <w:rFonts w:cs="DokChampa"/>
      <w:kern w:val="2"/>
      <w:sz w:val="24"/>
      <w:szCs w:val="22"/>
    </w:rPr>
  </w:style>
  <w:style w:type="paragraph" w:customStyle="1" w:styleId="78">
    <w:name w:val="【正文】"/>
    <w:basedOn w:val="1"/>
    <w:link w:val="77"/>
    <w:autoRedefine/>
    <w:qFormat/>
    <w:uiPriority w:val="0"/>
    <w:pPr>
      <w:spacing w:line="360" w:lineRule="auto"/>
      <w:ind w:firstLine="480" w:firstLineChars="200"/>
    </w:pPr>
    <w:rPr>
      <w:sz w:val="24"/>
      <w:szCs w:val="22"/>
    </w:rPr>
  </w:style>
  <w:style w:type="character" w:customStyle="1" w:styleId="79">
    <w:name w:val="font131"/>
    <w:qFormat/>
    <w:uiPriority w:val="0"/>
    <w:rPr>
      <w:rFonts w:ascii="仿宋" w:hAnsi="仿宋" w:eastAsia="仿宋" w:cs="仿宋"/>
      <w:color w:val="000000"/>
      <w:sz w:val="24"/>
      <w:szCs w:val="24"/>
      <w:u w:val="none"/>
    </w:rPr>
  </w:style>
  <w:style w:type="character" w:customStyle="1" w:styleId="80">
    <w:name w:val="font181"/>
    <w:qFormat/>
    <w:uiPriority w:val="0"/>
    <w:rPr>
      <w:rFonts w:hint="eastAsia" w:ascii="宋体" w:hAnsi="宋体" w:eastAsia="宋体" w:cs="宋体"/>
      <w:color w:val="1A66B3"/>
      <w:sz w:val="18"/>
      <w:szCs w:val="18"/>
      <w:u w:val="none"/>
    </w:rPr>
  </w:style>
  <w:style w:type="character" w:customStyle="1" w:styleId="81">
    <w:name w:val="hover3"/>
    <w:qFormat/>
    <w:uiPriority w:val="0"/>
  </w:style>
  <w:style w:type="character" w:customStyle="1" w:styleId="82">
    <w:name w:val="font112"/>
    <w:autoRedefine/>
    <w:qFormat/>
    <w:uiPriority w:val="0"/>
    <w:rPr>
      <w:rFonts w:ascii="Verdana" w:hAnsi="Verdana" w:cs="Verdana"/>
      <w:color w:val="000000"/>
      <w:sz w:val="18"/>
      <w:szCs w:val="18"/>
      <w:u w:val="none"/>
    </w:rPr>
  </w:style>
  <w:style w:type="character" w:customStyle="1" w:styleId="83">
    <w:name w:val="font81"/>
    <w:qFormat/>
    <w:uiPriority w:val="0"/>
    <w:rPr>
      <w:rFonts w:hint="default" w:ascii="Verdana" w:hAnsi="Verdana" w:cs="Verdana"/>
      <w:color w:val="000000"/>
      <w:sz w:val="18"/>
      <w:szCs w:val="18"/>
      <w:u w:val="none"/>
    </w:rPr>
  </w:style>
  <w:style w:type="character" w:customStyle="1" w:styleId="84">
    <w:name w:val="hover"/>
    <w:qFormat/>
    <w:uiPriority w:val="0"/>
    <w:rPr>
      <w:color w:val="2590EB"/>
      <w:shd w:val="clear" w:color="auto" w:fill="E9F4FD"/>
    </w:rPr>
  </w:style>
  <w:style w:type="character" w:customStyle="1" w:styleId="85">
    <w:name w:val="font41"/>
    <w:autoRedefine/>
    <w:qFormat/>
    <w:uiPriority w:val="0"/>
    <w:rPr>
      <w:rFonts w:hint="eastAsia" w:ascii="宋体" w:hAnsi="宋体" w:eastAsia="宋体" w:cs="宋体"/>
      <w:color w:val="000000"/>
      <w:sz w:val="22"/>
      <w:szCs w:val="22"/>
      <w:u w:val="none"/>
    </w:rPr>
  </w:style>
  <w:style w:type="character" w:customStyle="1" w:styleId="86">
    <w:name w:val="hover2"/>
    <w:qFormat/>
    <w:uiPriority w:val="0"/>
    <w:rPr>
      <w:color w:val="2590EB"/>
    </w:rPr>
  </w:style>
  <w:style w:type="character" w:customStyle="1" w:styleId="87">
    <w:name w:val="hover1"/>
    <w:qFormat/>
    <w:uiPriority w:val="0"/>
    <w:rPr>
      <w:color w:val="2590EB"/>
    </w:rPr>
  </w:style>
  <w:style w:type="character" w:customStyle="1" w:styleId="88">
    <w:name w:val="first-child1"/>
    <w:autoRedefine/>
    <w:qFormat/>
    <w:uiPriority w:val="0"/>
  </w:style>
  <w:style w:type="character" w:customStyle="1" w:styleId="89">
    <w:name w:val="selected"/>
    <w:qFormat/>
    <w:uiPriority w:val="0"/>
    <w:rPr>
      <w:shd w:val="clear" w:color="auto" w:fill="B00006"/>
    </w:rPr>
  </w:style>
  <w:style w:type="character" w:customStyle="1" w:styleId="90">
    <w:name w:val="gpa"/>
    <w:autoRedefine/>
    <w:qFormat/>
    <w:uiPriority w:val="0"/>
    <w:rPr>
      <w:rFonts w:ascii="Arial" w:hAnsi="Arial" w:cs="Arial"/>
      <w:sz w:val="15"/>
      <w:szCs w:val="15"/>
    </w:rPr>
  </w:style>
  <w:style w:type="character" w:customStyle="1" w:styleId="91">
    <w:name w:val="apple-converted-space"/>
    <w:qFormat/>
    <w:uiPriority w:val="0"/>
  </w:style>
  <w:style w:type="character" w:customStyle="1" w:styleId="92">
    <w:name w:val="列出段落 Char"/>
    <w:link w:val="93"/>
    <w:autoRedefine/>
    <w:qFormat/>
    <w:locked/>
    <w:uiPriority w:val="0"/>
    <w:rPr>
      <w:rFonts w:ascii="Calibri" w:hAnsi="Calibri" w:eastAsia="宋体"/>
      <w:kern w:val="2"/>
      <w:sz w:val="21"/>
      <w:szCs w:val="22"/>
      <w:lang w:val="en-US" w:eastAsia="zh-CN" w:bidi="ar-SA"/>
    </w:rPr>
  </w:style>
  <w:style w:type="paragraph" w:customStyle="1" w:styleId="93">
    <w:name w:val="List Paragraph1"/>
    <w:basedOn w:val="1"/>
    <w:link w:val="92"/>
    <w:qFormat/>
    <w:uiPriority w:val="0"/>
    <w:pPr>
      <w:spacing w:line="312" w:lineRule="auto"/>
      <w:ind w:firstLine="420" w:firstLineChars="200"/>
    </w:pPr>
    <w:rPr>
      <w:rFonts w:ascii="Calibri" w:hAnsi="Calibri"/>
      <w:szCs w:val="22"/>
    </w:rPr>
  </w:style>
  <w:style w:type="character" w:customStyle="1" w:styleId="94">
    <w:name w:val="displayarti"/>
    <w:qFormat/>
    <w:uiPriority w:val="0"/>
    <w:rPr>
      <w:color w:val="FFFFFF"/>
      <w:shd w:val="clear" w:color="auto" w:fill="A00000"/>
    </w:rPr>
  </w:style>
  <w:style w:type="character" w:customStyle="1" w:styleId="95">
    <w:name w:val="正文首行缩进 2 Char1"/>
    <w:autoRedefine/>
    <w:qFormat/>
    <w:uiPriority w:val="0"/>
  </w:style>
  <w:style w:type="character" w:customStyle="1" w:styleId="96">
    <w:name w:val="layui-this"/>
    <w:autoRedefine/>
    <w:qFormat/>
    <w:uiPriority w:val="0"/>
    <w:rPr>
      <w:bdr w:val="single" w:color="EEEEEE" w:sz="6" w:space="0"/>
      <w:shd w:val="clear" w:color="auto" w:fill="FFFFFF"/>
    </w:rPr>
  </w:style>
  <w:style w:type="character" w:customStyle="1" w:styleId="97">
    <w:name w:val="font151"/>
    <w:autoRedefine/>
    <w:qFormat/>
    <w:uiPriority w:val="0"/>
    <w:rPr>
      <w:rFonts w:hint="default" w:ascii="Verdana" w:hAnsi="Verdana" w:cs="Verdana"/>
      <w:b/>
      <w:bCs/>
      <w:color w:val="333333"/>
      <w:sz w:val="27"/>
      <w:szCs w:val="27"/>
      <w:u w:val="none"/>
    </w:rPr>
  </w:style>
  <w:style w:type="character" w:customStyle="1" w:styleId="98">
    <w:name w:val="font171"/>
    <w:autoRedefine/>
    <w:qFormat/>
    <w:uiPriority w:val="0"/>
    <w:rPr>
      <w:rFonts w:hint="eastAsia" w:ascii="宋体" w:hAnsi="宋体" w:eastAsia="宋体" w:cs="宋体"/>
      <w:color w:val="646464"/>
      <w:sz w:val="18"/>
      <w:szCs w:val="18"/>
      <w:u w:val="none"/>
    </w:rPr>
  </w:style>
  <w:style w:type="character" w:customStyle="1" w:styleId="99">
    <w:name w:val="hover7"/>
    <w:autoRedefine/>
    <w:qFormat/>
    <w:uiPriority w:val="0"/>
    <w:rPr>
      <w:color w:val="315EFB"/>
    </w:rPr>
  </w:style>
  <w:style w:type="paragraph" w:customStyle="1" w:styleId="100">
    <w:name w:val="列表2"/>
    <w:basedOn w:val="1"/>
    <w:next w:val="1"/>
    <w:qFormat/>
    <w:uiPriority w:val="0"/>
    <w:pPr>
      <w:numPr>
        <w:ilvl w:val="0"/>
        <w:numId w:val="5"/>
      </w:numPr>
      <w:spacing w:line="200" w:lineRule="atLeast"/>
    </w:pPr>
    <w:rPr>
      <w:rFonts w:eastAsia="仿宋"/>
      <w:sz w:val="28"/>
    </w:rPr>
  </w:style>
  <w:style w:type="paragraph" w:customStyle="1" w:styleId="101">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2">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3">
    <w:name w:val="Char"/>
    <w:basedOn w:val="1"/>
    <w:next w:val="1"/>
    <w:autoRedefine/>
    <w:qFormat/>
    <w:uiPriority w:val="0"/>
    <w:pPr>
      <w:widowControl/>
      <w:spacing w:line="360" w:lineRule="auto"/>
      <w:jc w:val="left"/>
    </w:pPr>
    <w:rPr>
      <w:kern w:val="0"/>
      <w:szCs w:val="20"/>
      <w:lang w:eastAsia="en-US"/>
    </w:rPr>
  </w:style>
  <w:style w:type="paragraph" w:customStyle="1" w:styleId="104">
    <w:name w:val="样式1"/>
    <w:basedOn w:val="1"/>
    <w:qFormat/>
    <w:uiPriority w:val="0"/>
    <w:pPr>
      <w:spacing w:line="360" w:lineRule="auto"/>
      <w:jc w:val="center"/>
    </w:pPr>
    <w:rPr>
      <w:rFonts w:ascii="Times New Roman" w:hAnsi="Times New Roman" w:cs="Times New Roman"/>
      <w:b/>
      <w:sz w:val="30"/>
      <w:szCs w:val="30"/>
    </w:rPr>
  </w:style>
  <w:style w:type="paragraph" w:customStyle="1" w:styleId="105">
    <w:name w:val=" Char Char Char Char"/>
    <w:basedOn w:val="1"/>
    <w:qFormat/>
    <w:uiPriority w:val="0"/>
    <w:rPr>
      <w:rFonts w:ascii="Tahoma" w:hAnsi="Tahoma"/>
      <w:sz w:val="24"/>
      <w:szCs w:val="20"/>
    </w:rPr>
  </w:style>
  <w:style w:type="paragraph" w:customStyle="1" w:styleId="106">
    <w:name w:val="_Style 4"/>
    <w:basedOn w:val="1"/>
    <w:qFormat/>
    <w:uiPriority w:val="34"/>
    <w:pPr>
      <w:adjustRightInd w:val="0"/>
      <w:ind w:firstLine="420" w:firstLineChars="200"/>
      <w:jc w:val="left"/>
      <w:textAlignment w:val="baseline"/>
    </w:pPr>
    <w:rPr>
      <w:kern w:val="0"/>
      <w:szCs w:val="20"/>
    </w:rPr>
  </w:style>
  <w:style w:type="paragraph" w:customStyle="1" w:styleId="107">
    <w:name w:val="列出段落2"/>
    <w:basedOn w:val="1"/>
    <w:autoRedefine/>
    <w:qFormat/>
    <w:uiPriority w:val="0"/>
    <w:pPr>
      <w:ind w:firstLine="420" w:firstLineChars="200"/>
    </w:pPr>
    <w:rPr>
      <w:rFonts w:ascii="Calibri" w:hAnsi="Calibri"/>
      <w:szCs w:val="22"/>
    </w:rPr>
  </w:style>
  <w:style w:type="paragraph" w:customStyle="1" w:styleId="108">
    <w:name w:val="列出段落11"/>
    <w:basedOn w:val="1"/>
    <w:qFormat/>
    <w:uiPriority w:val="0"/>
    <w:pPr>
      <w:spacing w:after="120" w:line="360" w:lineRule="auto"/>
      <w:ind w:firstLine="420" w:firstLineChars="200"/>
    </w:pPr>
    <w:rPr>
      <w:rFonts w:ascii="Calibri" w:hAnsi="Calibri"/>
      <w:szCs w:val="22"/>
    </w:rPr>
  </w:style>
  <w:style w:type="paragraph" w:customStyle="1" w:styleId="109">
    <w:name w:val="xl25"/>
    <w:basedOn w:val="1"/>
    <w:autoRedefine/>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0">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1">
    <w:name w:val="Table Paragraph"/>
    <w:basedOn w:val="1"/>
    <w:autoRedefine/>
    <w:qFormat/>
    <w:uiPriority w:val="1"/>
    <w:rPr>
      <w:rFonts w:ascii="宋体" w:hAnsi="宋体" w:eastAsia="宋体" w:cs="宋体"/>
      <w:lang w:val="zh-CN" w:eastAsia="zh-CN" w:bidi="zh-CN"/>
    </w:rPr>
  </w:style>
  <w:style w:type="paragraph" w:customStyle="1" w:styleId="112">
    <w:name w:val="D&amp;L"/>
    <w:basedOn w:val="2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3">
    <w:name w:val="列出段落1"/>
    <w:basedOn w:val="1"/>
    <w:qFormat/>
    <w:uiPriority w:val="34"/>
    <w:pPr>
      <w:ind w:firstLine="420" w:firstLineChars="200"/>
    </w:pPr>
  </w:style>
  <w:style w:type="paragraph" w:customStyle="1" w:styleId="114">
    <w:name w:val="Char Char Char Char Char Char Char1 Char"/>
    <w:basedOn w:val="1"/>
    <w:qFormat/>
    <w:uiPriority w:val="0"/>
    <w:rPr>
      <w:rFonts w:ascii="Tahoma" w:hAnsi="Tahoma"/>
      <w:sz w:val="24"/>
      <w:szCs w:val="20"/>
    </w:rPr>
  </w:style>
  <w:style w:type="paragraph" w:styleId="115">
    <w:name w:val="List Paragraph"/>
    <w:basedOn w:val="1"/>
    <w:qFormat/>
    <w:uiPriority w:val="0"/>
    <w:pPr>
      <w:spacing w:line="360" w:lineRule="auto"/>
      <w:ind w:firstLine="420" w:firstLineChars="200"/>
    </w:pPr>
    <w:rPr>
      <w:rFonts w:ascii="宋体" w:hAnsi="宋体" w:cs="宋体"/>
      <w:sz w:val="24"/>
    </w:rPr>
  </w:style>
  <w:style w:type="paragraph" w:customStyle="1" w:styleId="116">
    <w:name w:val="List Paragraph2"/>
    <w:basedOn w:val="1"/>
    <w:autoRedefine/>
    <w:qFormat/>
    <w:uiPriority w:val="0"/>
    <w:pPr>
      <w:spacing w:line="360" w:lineRule="auto"/>
      <w:ind w:firstLine="420"/>
    </w:pPr>
    <w:rPr>
      <w:color w:val="000000"/>
      <w:sz w:val="24"/>
      <w:szCs w:val="21"/>
    </w:rPr>
  </w:style>
  <w:style w:type="paragraph" w:customStyle="1" w:styleId="117">
    <w:name w:val="（无样式）"/>
    <w:basedOn w:val="1"/>
    <w:qFormat/>
    <w:uiPriority w:val="0"/>
    <w:pPr>
      <w:widowControl/>
      <w:numPr>
        <w:ilvl w:val="0"/>
        <w:numId w:val="7"/>
      </w:numPr>
      <w:spacing w:line="360" w:lineRule="auto"/>
      <w:ind w:firstLine="0"/>
    </w:pPr>
    <w:rPr>
      <w:sz w:val="24"/>
      <w:szCs w:val="20"/>
    </w:rPr>
  </w:style>
  <w:style w:type="paragraph" w:customStyle="1" w:styleId="118">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9">
    <w:name w:val="标题3-副本"/>
    <w:basedOn w:val="26"/>
    <w:qFormat/>
    <w:uiPriority w:val="0"/>
    <w:pPr>
      <w:numPr>
        <w:ilvl w:val="0"/>
        <w:numId w:val="0"/>
      </w:numPr>
      <w:ind w:left="840"/>
    </w:pPr>
  </w:style>
  <w:style w:type="paragraph" w:customStyle="1" w:styleId="120">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121">
    <w:name w:val="_Style 2"/>
    <w:basedOn w:val="1"/>
    <w:qFormat/>
    <w:uiPriority w:val="0"/>
  </w:style>
  <w:style w:type="paragraph" w:customStyle="1" w:styleId="122">
    <w:name w:val="p0"/>
    <w:basedOn w:val="1"/>
    <w:autoRedefine/>
    <w:qFormat/>
    <w:uiPriority w:val="0"/>
    <w:pPr>
      <w:widowControl/>
      <w:spacing w:line="365" w:lineRule="atLeast"/>
      <w:ind w:left="1"/>
      <w:textAlignment w:val="bottom"/>
    </w:pPr>
    <w:rPr>
      <w:rFonts w:ascii="Calibri" w:hAnsi="Calibri"/>
      <w:kern w:val="0"/>
      <w:sz w:val="20"/>
      <w:szCs w:val="22"/>
    </w:rPr>
  </w:style>
  <w:style w:type="paragraph" w:customStyle="1" w:styleId="123">
    <w:name w:val="xl31"/>
    <w:basedOn w:val="1"/>
    <w:qFormat/>
    <w:uiPriority w:val="0"/>
    <w:pPr>
      <w:widowControl/>
      <w:spacing w:before="100" w:beforeAutospacing="1" w:after="100" w:afterAutospacing="1"/>
      <w:jc w:val="center"/>
    </w:pPr>
    <w:rPr>
      <w:b/>
      <w:bCs/>
      <w:kern w:val="0"/>
      <w:sz w:val="28"/>
      <w:szCs w:val="28"/>
    </w:rPr>
  </w:style>
  <w:style w:type="paragraph" w:customStyle="1" w:styleId="124">
    <w:name w:val=" Char"/>
    <w:basedOn w:val="1"/>
    <w:autoRedefine/>
    <w:qFormat/>
    <w:uiPriority w:val="0"/>
  </w:style>
  <w:style w:type="paragraph" w:customStyle="1" w:styleId="125">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6">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27">
    <w:name w:val="_Style 117"/>
    <w:basedOn w:val="1"/>
    <w:next w:val="1"/>
    <w:autoRedefine/>
    <w:qFormat/>
    <w:uiPriority w:val="0"/>
    <w:pPr>
      <w:pBdr>
        <w:bottom w:val="single" w:color="auto" w:sz="6" w:space="1"/>
      </w:pBdr>
      <w:jc w:val="center"/>
    </w:pPr>
    <w:rPr>
      <w:rFonts w:ascii="Arial" w:eastAsia="宋体"/>
      <w:vanish/>
      <w:sz w:val="16"/>
    </w:rPr>
  </w:style>
  <w:style w:type="paragraph" w:customStyle="1" w:styleId="128">
    <w:name w:val="_Style 118"/>
    <w:basedOn w:val="1"/>
    <w:next w:val="1"/>
    <w:autoRedefine/>
    <w:qFormat/>
    <w:uiPriority w:val="0"/>
    <w:pPr>
      <w:pBdr>
        <w:top w:val="single" w:color="auto" w:sz="6" w:space="1"/>
      </w:pBdr>
      <w:jc w:val="center"/>
    </w:pPr>
    <w:rPr>
      <w:rFonts w:ascii="Arial" w:eastAsia="宋体"/>
      <w:vanish/>
      <w:sz w:val="16"/>
    </w:rPr>
  </w:style>
  <w:style w:type="character" w:customStyle="1" w:styleId="129">
    <w:name w:val="num"/>
    <w:basedOn w:val="37"/>
    <w:autoRedefine/>
    <w:qFormat/>
    <w:uiPriority w:val="0"/>
    <w:rPr>
      <w:b/>
      <w:bCs/>
      <w:color w:val="FF7800"/>
    </w:rPr>
  </w:style>
  <w:style w:type="character" w:customStyle="1" w:styleId="130">
    <w:name w:val="a-desc"/>
    <w:basedOn w:val="37"/>
    <w:autoRedefine/>
    <w:qFormat/>
    <w:uiPriority w:val="0"/>
    <w:rPr>
      <w:color w:val="315EFB"/>
    </w:rPr>
  </w:style>
  <w:style w:type="character" w:customStyle="1" w:styleId="131">
    <w:name w:val="bg"/>
    <w:basedOn w:val="37"/>
    <w:autoRedefine/>
    <w:qFormat/>
    <w:uiPriority w:val="0"/>
    <w:rPr>
      <w:shd w:val="clear" w:color="auto" w:fill="000000"/>
    </w:rPr>
  </w:style>
  <w:style w:type="character" w:customStyle="1" w:styleId="132">
    <w:name w:val="bg1"/>
    <w:basedOn w:val="37"/>
    <w:qFormat/>
    <w:uiPriority w:val="0"/>
    <w:rPr>
      <w:shd w:val="clear" w:color="auto" w:fill="000000"/>
    </w:rPr>
  </w:style>
  <w:style w:type="character" w:customStyle="1" w:styleId="133">
    <w:name w:val="bg2"/>
    <w:basedOn w:val="37"/>
    <w:qFormat/>
    <w:uiPriority w:val="0"/>
    <w:rPr>
      <w:shd w:val="clear" w:color="auto" w:fill="000000"/>
    </w:rPr>
  </w:style>
  <w:style w:type="character" w:customStyle="1" w:styleId="134">
    <w:name w:val="iknow-qb-ad-sou-icon"/>
    <w:basedOn w:val="37"/>
    <w:autoRedefine/>
    <w:qFormat/>
    <w:uiPriority w:val="0"/>
  </w:style>
  <w:style w:type="character" w:customStyle="1" w:styleId="135">
    <w:name w:val="del-btn"/>
    <w:basedOn w:val="37"/>
    <w:autoRedefine/>
    <w:qFormat/>
    <w:uiPriority w:val="0"/>
  </w:style>
  <w:style w:type="character" w:customStyle="1" w:styleId="136">
    <w:name w:val="del-btn1"/>
    <w:basedOn w:val="37"/>
    <w:qFormat/>
    <w:uiPriority w:val="0"/>
  </w:style>
  <w:style w:type="character" w:customStyle="1" w:styleId="137">
    <w:name w:val="del-btn2"/>
    <w:basedOn w:val="37"/>
    <w:qFormat/>
    <w:uiPriority w:val="0"/>
  </w:style>
  <w:style w:type="character" w:customStyle="1" w:styleId="138">
    <w:name w:val="answer-title"/>
    <w:basedOn w:val="37"/>
    <w:qFormat/>
    <w:uiPriority w:val="0"/>
  </w:style>
  <w:style w:type="character" w:customStyle="1" w:styleId="139">
    <w:name w:val="new-icon2"/>
    <w:basedOn w:val="37"/>
    <w:qFormat/>
    <w:uiPriority w:val="0"/>
  </w:style>
  <w:style w:type="character" w:customStyle="1" w:styleId="140">
    <w:name w:val="new-icon3"/>
    <w:basedOn w:val="37"/>
    <w:qFormat/>
    <w:uiPriority w:val="0"/>
  </w:style>
  <w:style w:type="character" w:customStyle="1" w:styleId="141">
    <w:name w:val="green"/>
    <w:basedOn w:val="37"/>
    <w:qFormat/>
    <w:uiPriority w:val="0"/>
    <w:rPr>
      <w:color w:val="3B6FFF"/>
    </w:rPr>
  </w:style>
  <w:style w:type="character" w:customStyle="1" w:styleId="142">
    <w:name w:val="green1"/>
    <w:basedOn w:val="37"/>
    <w:autoRedefine/>
    <w:qFormat/>
    <w:uiPriority w:val="0"/>
    <w:rPr>
      <w:color w:val="3B6FFF"/>
    </w:rPr>
  </w:style>
  <w:style w:type="character" w:customStyle="1" w:styleId="143">
    <w:name w:val="green2"/>
    <w:basedOn w:val="37"/>
    <w:qFormat/>
    <w:uiPriority w:val="0"/>
    <w:rPr>
      <w:color w:val="4DC86F"/>
    </w:rPr>
  </w:style>
  <w:style w:type="character" w:customStyle="1" w:styleId="144">
    <w:name w:val="green3"/>
    <w:basedOn w:val="37"/>
    <w:qFormat/>
    <w:uiPriority w:val="0"/>
    <w:rPr>
      <w:color w:val="4DC86F"/>
    </w:rPr>
  </w:style>
  <w:style w:type="character" w:customStyle="1" w:styleId="145">
    <w:name w:val="answer-title2"/>
    <w:basedOn w:val="37"/>
    <w:qFormat/>
    <w:uiPriority w:val="0"/>
  </w:style>
  <w:style w:type="character" w:customStyle="1" w:styleId="146">
    <w:name w:val="new-icon"/>
    <w:basedOn w:val="37"/>
    <w:qFormat/>
    <w:uiPriority w:val="0"/>
  </w:style>
  <w:style w:type="character" w:customStyle="1" w:styleId="147">
    <w:name w:val="new-icon1"/>
    <w:basedOn w:val="37"/>
    <w:qFormat/>
    <w:uiPriority w:val="0"/>
  </w:style>
  <w:style w:type="paragraph" w:customStyle="1" w:styleId="14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14107</Words>
  <Characters>15151</Characters>
  <Lines>358</Lines>
  <Paragraphs>100</Paragraphs>
  <TotalTime>12</TotalTime>
  <ScaleCrop>false</ScaleCrop>
  <LinksUpToDate>false</LinksUpToDate>
  <CharactersWithSpaces>18020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2024-10-16T08:44:00Z</cp:lastPrinted>
  <dcterms:modified xsi:type="dcterms:W3CDTF">2024-10-16T09:05:33Z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46F35F85444345C5A8F4515D78662C12_13</vt:lpwstr>
  </property>
</Properties>
</file>