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2DF00">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eastAsia" w:ascii="宋体" w:hAnsi="宋体" w:eastAsia="宋体" w:cs="宋体"/>
          <w:b/>
          <w:bCs/>
          <w:color w:val="auto"/>
          <w:w w:val="85"/>
          <w:sz w:val="44"/>
          <w:szCs w:val="44"/>
          <w:highlight w:val="none"/>
        </w:rPr>
      </w:pPr>
      <w:bookmarkStart w:id="0" w:name="OLE_LINK1"/>
      <w:r>
        <w:rPr>
          <w:rFonts w:hint="eastAsia" w:ascii="宋体" w:hAnsi="宋体" w:eastAsia="宋体" w:cs="宋体"/>
          <w:b/>
          <w:bCs/>
          <w:color w:val="auto"/>
          <w:w w:val="85"/>
          <w:sz w:val="44"/>
          <w:szCs w:val="44"/>
          <w:highlight w:val="none"/>
        </w:rPr>
        <w:t>滁州市扬子工业投资集团有限公司</w:t>
      </w:r>
    </w:p>
    <w:p w14:paraId="13973FE0">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highlight w:val="none"/>
          <w:lang w:val="en-US" w:eastAsia="zh-CN"/>
        </w:rPr>
      </w:pPr>
      <w:r>
        <w:rPr>
          <w:rFonts w:hint="eastAsia" w:ascii="宋体" w:hAnsi="宋体" w:eastAsia="宋体" w:cs="宋体"/>
          <w:b/>
          <w:bCs/>
          <w:color w:val="auto"/>
          <w:w w:val="85"/>
          <w:sz w:val="44"/>
          <w:szCs w:val="44"/>
          <w:highlight w:val="none"/>
        </w:rPr>
        <w:t>财务</w:t>
      </w:r>
      <w:r>
        <w:rPr>
          <w:rFonts w:hint="eastAsia" w:ascii="宋体" w:hAnsi="宋体" w:cs="宋体"/>
          <w:b/>
          <w:bCs/>
          <w:color w:val="auto"/>
          <w:w w:val="85"/>
          <w:sz w:val="44"/>
          <w:szCs w:val="44"/>
          <w:highlight w:val="none"/>
          <w:lang w:val="en-US" w:eastAsia="zh-CN"/>
        </w:rPr>
        <w:t>报表</w:t>
      </w:r>
      <w:r>
        <w:rPr>
          <w:rFonts w:hint="eastAsia" w:ascii="宋体" w:hAnsi="宋体" w:eastAsia="宋体" w:cs="宋体"/>
          <w:b/>
          <w:bCs/>
          <w:color w:val="auto"/>
          <w:w w:val="85"/>
          <w:sz w:val="44"/>
          <w:szCs w:val="44"/>
          <w:highlight w:val="none"/>
        </w:rPr>
        <w:t>审计服务项目</w:t>
      </w:r>
    </w:p>
    <w:p w14:paraId="2CD8491C">
      <w:pPr>
        <w:spacing w:after="156" w:afterLines="50"/>
        <w:ind w:left="-850" w:leftChars="-405" w:right="-625"/>
        <w:jc w:val="center"/>
        <w:rPr>
          <w:rFonts w:hint="eastAsia"/>
          <w:color w:val="auto"/>
          <w:sz w:val="24"/>
          <w:highlight w:val="none"/>
        </w:rPr>
      </w:pPr>
    </w:p>
    <w:p w14:paraId="47AE0B09">
      <w:pPr>
        <w:rPr>
          <w:rFonts w:hint="eastAsia" w:ascii="宋体"/>
          <w:bCs/>
          <w:color w:val="auto"/>
          <w:szCs w:val="21"/>
          <w:highlight w:val="none"/>
        </w:rPr>
      </w:pPr>
    </w:p>
    <w:p w14:paraId="3B722E9F">
      <w:pPr>
        <w:rPr>
          <w:rFonts w:hint="eastAsia" w:ascii="宋体"/>
          <w:bCs/>
          <w:color w:val="auto"/>
          <w:szCs w:val="21"/>
          <w:highlight w:val="none"/>
        </w:rPr>
      </w:pPr>
    </w:p>
    <w:p w14:paraId="3FBF3C19">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3C76AF0D">
      <w:pPr>
        <w:rPr>
          <w:rFonts w:hint="eastAsia" w:ascii="宋体" w:hAnsi="宋体"/>
          <w:b/>
          <w:color w:val="auto"/>
          <w:sz w:val="84"/>
          <w:szCs w:val="84"/>
          <w:highlight w:val="none"/>
        </w:rPr>
      </w:pPr>
    </w:p>
    <w:p w14:paraId="4A7FD18D">
      <w:pPr>
        <w:pStyle w:val="2"/>
        <w:rPr>
          <w:rFonts w:hint="eastAsia"/>
          <w:color w:val="auto"/>
          <w:highlight w:val="none"/>
        </w:rPr>
      </w:pPr>
    </w:p>
    <w:p w14:paraId="4C460C2D">
      <w:pPr>
        <w:rPr>
          <w:rFonts w:hint="eastAsia"/>
          <w:color w:val="auto"/>
          <w:highlight w:val="none"/>
        </w:rPr>
      </w:pPr>
    </w:p>
    <w:p w14:paraId="404E689C">
      <w:pPr>
        <w:rPr>
          <w:rFonts w:hint="eastAsia" w:ascii="宋体"/>
          <w:color w:val="auto"/>
          <w:sz w:val="28"/>
          <w:szCs w:val="28"/>
          <w:highlight w:val="none"/>
        </w:rPr>
      </w:pPr>
    </w:p>
    <w:p w14:paraId="1A1CC348">
      <w:pPr>
        <w:pStyle w:val="21"/>
        <w:rPr>
          <w:rFonts w:hint="eastAsia"/>
          <w:color w:val="auto"/>
          <w:highlight w:val="none"/>
        </w:rPr>
      </w:pPr>
    </w:p>
    <w:p w14:paraId="16CC41AD">
      <w:pPr>
        <w:rPr>
          <w:rFonts w:hint="eastAsia" w:ascii="宋体"/>
          <w:b/>
          <w:color w:val="auto"/>
          <w:sz w:val="32"/>
          <w:szCs w:val="32"/>
          <w:highlight w:val="none"/>
        </w:rPr>
      </w:pPr>
    </w:p>
    <w:p w14:paraId="5F3801AE">
      <w:pPr>
        <w:pStyle w:val="2"/>
        <w:rPr>
          <w:rFonts w:hint="eastAsia"/>
          <w:color w:val="auto"/>
        </w:rPr>
      </w:pPr>
    </w:p>
    <w:p w14:paraId="5EEB095C">
      <w:pPr>
        <w:pStyle w:val="27"/>
        <w:rPr>
          <w:rFonts w:hint="eastAsia"/>
          <w:color w:val="auto"/>
        </w:rPr>
      </w:pPr>
    </w:p>
    <w:p w14:paraId="7974D0E1">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滁州市扬子工业投资集团有限公司</w:t>
      </w:r>
      <w:r>
        <w:rPr>
          <w:rFonts w:hint="eastAsia" w:ascii="宋体"/>
          <w:b/>
          <w:color w:val="auto"/>
          <w:sz w:val="32"/>
          <w:szCs w:val="32"/>
          <w:highlight w:val="none"/>
        </w:rPr>
        <w:t>（盖单位章）</w:t>
      </w:r>
    </w:p>
    <w:p w14:paraId="41A12475">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14:paraId="1D0C7307">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2024</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09</w:t>
      </w:r>
      <w:r>
        <w:rPr>
          <w:rFonts w:hint="eastAsia" w:ascii="宋体"/>
          <w:b/>
          <w:color w:val="auto"/>
          <w:sz w:val="32"/>
          <w:szCs w:val="32"/>
          <w:highlight w:val="none"/>
        </w:rPr>
        <w:t>月</w:t>
      </w:r>
    </w:p>
    <w:p w14:paraId="11940E33">
      <w:pPr>
        <w:spacing w:line="360" w:lineRule="exact"/>
        <w:rPr>
          <w:rFonts w:hint="eastAsia"/>
          <w:b/>
          <w:color w:val="auto"/>
          <w:sz w:val="36"/>
          <w:highlight w:val="none"/>
        </w:rPr>
      </w:pPr>
    </w:p>
    <w:p w14:paraId="11D8DEB2">
      <w:pPr>
        <w:spacing w:line="360" w:lineRule="exact"/>
        <w:jc w:val="center"/>
        <w:rPr>
          <w:rFonts w:hint="eastAsia"/>
          <w:b/>
          <w:color w:val="auto"/>
          <w:sz w:val="36"/>
          <w:highlight w:val="none"/>
        </w:rPr>
      </w:pPr>
      <w:r>
        <w:rPr>
          <w:rFonts w:hint="eastAsia"/>
          <w:b/>
          <w:color w:val="auto"/>
          <w:sz w:val="36"/>
          <w:highlight w:val="none"/>
        </w:rPr>
        <w:br w:type="page"/>
      </w:r>
    </w:p>
    <w:p w14:paraId="31668C46">
      <w:pPr>
        <w:spacing w:line="360" w:lineRule="exact"/>
        <w:jc w:val="center"/>
        <w:rPr>
          <w:rFonts w:hint="eastAsia"/>
          <w:b/>
          <w:color w:val="auto"/>
          <w:sz w:val="36"/>
          <w:highlight w:val="none"/>
        </w:rPr>
      </w:pPr>
      <w:r>
        <w:rPr>
          <w:rFonts w:hint="eastAsia"/>
          <w:b/>
          <w:color w:val="auto"/>
          <w:sz w:val="36"/>
          <w:highlight w:val="none"/>
        </w:rPr>
        <w:t>目  录</w:t>
      </w:r>
    </w:p>
    <w:p w14:paraId="7C7066CB">
      <w:pPr>
        <w:spacing w:line="360" w:lineRule="exact"/>
        <w:jc w:val="center"/>
        <w:rPr>
          <w:rFonts w:hint="eastAsia"/>
          <w:b/>
          <w:color w:val="auto"/>
          <w:sz w:val="36"/>
          <w:highlight w:val="none"/>
        </w:rPr>
      </w:pPr>
    </w:p>
    <w:p w14:paraId="56A10D92">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6"/>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6"/>
          <w:rFonts w:ascii="宋体" w:hAnsi="宋体"/>
          <w:color w:val="auto"/>
          <w:sz w:val="24"/>
          <w:highlight w:val="none"/>
        </w:rPr>
        <w:instrText xml:space="preserve"> </w:instrText>
      </w:r>
      <w:r>
        <w:rPr>
          <w:rFonts w:ascii="宋体" w:hAnsi="宋体"/>
          <w:color w:val="auto"/>
          <w:sz w:val="24"/>
          <w:highlight w:val="none"/>
        </w:rPr>
        <w:fldChar w:fldCharType="separate"/>
      </w:r>
      <w:r>
        <w:rPr>
          <w:rStyle w:val="46"/>
          <w:rFonts w:hint="eastAsia" w:ascii="宋体" w:hAnsi="宋体"/>
          <w:b/>
          <w:color w:val="auto"/>
          <w:sz w:val="24"/>
          <w:highlight w:val="none"/>
        </w:rPr>
        <w:t>第一章</w:t>
      </w:r>
      <w:r>
        <w:rPr>
          <w:rStyle w:val="46"/>
          <w:rFonts w:ascii="宋体" w:hAnsi="宋体"/>
          <w:b/>
          <w:color w:val="auto"/>
          <w:sz w:val="24"/>
          <w:highlight w:val="none"/>
        </w:rPr>
        <w:t xml:space="preserve"> </w:t>
      </w:r>
      <w:r>
        <w:rPr>
          <w:rStyle w:val="46"/>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14:paraId="526C863D">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第二章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5</w:t>
      </w:r>
    </w:p>
    <w:p w14:paraId="2E10A08E">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第三章</w:t>
      </w:r>
      <w:r>
        <w:rPr>
          <w:rStyle w:val="46"/>
          <w:rFonts w:ascii="宋体" w:hAnsi="宋体"/>
          <w:b/>
          <w:color w:val="auto"/>
          <w:sz w:val="24"/>
          <w:highlight w:val="none"/>
        </w:rPr>
        <w:t xml:space="preserve"> </w:t>
      </w:r>
      <w:r>
        <w:rPr>
          <w:rStyle w:val="46"/>
          <w:rFonts w:hint="eastAsia" w:ascii="宋体" w:hAnsi="宋体"/>
          <w:b/>
          <w:color w:val="auto"/>
          <w:sz w:val="24"/>
          <w:highlight w:val="none"/>
        </w:rPr>
        <w:t>评标办法（综合评分法）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18</w:t>
      </w:r>
    </w:p>
    <w:p w14:paraId="756FF240">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第四章</w:t>
      </w:r>
      <w:r>
        <w:rPr>
          <w:rStyle w:val="46"/>
          <w:rFonts w:ascii="宋体" w:hAnsi="宋体"/>
          <w:b/>
          <w:color w:val="auto"/>
          <w:sz w:val="24"/>
          <w:highlight w:val="none"/>
        </w:rPr>
        <w:t xml:space="preserve"> </w:t>
      </w:r>
      <w:r>
        <w:rPr>
          <w:rStyle w:val="46"/>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25</w:t>
      </w:r>
    </w:p>
    <w:p w14:paraId="08D46986">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6"/>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6"/>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w:t>
      </w:r>
      <w:r>
        <w:rPr>
          <w:rStyle w:val="46"/>
          <w:rFonts w:ascii="宋体" w:hAnsi="宋体"/>
          <w:b/>
          <w:color w:val="auto"/>
          <w:sz w:val="24"/>
          <w:highlight w:val="none"/>
        </w:rPr>
        <w:t xml:space="preserve"> </w:t>
      </w:r>
      <w:r>
        <w:rPr>
          <w:rStyle w:val="46"/>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27</w:t>
      </w:r>
    </w:p>
    <w:p w14:paraId="0C26D9A3">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14:paraId="26C6180F">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14:paraId="219D8D0B">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14:paraId="2BCA7D54">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滁州市扬子工业投资集团有限公司财务报表审计服务项目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滁州市扬子工业投资集团有限公司官网（https://czyzgtjt.com/）或中国扬子集团官网（http://www.yangzigroup.cn/）</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分（北京时间）前递交投标文件。</w:t>
      </w:r>
    </w:p>
    <w:p w14:paraId="446630A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A7BF4F3">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滁州市扬子工业投资集团有限公司财务报表审计服务项目；</w:t>
      </w:r>
    </w:p>
    <w:p w14:paraId="302FE9BA">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约人民币20万元；</w:t>
      </w:r>
    </w:p>
    <w:p w14:paraId="5C22861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200000元（含税）； </w:t>
      </w:r>
    </w:p>
    <w:p w14:paraId="3D86EAE3">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shd w:val="clear" w:color="auto" w:fill="auto"/>
          <w:lang w:val="en-US" w:eastAsia="zh-CN"/>
        </w:rPr>
        <w:t>出具2022年和2023年财务年报审计报告及2024年最近一期财务报表审计</w:t>
      </w:r>
      <w:r>
        <w:rPr>
          <w:rFonts w:hint="eastAsia" w:ascii="仿宋" w:hAnsi="仿宋" w:eastAsia="仿宋" w:cs="仿宋"/>
          <w:color w:val="auto"/>
          <w:sz w:val="28"/>
          <w:szCs w:val="28"/>
          <w:highlight w:val="none"/>
          <w:lang w:val="en-US" w:eastAsia="zh-CN"/>
        </w:rPr>
        <w:t>；</w:t>
      </w:r>
    </w:p>
    <w:p w14:paraId="5517F08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中标通知书</w:t>
      </w:r>
      <w:r>
        <w:rPr>
          <w:rFonts w:hint="eastAsia" w:ascii="仿宋" w:hAnsi="仿宋" w:eastAsia="仿宋" w:cs="仿宋"/>
          <w:color w:val="auto"/>
          <w:sz w:val="28"/>
          <w:szCs w:val="28"/>
          <w:highlight w:val="none"/>
          <w:lang w:val="en-US" w:eastAsia="zh-CN"/>
        </w:rPr>
        <w:t>发放</w:t>
      </w:r>
      <w:r>
        <w:rPr>
          <w:rFonts w:hint="eastAsia" w:ascii="仿宋" w:hAnsi="仿宋" w:eastAsia="仿宋" w:cs="仿宋"/>
          <w:color w:val="auto"/>
          <w:sz w:val="28"/>
          <w:szCs w:val="28"/>
          <w:highlight w:val="none"/>
          <w:lang w:val="en-US" w:eastAsia="zh-CN"/>
        </w:rPr>
        <w:t>之日起35日内提供审计报告；</w:t>
      </w:r>
    </w:p>
    <w:p w14:paraId="4C4C68F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106AC96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80"/>
      <w:bookmarkStart w:id="4" w:name="_Toc35393791"/>
      <w:bookmarkStart w:id="5" w:name="_Toc35393622"/>
      <w:bookmarkStart w:id="6" w:name="_Toc28359003"/>
      <w:r>
        <w:rPr>
          <w:rFonts w:hint="eastAsia" w:ascii="黑体" w:hAnsi="黑体" w:eastAsia="黑体" w:cs="黑体"/>
          <w:color w:val="auto"/>
          <w:sz w:val="28"/>
          <w:szCs w:val="28"/>
          <w:highlight w:val="none"/>
        </w:rPr>
        <w:t>二、申请人的资格要求</w:t>
      </w:r>
      <w:bookmarkEnd w:id="3"/>
      <w:bookmarkEnd w:id="4"/>
      <w:bookmarkEnd w:id="5"/>
      <w:bookmarkEnd w:id="6"/>
    </w:p>
    <w:p w14:paraId="29F893A5">
      <w:pPr>
        <w:ind w:firstLine="560" w:firstLineChars="200"/>
        <w:rPr>
          <w:rFonts w:hint="eastAsia" w:ascii="仿宋" w:hAnsi="仿宋" w:eastAsia="仿宋" w:cs="Times New Roman"/>
          <w:color w:val="auto"/>
          <w:sz w:val="28"/>
          <w:szCs w:val="28"/>
          <w:highlight w:val="none"/>
          <w:lang w:eastAsia="zh-CN"/>
        </w:rPr>
      </w:pPr>
      <w:bookmarkStart w:id="7" w:name="_Toc35393623"/>
      <w:bookmarkStart w:id="8" w:name="_Toc35393792"/>
      <w:bookmarkStart w:id="9" w:name="_Toc28359081"/>
      <w:bookmarkStart w:id="10" w:name="_Toc28359004"/>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w:t>
      </w:r>
      <w:r>
        <w:rPr>
          <w:rFonts w:hint="eastAsia" w:ascii="仿宋" w:hAnsi="仿宋" w:eastAsia="仿宋"/>
          <w:color w:val="auto"/>
          <w:sz w:val="28"/>
          <w:szCs w:val="28"/>
          <w:highlight w:val="none"/>
        </w:rPr>
        <w:t>标人须具有财政部门颁发的会计师事务所执业证书</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且为可从事证券服务业务的会计师事务所；最终审计报告由从事证券服务业务的会计师事务所的总所出具；</w:t>
      </w:r>
    </w:p>
    <w:p w14:paraId="4733E05D">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2.项目负责人须具有全国注册会计师资格证书，除项目负责人外，投标人应至少安排1名注册会计师参与本项目。</w:t>
      </w:r>
    </w:p>
    <w:p w14:paraId="4B668D6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14:paraId="16B4ED61">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24</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9</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19</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4</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9</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23</w:t>
      </w:r>
      <w:r>
        <w:rPr>
          <w:rFonts w:hint="eastAsia" w:ascii="仿宋" w:hAnsi="仿宋" w:eastAsia="仿宋" w:cs="宋体"/>
          <w:color w:val="auto"/>
          <w:sz w:val="28"/>
          <w:szCs w:val="28"/>
          <w:highlight w:val="none"/>
          <w:u w:val="none"/>
        </w:rPr>
        <w:t>日</w:t>
      </w:r>
    </w:p>
    <w:p w14:paraId="5D38E8FA">
      <w:pPr>
        <w:ind w:firstLine="540"/>
        <w:jc w:val="left"/>
        <w:rPr>
          <w:rFonts w:hint="default" w:ascii="仿宋" w:hAnsi="仿宋" w:eastAsia="仿宋" w:cs="宋体"/>
          <w:color w:val="auto"/>
          <w:sz w:val="28"/>
          <w:szCs w:val="28"/>
          <w:highlight w:val="none"/>
          <w:u w:val="single"/>
          <w:lang w:val="en-US"/>
        </w:rPr>
      </w:pPr>
      <w:r>
        <w:rPr>
          <w:rFonts w:hint="eastAsia" w:ascii="仿宋" w:hAnsi="仿宋" w:eastAsia="仿宋" w:cs="宋体"/>
          <w:color w:val="auto"/>
          <w:sz w:val="28"/>
          <w:szCs w:val="28"/>
          <w:highlight w:val="none"/>
        </w:rPr>
        <w:t>地点：滁州市龙蟠大道109号房产大厦六楼622会议室</w:t>
      </w:r>
    </w:p>
    <w:p w14:paraId="479FE4AE">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7BAFF1B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7BEBF84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14:paraId="118C0C2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24</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9</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23</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15</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00</w:t>
      </w:r>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4DD34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地点：滁州市龙蟠大道109号房产大厦六楼622会议室</w:t>
      </w:r>
    </w:p>
    <w:p w14:paraId="232DEE30">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default"/>
          <w:color w:val="auto"/>
          <w:lang w:val="en-US" w:eastAsia="zh-CN"/>
        </w:rPr>
      </w:pPr>
      <w:r>
        <w:rPr>
          <w:rFonts w:hint="eastAsia" w:ascii="仿宋" w:hAnsi="仿宋" w:eastAsia="仿宋"/>
          <w:color w:val="auto"/>
          <w:sz w:val="28"/>
          <w:szCs w:val="28"/>
          <w:highlight w:val="none"/>
          <w:lang w:val="en-US" w:eastAsia="zh-CN"/>
        </w:rPr>
        <w:t>注：投标单位开标时无须到现场，但必须在开标截止时间前将投标文件密封好送至代理机构（滁州市龙蟠大道109号房产大厦六楼622室）。采用邮寄方式的，拒绝到付，具体接收时间以代理机构收到的时间为准（邮寄信息：滁州市龙蟠大道109号房产大厦六楼620室，接收人：杨韦，联系方式：18005501210）。</w:t>
      </w:r>
    </w:p>
    <w:p w14:paraId="58619F3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5" w:name="_Toc28359007"/>
      <w:bookmarkStart w:id="16" w:name="_Toc35393625"/>
      <w:bookmarkStart w:id="17" w:name="_Toc28359084"/>
      <w:bookmarkStart w:id="18" w:name="_Toc35393794"/>
      <w:r>
        <w:rPr>
          <w:rFonts w:hint="eastAsia" w:ascii="黑体" w:hAnsi="黑体" w:eastAsia="黑体" w:cs="黑体"/>
          <w:color w:val="auto"/>
          <w:sz w:val="28"/>
          <w:szCs w:val="28"/>
          <w:highlight w:val="none"/>
        </w:rPr>
        <w:t>五、公告期限</w:t>
      </w:r>
      <w:bookmarkEnd w:id="15"/>
      <w:bookmarkEnd w:id="16"/>
      <w:bookmarkEnd w:id="17"/>
      <w:bookmarkEnd w:id="18"/>
    </w:p>
    <w:p w14:paraId="730339B2">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44E9C4C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5727B2B8">
      <w:pPr>
        <w:pStyle w:val="127"/>
        <w:rPr>
          <w:color w:val="auto"/>
          <w:highlight w:val="none"/>
        </w:rPr>
      </w:pPr>
      <w:bookmarkStart w:id="19" w:name="_Toc35393795"/>
      <w:bookmarkStart w:id="20" w:name="_Toc35393626"/>
      <w:r>
        <w:rPr>
          <w:color w:val="auto"/>
          <w:highlight w:val="none"/>
        </w:rPr>
        <w:t>窗体顶端</w:t>
      </w:r>
    </w:p>
    <w:p w14:paraId="0495C8A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1.本项目要求投标人提交投标保证金：其金额为0.4万元。 </w:t>
      </w:r>
    </w:p>
    <w:p w14:paraId="6C6F363A">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2.接收投标保证金的账户信息：</w:t>
      </w:r>
    </w:p>
    <w:p w14:paraId="1C1EF01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  银行转账缴纳的投标保证金须投标截止时间前交纳完毕；投标保证金须从投标人账户转入下列账户，投标保证金付款人的账户名称必须与投标人名称一致，不接受汇票和结算卡汇入，以资金到账时间为确认投标保证金交纳完毕时间。</w:t>
      </w:r>
    </w:p>
    <w:p w14:paraId="19304B3C">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单位名称：滁州市扬子工业投资集团有限公司</w:t>
      </w:r>
    </w:p>
    <w:p w14:paraId="7C80A43A">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开 户  行：中信银行滁州分行营业部</w:t>
      </w:r>
    </w:p>
    <w:p w14:paraId="0544DADE">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账      号：7514010182600033851            </w:t>
      </w:r>
    </w:p>
    <w:p w14:paraId="4DB56666">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投标保证金到账截止时间同投标文件递交截止时间，交纳投标保证金时须在交易附言中注明：“滁州市扬子工业投资集团有限公司财务报表审计服务项目”。</w:t>
      </w:r>
    </w:p>
    <w:p w14:paraId="50506EB0">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 注：各投标人请严格按照招标公告和招标文件载明的银行、账户汇入投标保证金，否则在开标时无法查询投标保证金到账情况，评标委员会将否决其投标！</w:t>
      </w:r>
    </w:p>
    <w:bookmarkEnd w:id="19"/>
    <w:bookmarkEnd w:id="20"/>
    <w:p w14:paraId="175187DE">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7871733B">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14:paraId="0F4A2EA8">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滁州市扬子工业投资集团有限公司</w:t>
      </w:r>
    </w:p>
    <w:p w14:paraId="11CE88B9">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 xml:space="preserve">滁州市南谯区中都大道与醉翁路交叉口西南角城投大厦13楼1318室 </w:t>
      </w:r>
      <w:r>
        <w:rPr>
          <w:rFonts w:hint="eastAsia" w:ascii="仿宋" w:hAnsi="仿宋" w:eastAsia="仿宋" w:cs="仿宋"/>
          <w:color w:val="auto"/>
          <w:sz w:val="28"/>
          <w:szCs w:val="28"/>
          <w:highlight w:val="none"/>
          <w:u w:val="single"/>
        </w:rPr>
        <w:t xml:space="preserve">  </w:t>
      </w:r>
    </w:p>
    <w:p w14:paraId="5DB56ABC">
      <w:pPr>
        <w:ind w:firstLine="560" w:firstLineChars="200"/>
        <w:jc w:val="left"/>
        <w:rPr>
          <w:rFonts w:hint="default"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0550-3018055</w:t>
      </w:r>
    </w:p>
    <w:p w14:paraId="4AB9E466">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06EDFE12">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14:paraId="6C014D91">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14:paraId="1A3A4C65">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14:paraId="2EC74182">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14:paraId="54981D26">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14:paraId="4FEFF1FA">
      <w:pPr>
        <w:pStyle w:val="18"/>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常娜、</w:t>
      </w:r>
      <w:r>
        <w:rPr>
          <w:rFonts w:hint="eastAsia" w:ascii="仿宋" w:hAnsi="仿宋" w:eastAsia="仿宋" w:cs="仿宋"/>
          <w:color w:val="auto"/>
          <w:sz w:val="28"/>
          <w:szCs w:val="28"/>
          <w:highlight w:val="none"/>
          <w:u w:val="single" w:color="auto"/>
        </w:rPr>
        <w:t>杨韦</w:t>
      </w:r>
    </w:p>
    <w:p w14:paraId="4A4FBA8F">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0550-3018055 、</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14:paraId="34659DB7">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14:paraId="63FF8D08">
      <w:pPr>
        <w:snapToGrid w:val="0"/>
        <w:spacing w:line="500" w:lineRule="exact"/>
        <w:jc w:val="center"/>
        <w:outlineLvl w:val="1"/>
        <w:rPr>
          <w:rFonts w:hint="eastAsia" w:ascii="宋体"/>
          <w:b/>
          <w:color w:val="auto"/>
          <w:sz w:val="28"/>
          <w:szCs w:val="28"/>
          <w:highlight w:val="none"/>
        </w:rPr>
      </w:pPr>
      <w:bookmarkStart w:id="21" w:name="_Toc58430314"/>
      <w:bookmarkStart w:id="22"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1"/>
      <w:bookmarkEnd w:id="22"/>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56AE0A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ACE9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5BF350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4BB3F0F8">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44C01D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14:paraId="2281E93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5143EBB9">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46D56C3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滁州市扬子工业投资集团有限公司财务报表审计服务项目</w:t>
            </w:r>
          </w:p>
        </w:tc>
      </w:tr>
      <w:tr w14:paraId="62B04D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5EF785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3FCEC5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32211A2B">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u w:val="none" w:color="000000"/>
                <w:lang w:val="en-US" w:eastAsia="zh-CN" w:bidi="ar-SA"/>
              </w:rPr>
              <w:t>中标通知书</w:t>
            </w:r>
            <w:r>
              <w:rPr>
                <w:rFonts w:hint="eastAsia" w:ascii="宋体" w:hAnsi="宋体" w:cs="宋体"/>
                <w:color w:val="auto"/>
                <w:kern w:val="2"/>
                <w:sz w:val="21"/>
                <w:szCs w:val="21"/>
                <w:highlight w:val="none"/>
                <w:u w:val="none" w:color="000000"/>
                <w:lang w:val="en-US" w:eastAsia="zh-CN" w:bidi="ar-SA"/>
              </w:rPr>
              <w:t>发放</w:t>
            </w:r>
            <w:r>
              <w:rPr>
                <w:rFonts w:hint="eastAsia" w:ascii="宋体" w:hAnsi="宋体" w:eastAsia="宋体" w:cs="宋体"/>
                <w:color w:val="auto"/>
                <w:kern w:val="2"/>
                <w:sz w:val="21"/>
                <w:szCs w:val="21"/>
                <w:highlight w:val="none"/>
                <w:u w:val="none" w:color="000000"/>
                <w:lang w:val="en-US" w:eastAsia="zh-CN" w:bidi="ar-SA"/>
              </w:rPr>
              <w:t>之日起</w:t>
            </w:r>
            <w:r>
              <w:rPr>
                <w:rFonts w:hint="eastAsia" w:ascii="宋体" w:hAnsi="宋体" w:cs="宋体"/>
                <w:color w:val="auto"/>
                <w:kern w:val="2"/>
                <w:sz w:val="21"/>
                <w:szCs w:val="21"/>
                <w:highlight w:val="none"/>
                <w:u w:val="none" w:color="000000"/>
                <w:lang w:val="en-US" w:eastAsia="zh-CN" w:bidi="ar-SA"/>
              </w:rPr>
              <w:t>35</w:t>
            </w:r>
            <w:r>
              <w:rPr>
                <w:rFonts w:hint="eastAsia" w:ascii="宋体" w:hAnsi="宋体" w:eastAsia="宋体" w:cs="宋体"/>
                <w:color w:val="auto"/>
                <w:kern w:val="2"/>
                <w:sz w:val="21"/>
                <w:szCs w:val="21"/>
                <w:highlight w:val="none"/>
                <w:u w:val="none" w:color="000000"/>
                <w:lang w:val="en-US" w:eastAsia="zh-CN" w:bidi="ar-SA"/>
              </w:rPr>
              <w:t>日内提供审计报告</w:t>
            </w:r>
          </w:p>
        </w:tc>
      </w:tr>
      <w:tr w14:paraId="40BF1D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3CB4AF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810D5A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5812B67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757A6E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0C5B7F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0DD8F1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511E43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常娜；</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0550-3018055</w:t>
            </w:r>
          </w:p>
        </w:tc>
      </w:tr>
      <w:tr w14:paraId="23BEA7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68C3498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605A745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A15780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联系人：杨韦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电话0550-30519590、18005501210</w:t>
            </w:r>
          </w:p>
        </w:tc>
      </w:tr>
      <w:tr w14:paraId="2C674A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14:paraId="24429CE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0B90B69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2D12EDE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69BA0B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55F7E70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064BAD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4B6C8123">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200000</w:t>
            </w:r>
            <w:r>
              <w:rPr>
                <w:rFonts w:hint="eastAsia" w:ascii="宋体" w:hAnsi="宋体" w:eastAsia="宋体" w:cs="宋体"/>
                <w:color w:val="auto"/>
                <w:sz w:val="21"/>
                <w:szCs w:val="21"/>
                <w:highlight w:val="none"/>
              </w:rPr>
              <w:t>元</w:t>
            </w:r>
          </w:p>
        </w:tc>
      </w:tr>
      <w:tr w14:paraId="6092DC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0C6A0D2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68B1E92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3B31F5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贰拾万元整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200000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），投标报价均不得高于最高限价，否则将作为无效投标处理。</w:t>
            </w:r>
          </w:p>
        </w:tc>
      </w:tr>
      <w:tr w14:paraId="68315F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478704C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6CDD50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14F71E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14:paraId="1E678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5F9F090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5D27B6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71A24F0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58FF7B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09BE437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61DC447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217B870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060B4D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1E093A8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11CE69F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773E763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3A3210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2E2A2B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FEB4BB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C09ABA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14:paraId="4F2D195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018C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7692235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58BEE0C">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12DDFF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79286DF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5DB96C6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4D98769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064F40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3CF2652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75E5DD4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30D486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代理服务费金额：</w:t>
            </w:r>
            <w:r>
              <w:rPr>
                <w:rFonts w:hint="eastAsia" w:ascii="宋体" w:hAnsi="宋体" w:eastAsia="宋体" w:cs="宋体"/>
                <w:color w:val="auto"/>
                <w:sz w:val="21"/>
                <w:szCs w:val="21"/>
                <w:highlight w:val="none"/>
                <w:lang w:val="en-US" w:eastAsia="zh-CN"/>
              </w:rPr>
              <w:t>3000</w:t>
            </w:r>
            <w:r>
              <w:rPr>
                <w:rFonts w:hint="eastAsia" w:ascii="宋体" w:hAnsi="宋体" w:eastAsia="宋体" w:cs="宋体"/>
                <w:color w:val="auto"/>
                <w:sz w:val="21"/>
                <w:szCs w:val="21"/>
                <w:highlight w:val="none"/>
              </w:rPr>
              <w:t>元；支付主体：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p w14:paraId="6DF7E566">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2.专家评委费：具体金额以实际发生为准；支付主体：中标人</w:t>
            </w:r>
          </w:p>
        </w:tc>
      </w:tr>
      <w:tr w14:paraId="13D32F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E5A0FB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6787E22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E424F14">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招标人将于2024年</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在滁州市扬子工业投资集团有限公司官网（https://czyzgtjt.com/）或中国扬子集团官网（http://www.yangzigroup.cn/）予以公布。</w:t>
            </w:r>
          </w:p>
        </w:tc>
      </w:tr>
      <w:tr w14:paraId="1D645A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293122E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D59A44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615A471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504B45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5ACB8AE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1063505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742D35F8">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082BC8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7CEFC78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24352CD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32126EC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A683995">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color w:val="auto"/>
                <w:kern w:val="0"/>
                <w:sz w:val="21"/>
                <w:szCs w:val="21"/>
                <w:highlight w:val="none"/>
                <w:lang w:val="en-US" w:eastAsia="zh-CN"/>
              </w:rPr>
              <w:t>资格证明文件正副本密封在资格证明文件档案袋中，技术标文件正副本密封在技术标文件档案袋中，商务标文件正副本密封在商务标文件档案袋中。</w:t>
            </w:r>
          </w:p>
        </w:tc>
      </w:tr>
      <w:tr w14:paraId="72BA4C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859914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345E1EB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127821E8">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70A341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37E039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3BC5F71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13CD7D4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eastAsia="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23</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568F74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60C40A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719AA1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516E23ED">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6C9112F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41699D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19782E8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50C80A26">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236EEE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AA6805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050AF5D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DF80CF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6A12E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7E6D43F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207C454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66A04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4F4B1B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74DF9AF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78FAAE3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32475C60">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14:paraId="4E9610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14:paraId="3B796C28">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14:paraId="71147DF9">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14:paraId="532B01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14:paraId="17095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CC505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3311133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F33D73A">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9F987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41F8AE0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7821FEC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DD765F2">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2024年</w:t>
            </w:r>
            <w:r>
              <w:rPr>
                <w:rFonts w:hint="eastAsia" w:ascii="宋体" w:hAnsi="宋体" w:cs="宋体"/>
                <w:color w:val="auto"/>
                <w:sz w:val="21"/>
                <w:szCs w:val="21"/>
                <w:highlight w:val="none"/>
                <w:lang w:val="en-US" w:eastAsia="zh-CN"/>
              </w:rPr>
              <w:t>9</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将所遇到的问题以电子邮件形式传至czsctgczx@163.com</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(滁州市城投工程咨询管理有限公司电子邮箱)。招标人不再集中召开招标答疑会；投标人自行组织勘察现场。  </w:t>
            </w:r>
          </w:p>
        </w:tc>
      </w:tr>
      <w:tr w14:paraId="794B2A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A87340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0FDF8B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72AD20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2B8A84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4937962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34A41522">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出具所有审计报告后60个日历天内一次性付清合同价款。</w:t>
            </w:r>
          </w:p>
        </w:tc>
      </w:tr>
    </w:tbl>
    <w:p w14:paraId="5D0925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3" w:name="_Toc58430315"/>
      <w:bookmarkStart w:id="24" w:name="_Toc449028866"/>
      <w:r>
        <w:rPr>
          <w:rFonts w:hint="eastAsia" w:ascii="宋体" w:hAnsi="宋体" w:cs="宋体"/>
          <w:b/>
          <w:color w:val="auto"/>
          <w:sz w:val="28"/>
          <w:szCs w:val="28"/>
          <w:highlight w:val="none"/>
        </w:rPr>
        <w:t>二、投标人须知</w:t>
      </w:r>
      <w:bookmarkEnd w:id="23"/>
      <w:bookmarkEnd w:id="24"/>
    </w:p>
    <w:p w14:paraId="7DB5F582">
      <w:pPr>
        <w:spacing w:line="440" w:lineRule="exact"/>
        <w:jc w:val="center"/>
        <w:rPr>
          <w:rFonts w:hint="eastAsia" w:ascii="宋体" w:hAnsi="宋体" w:cs="宋体"/>
          <w:color w:val="auto"/>
          <w:sz w:val="28"/>
          <w:szCs w:val="28"/>
          <w:highlight w:val="none"/>
        </w:rPr>
      </w:pPr>
      <w:bookmarkStart w:id="25"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5"/>
    </w:p>
    <w:p w14:paraId="265DF29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18ED1D73">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A91EC09">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350DBAB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5A56A65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40B7F4A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45923DFC">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14:paraId="485C55DF">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14:paraId="35DDE2D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28EB262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02575EC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60B181E8">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18C046D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39FEBFC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CAEEE8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0961602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0330D5C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3DE3642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0B79A7E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2E2CAA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08B6D25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2657D19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综合评分法 </w:t>
      </w:r>
      <w:r>
        <w:rPr>
          <w:rFonts w:hint="eastAsia" w:ascii="宋体" w:hAnsi="宋体" w:cs="宋体"/>
          <w:color w:val="auto"/>
          <w:szCs w:val="21"/>
          <w:highlight w:val="none"/>
        </w:rPr>
        <w:t>（详见第三章评标办法）</w:t>
      </w:r>
    </w:p>
    <w:p w14:paraId="30C0A9E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7768583A">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C6408C4">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22A1C68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1F585B69">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6" w:name="_Toc152042315"/>
      <w:bookmarkStart w:id="27" w:name="_Toc247513962"/>
      <w:bookmarkStart w:id="28" w:name="_Toc144974507"/>
      <w:bookmarkStart w:id="29" w:name="_Toc247527563"/>
      <w:bookmarkStart w:id="30" w:name="_Toc152045539"/>
      <w:bookmarkStart w:id="31" w:name="_Toc296602429"/>
      <w:bookmarkStart w:id="32" w:name="_Toc247592876"/>
      <w:r>
        <w:rPr>
          <w:rFonts w:hint="eastAsia" w:ascii="宋体" w:hAnsi="宋体" w:cs="宋体"/>
          <w:b/>
          <w:color w:val="auto"/>
          <w:szCs w:val="21"/>
          <w:highlight w:val="none"/>
        </w:rPr>
        <w:t xml:space="preserve"> 踏勘现场</w:t>
      </w:r>
      <w:bookmarkEnd w:id="26"/>
      <w:bookmarkEnd w:id="27"/>
      <w:bookmarkEnd w:id="28"/>
      <w:bookmarkEnd w:id="29"/>
      <w:bookmarkEnd w:id="30"/>
      <w:bookmarkEnd w:id="31"/>
      <w:bookmarkEnd w:id="32"/>
    </w:p>
    <w:p w14:paraId="6292D57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40A25EED">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2E6F200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3C8DC6B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3" w:name="_Toc296602430"/>
      <w:bookmarkStart w:id="34" w:name="_Toc247527564"/>
      <w:bookmarkStart w:id="35" w:name="_Toc144974508"/>
      <w:bookmarkStart w:id="36" w:name="_Toc247592877"/>
      <w:bookmarkStart w:id="37" w:name="_Toc247513963"/>
      <w:bookmarkStart w:id="38" w:name="_Toc152042316"/>
      <w:bookmarkStart w:id="39" w:name="_Toc152045540"/>
    </w:p>
    <w:p w14:paraId="095043B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3"/>
      <w:bookmarkEnd w:id="34"/>
      <w:bookmarkEnd w:id="35"/>
      <w:bookmarkEnd w:id="36"/>
      <w:bookmarkEnd w:id="37"/>
      <w:bookmarkEnd w:id="38"/>
      <w:bookmarkEnd w:id="39"/>
      <w:r>
        <w:rPr>
          <w:rFonts w:hint="eastAsia" w:ascii="宋体" w:hAnsi="宋体" w:cs="宋体"/>
          <w:b/>
          <w:color w:val="auto"/>
          <w:szCs w:val="21"/>
          <w:highlight w:val="none"/>
        </w:rPr>
        <w:t>（本项目不采用）</w:t>
      </w:r>
    </w:p>
    <w:p w14:paraId="1CFF504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4D94E91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47527F15">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417C0F5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3A466176">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27BC6C0D">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1B156C5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17407B56">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179F291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7E4B18A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07F943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9A558E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09C11E2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14:paraId="66AC8D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2210261B">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14:paraId="42199CAE">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4D93724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004E621">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14A55628">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5C1B24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61066CC8">
      <w:pPr>
        <w:spacing w:before="312" w:beforeLines="100" w:after="312" w:afterLines="100" w:line="440" w:lineRule="exact"/>
        <w:jc w:val="center"/>
        <w:rPr>
          <w:rFonts w:hint="eastAsia" w:ascii="宋体" w:hAnsi="宋体" w:cs="宋体"/>
          <w:b/>
          <w:color w:val="auto"/>
          <w:sz w:val="28"/>
          <w:szCs w:val="28"/>
          <w:highlight w:val="none"/>
        </w:rPr>
      </w:pPr>
      <w:bookmarkStart w:id="40" w:name="_Toc449028868"/>
      <w:r>
        <w:rPr>
          <w:rFonts w:hint="eastAsia" w:ascii="宋体" w:hAnsi="宋体" w:cs="宋体"/>
          <w:b/>
          <w:color w:val="auto"/>
          <w:sz w:val="28"/>
          <w:szCs w:val="28"/>
          <w:highlight w:val="none"/>
        </w:rPr>
        <w:t>（二）</w:t>
      </w:r>
      <w:bookmarkEnd w:id="40"/>
      <w:r>
        <w:rPr>
          <w:rFonts w:hint="eastAsia" w:ascii="宋体" w:hAnsi="宋体" w:cs="宋体"/>
          <w:b/>
          <w:color w:val="auto"/>
          <w:sz w:val="28"/>
          <w:szCs w:val="28"/>
          <w:highlight w:val="none"/>
        </w:rPr>
        <w:t>招标文件</w:t>
      </w:r>
    </w:p>
    <w:p w14:paraId="46A4402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777EEB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40878A9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1055017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6295F93E">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79FDCAE1">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7092E14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5D819F8A">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14:paraId="15E89240">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第五章  合同条款及格式</w:t>
      </w:r>
    </w:p>
    <w:p w14:paraId="5A2E8E8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14:paraId="12C92DC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1F97DF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7F026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将以更正公告形式在滁州市扬子工业投资集团有限公司官网（https://czyzgtjt.com/）或中国扬子集团官网（http://www.yangzigroup.cn/）予以公布</w:t>
      </w:r>
      <w:r>
        <w:rPr>
          <w:rFonts w:hint="eastAsia" w:ascii="宋体" w:hAnsi="宋体" w:cs="宋体"/>
          <w:color w:val="auto"/>
          <w:szCs w:val="21"/>
          <w:highlight w:val="none"/>
        </w:rPr>
        <w:t>，但不指明澄清问题的来源。如果澄清内容影响投标文件编制的，将相应延长投标截止时间。</w:t>
      </w:r>
    </w:p>
    <w:p w14:paraId="1642BB00">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147FC37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在滁州市扬子工业投资集团有限公司官网（https://czyzgtjt.com/）或中国扬子集团官网（http://www.yangzigroup.cn/）予以公布。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084A3441">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31A55C4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5CC6CD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39EDD9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2EEBE02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135B59B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9288502">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0A2CBA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7AE5F188">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1823EE2A">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AA2827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4FC9C7E5">
      <w:pPr>
        <w:spacing w:before="312" w:beforeLines="100" w:after="312" w:afterLines="100" w:line="440" w:lineRule="exact"/>
        <w:jc w:val="center"/>
        <w:rPr>
          <w:rFonts w:hint="eastAsia" w:ascii="宋体" w:hAnsi="宋体" w:cs="宋体"/>
          <w:b/>
          <w:color w:val="auto"/>
          <w:sz w:val="28"/>
          <w:szCs w:val="28"/>
          <w:highlight w:val="none"/>
        </w:rPr>
      </w:pPr>
      <w:bookmarkStart w:id="41" w:name="_Toc449028869"/>
      <w:r>
        <w:rPr>
          <w:rFonts w:hint="eastAsia" w:ascii="宋体" w:hAnsi="宋体" w:cs="宋体"/>
          <w:b/>
          <w:color w:val="auto"/>
          <w:sz w:val="28"/>
          <w:szCs w:val="28"/>
          <w:highlight w:val="none"/>
        </w:rPr>
        <w:t>（三）投标文件的编制</w:t>
      </w:r>
      <w:bookmarkEnd w:id="41"/>
    </w:p>
    <w:p w14:paraId="7C9D5282">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788D9573">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4DADC22B">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6DB94D96">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2A6B9B4A">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1C4F64E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39666C4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3934078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C3D5D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01F38C13">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7D53EE2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02219291">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051CF94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1F1352B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14:paraId="26CF0D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552ED4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3BA8D03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661B54F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3CEAF67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6E90D1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16F2C61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2456500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615A0C4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517F2154">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01F990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04C711A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1E9EA90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43228F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5079D7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04F5B07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4CDE01CD">
      <w:pPr>
        <w:spacing w:before="312" w:beforeLines="100" w:after="312" w:afterLines="100" w:line="440" w:lineRule="exact"/>
        <w:jc w:val="center"/>
        <w:rPr>
          <w:rFonts w:hint="eastAsia" w:ascii="宋体" w:hAnsi="宋体" w:eastAsia="宋体" w:cs="宋体"/>
          <w:b/>
          <w:color w:val="auto"/>
          <w:sz w:val="28"/>
          <w:szCs w:val="28"/>
          <w:highlight w:val="none"/>
        </w:rPr>
      </w:pPr>
      <w:bookmarkStart w:id="42" w:name="_Toc449028870"/>
      <w:r>
        <w:rPr>
          <w:rFonts w:hint="eastAsia" w:ascii="宋体" w:hAnsi="宋体" w:eastAsia="宋体" w:cs="宋体"/>
          <w:b/>
          <w:color w:val="auto"/>
          <w:sz w:val="28"/>
          <w:szCs w:val="28"/>
          <w:highlight w:val="none"/>
        </w:rPr>
        <w:t>（四）投标文件的递交</w:t>
      </w:r>
      <w:bookmarkEnd w:id="42"/>
    </w:p>
    <w:p w14:paraId="188FD95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30F5148C">
      <w:pPr>
        <w:spacing w:line="440" w:lineRule="exact"/>
        <w:ind w:firstLine="315" w:firstLineChars="150"/>
        <w:jc w:val="left"/>
        <w:rPr>
          <w:rFonts w:hint="eastAsia" w:ascii="宋体" w:hAnsi="宋体" w:cs="宋体"/>
          <w:b w:val="0"/>
          <w:bCs w:val="0"/>
          <w:color w:val="auto"/>
          <w:szCs w:val="21"/>
          <w:highlight w:val="none"/>
        </w:rPr>
      </w:pPr>
      <w:bookmarkStart w:id="43"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14:paraId="0BBFAA11">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203AAEB9">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4DBC5CD5">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73AF4EAE">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5C9A4D67">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3"/>
    </w:p>
    <w:p w14:paraId="65B91A2F">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4928C5EA">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1122FB3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6E9A2C7D">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0071EB8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3036A2A2">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5C27A3B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0346E18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686E769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1E27BAA0">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6DF1C5EB">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5906DA5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22572585">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33523C3C">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0AF92ACC">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72582DBF">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2334D3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24E3766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5E64454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1BD179E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5768C106">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45ED8E7F">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3B189A38">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62A94FE">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70BEEED7">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2692215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60E0B5A">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3865BCA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2BE859A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1AFB7AB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49E336E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7A2C5D0C">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8CAE89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737D7BB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027B1FD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61DA60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29ADB63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385207F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067CB7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4267794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1B5F6AE">
      <w:pPr>
        <w:spacing w:line="440" w:lineRule="exact"/>
        <w:ind w:firstLine="210" w:firstLineChars="1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滁州市扬子工业投资集团有限公司官网（https://czyzgtjt.com/）或中国扬子集团官网（http://www.yangzigroup.cn/）</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2893B7B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656E47C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14E6A89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7C4858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30.2 中标通知书</w:t>
      </w:r>
    </w:p>
    <w:p w14:paraId="0BA81D80">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2</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429CF21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14:paraId="37CE554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348926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45A4E481">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2B4A84D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5E083CC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(2)投标人的报价均脱离实际且无充分证据的；</w:t>
      </w:r>
    </w:p>
    <w:p w14:paraId="3C00AD8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w:t>
      </w:r>
      <w:r>
        <w:rPr>
          <w:rFonts w:hint="eastAsia" w:ascii="宋体" w:hAnsi="宋体" w:eastAsia="宋体" w:cs="宋体"/>
          <w:color w:val="auto"/>
          <w:kern w:val="10"/>
          <w:szCs w:val="21"/>
          <w:highlight w:val="none"/>
        </w:rPr>
        <w:t>因重大变故，采购任务取消的。</w:t>
      </w:r>
    </w:p>
    <w:p w14:paraId="7438AA4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68D6B96A">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4" w:name="_Toc449028872"/>
      <w:r>
        <w:rPr>
          <w:rFonts w:hint="eastAsia" w:ascii="宋体" w:hAnsi="宋体" w:eastAsia="宋体" w:cs="宋体"/>
          <w:color w:val="auto"/>
          <w:kern w:val="10"/>
          <w:szCs w:val="21"/>
          <w:highlight w:val="none"/>
        </w:rPr>
        <w:t>按照滁州市公管局和财政局相关规定执行。</w:t>
      </w:r>
      <w:bookmarkEnd w:id="44"/>
      <w:bookmarkStart w:id="45" w:name="_Toc449028873"/>
    </w:p>
    <w:p w14:paraId="4168FF8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5"/>
    </w:p>
    <w:p w14:paraId="57DDED54">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05481F39">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18539A6E">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0D2F171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个工作日内，按照招标文件和中标人的投标文件订立书面采购合同。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486D17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33.2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0389EBB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43E9CC3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252D67BE">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6"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46"/>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3A460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4DC61C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38E9C6F9">
      <w:pPr>
        <w:spacing w:before="312" w:beforeLines="100" w:after="312" w:afterLines="100" w:line="440" w:lineRule="exact"/>
        <w:jc w:val="center"/>
        <w:rPr>
          <w:rFonts w:hint="eastAsia" w:ascii="宋体" w:hAnsi="宋体" w:eastAsia="宋体" w:cs="宋体"/>
          <w:b/>
          <w:color w:val="auto"/>
          <w:sz w:val="28"/>
          <w:szCs w:val="28"/>
          <w:highlight w:val="none"/>
        </w:rPr>
      </w:pPr>
      <w:bookmarkStart w:id="47" w:name="_Toc449028874"/>
      <w:r>
        <w:rPr>
          <w:rFonts w:hint="eastAsia" w:ascii="宋体" w:hAnsi="宋体" w:eastAsia="宋体" w:cs="宋体"/>
          <w:b/>
          <w:color w:val="auto"/>
          <w:sz w:val="28"/>
          <w:szCs w:val="28"/>
          <w:highlight w:val="none"/>
        </w:rPr>
        <w:t>（七）纪律和监督</w:t>
      </w:r>
      <w:bookmarkEnd w:id="47"/>
    </w:p>
    <w:p w14:paraId="26553498">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5EEEA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7B232892">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3090510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46E99431">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65471E5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3EE85A00">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684E0BD7">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31F13EA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5A25735">
      <w:pPr>
        <w:spacing w:before="312" w:beforeLines="100" w:after="312" w:afterLines="100" w:line="440" w:lineRule="exact"/>
        <w:jc w:val="center"/>
        <w:rPr>
          <w:rFonts w:hint="eastAsia" w:ascii="宋体" w:hAnsi="宋体" w:eastAsia="宋体" w:cs="宋体"/>
          <w:b/>
          <w:color w:val="auto"/>
          <w:sz w:val="28"/>
          <w:szCs w:val="28"/>
          <w:highlight w:val="none"/>
        </w:rPr>
      </w:pPr>
      <w:bookmarkStart w:id="48" w:name="_Toc449028875"/>
      <w:r>
        <w:rPr>
          <w:rFonts w:hint="eastAsia" w:ascii="宋体" w:hAnsi="宋体" w:eastAsia="宋体" w:cs="宋体"/>
          <w:b/>
          <w:color w:val="auto"/>
          <w:sz w:val="28"/>
          <w:szCs w:val="28"/>
          <w:highlight w:val="none"/>
        </w:rPr>
        <w:t>（八）质疑与投诉</w:t>
      </w:r>
      <w:bookmarkEnd w:id="48"/>
    </w:p>
    <w:p w14:paraId="77D3D939">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7B2D3B5F">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433CA35D">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3CB34A1">
      <w:pPr>
        <w:spacing w:line="440" w:lineRule="exact"/>
        <w:ind w:firstLine="450" w:firstLineChars="150"/>
        <w:jc w:val="left"/>
        <w:rPr>
          <w:rFonts w:hint="eastAsia" w:ascii="宋体" w:hAnsi="宋体" w:cs="宋体"/>
          <w:color w:val="auto"/>
          <w:sz w:val="30"/>
          <w:szCs w:val="30"/>
          <w:highlight w:val="none"/>
        </w:rPr>
      </w:pPr>
    </w:p>
    <w:p w14:paraId="79996EB8">
      <w:pPr>
        <w:spacing w:before="156" w:beforeLines="50" w:after="156" w:afterLines="50"/>
        <w:jc w:val="center"/>
        <w:outlineLvl w:val="0"/>
        <w:rPr>
          <w:rFonts w:hint="eastAsia" w:ascii="宋体"/>
          <w:b/>
          <w:color w:val="auto"/>
          <w:sz w:val="32"/>
          <w:szCs w:val="32"/>
          <w:highlight w:val="none"/>
        </w:rPr>
      </w:pPr>
      <w:bookmarkStart w:id="49" w:name="_Toc58430316"/>
      <w:r>
        <w:rPr>
          <w:rFonts w:hint="eastAsia" w:ascii="宋体"/>
          <w:b/>
          <w:color w:val="auto"/>
          <w:sz w:val="32"/>
          <w:szCs w:val="32"/>
          <w:highlight w:val="none"/>
        </w:rPr>
        <w:br w:type="page"/>
      </w:r>
      <w:r>
        <w:rPr>
          <w:rFonts w:hint="eastAsia" w:ascii="宋体"/>
          <w:b/>
          <w:color w:val="auto"/>
          <w:sz w:val="32"/>
          <w:szCs w:val="32"/>
          <w:highlight w:val="none"/>
        </w:rPr>
        <w:t>第三章 评标办法（综合评分法）</w:t>
      </w:r>
      <w:bookmarkEnd w:id="49"/>
    </w:p>
    <w:p w14:paraId="6C2BAEC5">
      <w:pPr>
        <w:spacing w:before="156" w:beforeLines="50" w:after="156" w:afterLines="50" w:line="440" w:lineRule="exact"/>
        <w:jc w:val="center"/>
        <w:outlineLvl w:val="1"/>
        <w:rPr>
          <w:rFonts w:hint="eastAsia" w:ascii="宋体"/>
          <w:b/>
          <w:color w:val="auto"/>
          <w:sz w:val="28"/>
          <w:szCs w:val="28"/>
          <w:highlight w:val="none"/>
        </w:rPr>
      </w:pPr>
      <w:bookmarkStart w:id="50" w:name="_Toc362983801"/>
      <w:bookmarkStart w:id="51" w:name="_Toc58430317"/>
      <w:bookmarkStart w:id="52" w:name="_Toc449028877"/>
      <w:bookmarkStart w:id="53" w:name="_Toc267320058"/>
      <w:bookmarkStart w:id="54" w:name="_Toc363135205"/>
      <w:r>
        <w:rPr>
          <w:rFonts w:hint="eastAsia" w:ascii="宋体"/>
          <w:b/>
          <w:color w:val="auto"/>
          <w:sz w:val="28"/>
          <w:szCs w:val="28"/>
          <w:highlight w:val="none"/>
        </w:rPr>
        <w:t>一、总则</w:t>
      </w:r>
      <w:bookmarkEnd w:id="50"/>
      <w:bookmarkEnd w:id="51"/>
      <w:bookmarkEnd w:id="52"/>
    </w:p>
    <w:p w14:paraId="40038418">
      <w:pPr>
        <w:spacing w:line="440" w:lineRule="exact"/>
        <w:ind w:firstLine="316" w:firstLineChars="150"/>
        <w:jc w:val="left"/>
        <w:rPr>
          <w:rFonts w:hint="eastAsia" w:ascii="宋体"/>
          <w:b/>
          <w:color w:val="auto"/>
          <w:szCs w:val="21"/>
          <w:highlight w:val="none"/>
        </w:rPr>
      </w:pPr>
      <w:r>
        <w:rPr>
          <w:rFonts w:hint="eastAsia" w:ascii="宋体"/>
          <w:b/>
          <w:color w:val="auto"/>
          <w:szCs w:val="21"/>
          <w:highlight w:val="none"/>
        </w:rPr>
        <w:t xml:space="preserve"> 1. 本次评标采用综合评分法</w:t>
      </w:r>
    </w:p>
    <w:p w14:paraId="20DC08E7">
      <w:pPr>
        <w:spacing w:line="440" w:lineRule="exact"/>
        <w:ind w:firstLine="420" w:firstLineChars="200"/>
        <w:jc w:val="left"/>
        <w:rPr>
          <w:rFonts w:hint="eastAsia" w:ascii="宋体" w:hAnsi="宋体"/>
          <w:color w:val="auto"/>
          <w:szCs w:val="21"/>
          <w:highlight w:val="none"/>
        </w:rPr>
      </w:pPr>
      <w:r>
        <w:rPr>
          <w:rFonts w:hint="eastAsia" w:ascii="宋体"/>
          <w:color w:val="auto"/>
          <w:szCs w:val="21"/>
          <w:highlight w:val="none"/>
        </w:rPr>
        <w:t>1.1综合评分法是指投标文件满足招标文件全部实质性要求且按照评审因素的量化指标评审总得分从高到低的供应商为中标候选人的评标方法。</w:t>
      </w:r>
    </w:p>
    <w:p w14:paraId="0E70C76D">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 1.2综合评分法一般适用于较为复杂、评价指标难以量化且价格为非主要因素的非标准定制商品和非通用服务项目的项目评审。</w:t>
      </w:r>
    </w:p>
    <w:p w14:paraId="5A95EDE7">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194E114">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43898BA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126B96E0">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752AB293">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14:paraId="3F15C252">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.1按招标文件中规定的评标方法和标准，对资格性检查和符合性检查合格的投标文件进行资信、商务和技术评估，综合比较与评价。</w:t>
      </w:r>
    </w:p>
    <w:p w14:paraId="0EEEE6B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14:paraId="500B02CF">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14:paraId="16B9951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B4C4FAC">
      <w:pPr>
        <w:jc w:val="center"/>
        <w:outlineLvl w:val="1"/>
        <w:rPr>
          <w:rFonts w:hint="eastAsia" w:ascii="宋体"/>
          <w:b/>
          <w:color w:val="auto"/>
          <w:sz w:val="28"/>
          <w:szCs w:val="28"/>
          <w:highlight w:val="none"/>
        </w:rPr>
      </w:pPr>
      <w:bookmarkStart w:id="55" w:name="_Toc449028878"/>
      <w:bookmarkStart w:id="56" w:name="_Toc362983802"/>
      <w:bookmarkStart w:id="57" w:name="_Toc58430318"/>
      <w:r>
        <w:rPr>
          <w:rFonts w:hint="eastAsia" w:ascii="宋体"/>
          <w:b/>
          <w:color w:val="auto"/>
          <w:sz w:val="28"/>
          <w:szCs w:val="28"/>
          <w:highlight w:val="none"/>
        </w:rPr>
        <w:t>二、投标文件初审</w:t>
      </w:r>
      <w:bookmarkEnd w:id="55"/>
      <w:bookmarkEnd w:id="56"/>
      <w:bookmarkEnd w:id="57"/>
    </w:p>
    <w:p w14:paraId="56CCA69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14:paraId="108E27B1">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14:paraId="13DD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19D3AF4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14:paraId="43EC144B">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14:paraId="55D706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552FE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48A701A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DECD9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14:paraId="6E0C574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14:paraId="4B8B61CC">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73D5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1369A7A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225E76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14:paraId="060602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14:paraId="160FBAD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424BAAD">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有效的营业执照和财政部门颁发的会计师事务所执业证书</w:t>
            </w:r>
          </w:p>
        </w:tc>
      </w:tr>
      <w:tr w14:paraId="533F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0BD23403">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04DF1CD">
            <w:pPr>
              <w:spacing w:line="440" w:lineRule="exact"/>
              <w:rPr>
                <w:rFonts w:hint="eastAsia" w:ascii="宋体" w:hAnsi="宋体" w:cs="宋体"/>
                <w:color w:val="auto"/>
                <w:szCs w:val="21"/>
                <w:highlight w:val="none"/>
              </w:rPr>
            </w:pPr>
          </w:p>
        </w:tc>
        <w:tc>
          <w:tcPr>
            <w:tcW w:w="3368" w:type="dxa"/>
            <w:noWrap w:val="0"/>
            <w:vAlign w:val="center"/>
          </w:tcPr>
          <w:p w14:paraId="36123AB9">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3）从事证券服务业务会计师事务所相关资质</w:t>
            </w:r>
          </w:p>
        </w:tc>
        <w:tc>
          <w:tcPr>
            <w:tcW w:w="4492" w:type="dxa"/>
            <w:noWrap w:val="0"/>
            <w:vAlign w:val="center"/>
          </w:tcPr>
          <w:p w14:paraId="54D1189E">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4BA29A79">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有效的资质证书或备案材料</w:t>
            </w:r>
          </w:p>
        </w:tc>
      </w:tr>
      <w:tr w14:paraId="597C9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noWrap w:val="0"/>
            <w:vAlign w:val="center"/>
          </w:tcPr>
          <w:p w14:paraId="6F725B5B">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641EF7D7">
            <w:pPr>
              <w:spacing w:line="440" w:lineRule="exact"/>
              <w:rPr>
                <w:rFonts w:hint="eastAsia" w:ascii="宋体" w:hAnsi="宋体" w:cs="宋体"/>
                <w:color w:val="auto"/>
                <w:szCs w:val="21"/>
                <w:highlight w:val="none"/>
              </w:rPr>
            </w:pPr>
          </w:p>
        </w:tc>
        <w:tc>
          <w:tcPr>
            <w:tcW w:w="3368" w:type="dxa"/>
            <w:noWrap w:val="0"/>
            <w:vAlign w:val="center"/>
          </w:tcPr>
          <w:p w14:paraId="3490078C">
            <w:pPr>
              <w:spacing w:line="440" w:lineRule="exact"/>
              <w:rPr>
                <w:rFonts w:hint="default" w:ascii="宋体" w:hAnsi="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4）项目负责人须具有全国注册会计师资格证书，除项目负责人外，投标人应至少安排1名注册会计师参与本项目。</w:t>
            </w:r>
          </w:p>
        </w:tc>
        <w:tc>
          <w:tcPr>
            <w:tcW w:w="4492" w:type="dxa"/>
            <w:noWrap w:val="0"/>
            <w:vAlign w:val="center"/>
          </w:tcPr>
          <w:p w14:paraId="522CE8A0">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2CD5FD50">
            <w:pPr>
              <w:spacing w:line="440" w:lineRule="exact"/>
              <w:rPr>
                <w:rFonts w:hint="default" w:ascii="宋体"/>
                <w:color w:val="auto"/>
                <w:szCs w:val="21"/>
                <w:highlight w:val="none"/>
                <w:lang w:val="en-US" w:eastAsia="zh-CN"/>
              </w:rPr>
            </w:pPr>
            <w:r>
              <w:rPr>
                <w:rFonts w:hint="eastAsia" w:ascii="宋体"/>
                <w:color w:val="auto"/>
                <w:szCs w:val="21"/>
                <w:highlight w:val="none"/>
                <w:lang w:val="en-US" w:eastAsia="zh-CN"/>
              </w:rPr>
              <w:t>人员有效身份证及注册证书。</w:t>
            </w:r>
          </w:p>
        </w:tc>
      </w:tr>
      <w:tr w14:paraId="1A40D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14:paraId="10932D88">
            <w:pPr>
              <w:spacing w:line="440" w:lineRule="exact"/>
              <w:jc w:val="center"/>
              <w:rPr>
                <w:rFonts w:hint="eastAsia" w:ascii="宋体" w:hAnsi="宋体" w:cs="宋体"/>
                <w:color w:val="auto"/>
                <w:szCs w:val="21"/>
                <w:highlight w:val="none"/>
              </w:rPr>
            </w:pPr>
          </w:p>
        </w:tc>
        <w:tc>
          <w:tcPr>
            <w:tcW w:w="1275" w:type="dxa"/>
            <w:vMerge w:val="continue"/>
            <w:noWrap w:val="0"/>
            <w:vAlign w:val="center"/>
          </w:tcPr>
          <w:p w14:paraId="317B264D">
            <w:pPr>
              <w:spacing w:line="440" w:lineRule="exact"/>
              <w:rPr>
                <w:rFonts w:hint="eastAsia" w:ascii="宋体" w:hAnsi="宋体" w:cs="宋体"/>
                <w:color w:val="auto"/>
                <w:szCs w:val="21"/>
                <w:highlight w:val="none"/>
              </w:rPr>
            </w:pPr>
          </w:p>
        </w:tc>
        <w:tc>
          <w:tcPr>
            <w:tcW w:w="3368" w:type="dxa"/>
            <w:noWrap w:val="0"/>
            <w:vAlign w:val="top"/>
          </w:tcPr>
          <w:p w14:paraId="3DD16907">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）诚信投标承诺书</w:t>
            </w:r>
          </w:p>
        </w:tc>
        <w:tc>
          <w:tcPr>
            <w:tcW w:w="4492" w:type="dxa"/>
            <w:noWrap w:val="0"/>
            <w:vAlign w:val="top"/>
          </w:tcPr>
          <w:p w14:paraId="1CCD055C">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704E46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3B3F76E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59064B2B">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1CC4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6A8874B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1AA0BA6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690DAEC6">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3477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3998D4E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733040F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24E71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56CDE27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26C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464391B9">
            <w:pPr>
              <w:spacing w:line="440" w:lineRule="exact"/>
              <w:rPr>
                <w:rFonts w:hint="eastAsia" w:ascii="宋体" w:hAnsi="宋体" w:cs="宋体"/>
                <w:color w:val="auto"/>
                <w:szCs w:val="21"/>
                <w:highlight w:val="none"/>
              </w:rPr>
            </w:pPr>
          </w:p>
        </w:tc>
        <w:tc>
          <w:tcPr>
            <w:tcW w:w="1204" w:type="dxa"/>
            <w:vMerge w:val="continue"/>
            <w:noWrap w:val="0"/>
            <w:vAlign w:val="center"/>
          </w:tcPr>
          <w:p w14:paraId="40AA97DD">
            <w:pPr>
              <w:spacing w:line="440" w:lineRule="exact"/>
              <w:rPr>
                <w:rFonts w:hint="eastAsia" w:ascii="宋体" w:hAnsi="宋体" w:cs="宋体"/>
                <w:color w:val="auto"/>
                <w:szCs w:val="21"/>
                <w:highlight w:val="none"/>
              </w:rPr>
            </w:pPr>
          </w:p>
        </w:tc>
        <w:tc>
          <w:tcPr>
            <w:tcW w:w="2931" w:type="dxa"/>
            <w:noWrap w:val="0"/>
            <w:vAlign w:val="center"/>
          </w:tcPr>
          <w:p w14:paraId="5DF544B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23FC92E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321E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04E7AB87">
            <w:pPr>
              <w:spacing w:line="440" w:lineRule="exact"/>
              <w:rPr>
                <w:rFonts w:hint="eastAsia" w:ascii="宋体" w:hAnsi="宋体" w:cs="宋体"/>
                <w:color w:val="auto"/>
                <w:szCs w:val="21"/>
                <w:highlight w:val="none"/>
              </w:rPr>
            </w:pPr>
          </w:p>
        </w:tc>
        <w:tc>
          <w:tcPr>
            <w:tcW w:w="1204" w:type="dxa"/>
            <w:vMerge w:val="continue"/>
            <w:noWrap w:val="0"/>
            <w:vAlign w:val="center"/>
          </w:tcPr>
          <w:p w14:paraId="0C7205FD">
            <w:pPr>
              <w:spacing w:line="440" w:lineRule="exact"/>
              <w:rPr>
                <w:rFonts w:hint="eastAsia" w:ascii="宋体" w:hAnsi="宋体" w:cs="宋体"/>
                <w:color w:val="auto"/>
                <w:szCs w:val="21"/>
                <w:highlight w:val="none"/>
              </w:rPr>
            </w:pPr>
          </w:p>
        </w:tc>
        <w:tc>
          <w:tcPr>
            <w:tcW w:w="2931" w:type="dxa"/>
            <w:noWrap w:val="0"/>
            <w:vAlign w:val="center"/>
          </w:tcPr>
          <w:p w14:paraId="6381A92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5ED57F57">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741C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27E52E4A">
            <w:pPr>
              <w:spacing w:line="440" w:lineRule="exact"/>
              <w:rPr>
                <w:rFonts w:hint="eastAsia" w:ascii="宋体" w:hAnsi="宋体" w:cs="宋体"/>
                <w:color w:val="auto"/>
                <w:szCs w:val="21"/>
                <w:highlight w:val="none"/>
              </w:rPr>
            </w:pPr>
          </w:p>
        </w:tc>
        <w:tc>
          <w:tcPr>
            <w:tcW w:w="1204" w:type="dxa"/>
            <w:vMerge w:val="continue"/>
            <w:noWrap w:val="0"/>
            <w:vAlign w:val="center"/>
          </w:tcPr>
          <w:p w14:paraId="1EAB75E0">
            <w:pPr>
              <w:spacing w:line="440" w:lineRule="exact"/>
              <w:rPr>
                <w:rFonts w:hint="eastAsia" w:ascii="宋体" w:hAnsi="宋体" w:cs="宋体"/>
                <w:color w:val="auto"/>
                <w:szCs w:val="21"/>
                <w:highlight w:val="none"/>
              </w:rPr>
            </w:pPr>
          </w:p>
        </w:tc>
        <w:tc>
          <w:tcPr>
            <w:tcW w:w="2931" w:type="dxa"/>
            <w:noWrap w:val="0"/>
            <w:vAlign w:val="center"/>
          </w:tcPr>
          <w:p w14:paraId="6C40551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7BE4924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E2D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16BD7BB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511F231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5F3B042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603D63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73BA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92D74AC">
            <w:pPr>
              <w:spacing w:line="440" w:lineRule="exact"/>
              <w:rPr>
                <w:rFonts w:hint="eastAsia" w:ascii="宋体" w:hAnsi="宋体" w:cs="宋体"/>
                <w:color w:val="auto"/>
                <w:szCs w:val="21"/>
                <w:highlight w:val="none"/>
              </w:rPr>
            </w:pPr>
          </w:p>
        </w:tc>
        <w:tc>
          <w:tcPr>
            <w:tcW w:w="1204" w:type="dxa"/>
            <w:vMerge w:val="continue"/>
            <w:noWrap w:val="0"/>
            <w:vAlign w:val="center"/>
          </w:tcPr>
          <w:p w14:paraId="05D53281">
            <w:pPr>
              <w:spacing w:line="440" w:lineRule="exact"/>
              <w:rPr>
                <w:rFonts w:hint="eastAsia" w:ascii="宋体" w:hAnsi="宋体" w:cs="宋体"/>
                <w:color w:val="auto"/>
                <w:szCs w:val="21"/>
                <w:highlight w:val="none"/>
              </w:rPr>
            </w:pPr>
          </w:p>
        </w:tc>
        <w:tc>
          <w:tcPr>
            <w:tcW w:w="2931" w:type="dxa"/>
            <w:noWrap w:val="0"/>
            <w:vAlign w:val="center"/>
          </w:tcPr>
          <w:p w14:paraId="221B672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0AAEADF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6575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582DD88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478953F0">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4C6C34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3728C2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357D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25E1A0F">
            <w:pPr>
              <w:spacing w:line="440" w:lineRule="exact"/>
              <w:rPr>
                <w:rFonts w:hint="eastAsia" w:ascii="宋体" w:hAnsi="宋体" w:cs="宋体"/>
                <w:color w:val="auto"/>
                <w:szCs w:val="21"/>
                <w:highlight w:val="none"/>
              </w:rPr>
            </w:pPr>
          </w:p>
        </w:tc>
        <w:tc>
          <w:tcPr>
            <w:tcW w:w="1204" w:type="dxa"/>
            <w:vMerge w:val="continue"/>
            <w:noWrap w:val="0"/>
            <w:vAlign w:val="center"/>
          </w:tcPr>
          <w:p w14:paraId="3D5E0C54">
            <w:pPr>
              <w:spacing w:line="440" w:lineRule="exact"/>
              <w:rPr>
                <w:rFonts w:hint="eastAsia" w:ascii="宋体" w:hAnsi="宋体" w:cs="宋体"/>
                <w:color w:val="auto"/>
                <w:szCs w:val="21"/>
                <w:highlight w:val="none"/>
              </w:rPr>
            </w:pPr>
          </w:p>
        </w:tc>
        <w:tc>
          <w:tcPr>
            <w:tcW w:w="2931" w:type="dxa"/>
            <w:noWrap w:val="0"/>
            <w:vAlign w:val="center"/>
          </w:tcPr>
          <w:p w14:paraId="1CC1C45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1D41C25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4786F04A">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144B2225">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73B6E7D3">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53E3A4D1">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3921DEB2">
      <w:pPr>
        <w:spacing w:line="440" w:lineRule="exact"/>
        <w:ind w:firstLine="525" w:firstLineChars="250"/>
        <w:rPr>
          <w:rFonts w:hint="eastAsia" w:ascii="宋体" w:hAnsi="宋体" w:cs="宋体"/>
          <w:color w:val="auto"/>
          <w:szCs w:val="21"/>
          <w:highlight w:val="none"/>
        </w:rPr>
      </w:pPr>
    </w:p>
    <w:p w14:paraId="65D05795">
      <w:pPr>
        <w:jc w:val="center"/>
        <w:outlineLvl w:val="1"/>
        <w:rPr>
          <w:rFonts w:hint="eastAsia" w:ascii="宋体" w:hAnsi="Times New Roman" w:eastAsia="宋体" w:cs="Times New Roman"/>
          <w:b/>
          <w:color w:val="auto"/>
          <w:sz w:val="28"/>
          <w:szCs w:val="28"/>
          <w:highlight w:val="none"/>
        </w:rPr>
      </w:pPr>
      <w:bookmarkStart w:id="58" w:name="_Toc58430319"/>
      <w:bookmarkStart w:id="59" w:name="_Toc449028879"/>
      <w:bookmarkStart w:id="60" w:name="_Toc362983803"/>
      <w:r>
        <w:rPr>
          <w:rFonts w:hint="eastAsia" w:ascii="宋体" w:hAnsi="Times New Roman" w:eastAsia="宋体" w:cs="Times New Roman"/>
          <w:b/>
          <w:color w:val="auto"/>
          <w:sz w:val="28"/>
          <w:szCs w:val="28"/>
          <w:highlight w:val="none"/>
        </w:rPr>
        <w:t>三、投标文件的澄清和补正</w:t>
      </w:r>
      <w:bookmarkEnd w:id="58"/>
      <w:bookmarkEnd w:id="59"/>
      <w:bookmarkEnd w:id="60"/>
    </w:p>
    <w:p w14:paraId="4702916A">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1EE4A4C1">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2DD680B">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5B05E202">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5FED7B32">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083C939">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1" w:name="_Toc449028880"/>
      <w:bookmarkStart w:id="62" w:name="_Toc58430320"/>
    </w:p>
    <w:p w14:paraId="27FC1911">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61"/>
      <w:bookmarkEnd w:id="62"/>
    </w:p>
    <w:p w14:paraId="1E9F2EEE">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63" w:name="_Toc362983805"/>
      <w:r>
        <w:rPr>
          <w:rFonts w:hint="eastAsia" w:ascii="宋体" w:hAnsi="宋体" w:eastAsia="宋体" w:cs="宋体"/>
          <w:b/>
          <w:color w:val="auto"/>
          <w:sz w:val="21"/>
          <w:szCs w:val="21"/>
          <w:highlight w:val="none"/>
        </w:rPr>
        <w:t>详细评审即按招标文件中规定的评标方法和标准，评标委员会将对通过初审的投标文件，进行资信、技术和商务部分评估、综合比较与评价。</w:t>
      </w:r>
    </w:p>
    <w:p w14:paraId="3BC7C2B8">
      <w:pPr>
        <w:keepNext w:val="0"/>
        <w:keepLines w:val="0"/>
        <w:pageBreakBefore w:val="0"/>
        <w:widowControl w:val="0"/>
        <w:kinsoku/>
        <w:overflowPunct/>
        <w:topLinePunct w:val="0"/>
        <w:autoSpaceDE/>
        <w:autoSpaceDN/>
        <w:bidi w:val="0"/>
        <w:spacing w:line="440" w:lineRule="exact"/>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6.1资信标评审细则（</w:t>
      </w:r>
      <w:r>
        <w:rPr>
          <w:rFonts w:hint="eastAsia" w:ascii="宋体" w:hAnsi="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bl>
      <w:tblPr>
        <w:tblStyle w:val="35"/>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14:paraId="2D344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4" w:hRule="atLeast"/>
          <w:jc w:val="center"/>
        </w:trPr>
        <w:tc>
          <w:tcPr>
            <w:tcW w:w="645" w:type="dxa"/>
            <w:noWrap w:val="0"/>
            <w:vAlign w:val="center"/>
          </w:tcPr>
          <w:p w14:paraId="1EBCA2FC">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3BD8B228">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40633863">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52B5E7FD">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3E110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645" w:type="dxa"/>
            <w:noWrap w:val="0"/>
            <w:vAlign w:val="center"/>
          </w:tcPr>
          <w:p w14:paraId="6389C8DE">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4A59F3CC">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执业记录</w:t>
            </w:r>
          </w:p>
        </w:tc>
        <w:tc>
          <w:tcPr>
            <w:tcW w:w="699" w:type="dxa"/>
            <w:noWrap w:val="0"/>
            <w:vAlign w:val="center"/>
          </w:tcPr>
          <w:p w14:paraId="2C953B24">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2DF5DF4E">
            <w:pPr>
              <w:keepNext w:val="0"/>
              <w:keepLines w:val="0"/>
              <w:pageBreakBefore w:val="0"/>
              <w:widowControl w:val="0"/>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投标人近三年</w:t>
            </w:r>
            <w:r>
              <w:rPr>
                <w:rFonts w:hint="eastAsia" w:ascii="宋体" w:hAnsi="宋体" w:cs="宋体"/>
                <w:color w:val="auto"/>
                <w:sz w:val="21"/>
                <w:szCs w:val="21"/>
                <w:highlight w:val="none"/>
                <w:lang w:val="en-US" w:eastAsia="zh-CN"/>
              </w:rPr>
              <w:t>具有5</w:t>
            </w:r>
            <w:r>
              <w:rPr>
                <w:rFonts w:hint="eastAsia" w:ascii="宋体" w:hAnsi="宋体" w:eastAsia="宋体" w:cs="宋体"/>
                <w:color w:val="auto"/>
                <w:sz w:val="21"/>
                <w:szCs w:val="21"/>
                <w:highlight w:val="none"/>
                <w:lang w:val="en-US" w:eastAsia="zh-CN"/>
              </w:rPr>
              <w:t>家</w:t>
            </w:r>
            <w:r>
              <w:rPr>
                <w:rFonts w:hint="eastAsia" w:ascii="宋体" w:hAnsi="宋体" w:cs="宋体"/>
                <w:color w:val="auto"/>
                <w:sz w:val="21"/>
                <w:szCs w:val="21"/>
                <w:highlight w:val="none"/>
                <w:lang w:val="en-US" w:eastAsia="zh-CN"/>
              </w:rPr>
              <w:t>国有企业</w:t>
            </w:r>
            <w:r>
              <w:rPr>
                <w:rFonts w:hint="eastAsia" w:ascii="宋体" w:hAnsi="宋体" w:eastAsia="宋体" w:cs="宋体"/>
                <w:color w:val="auto"/>
                <w:sz w:val="21"/>
                <w:szCs w:val="21"/>
                <w:highlight w:val="none"/>
                <w:lang w:val="en-US" w:eastAsia="zh-CN"/>
              </w:rPr>
              <w:t>财务报表年报审计项目业绩得</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分；每多提供</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家</w:t>
            </w:r>
            <w:r>
              <w:rPr>
                <w:rFonts w:hint="eastAsia" w:ascii="宋体" w:hAnsi="宋体" w:cs="宋体"/>
                <w:color w:val="auto"/>
                <w:sz w:val="21"/>
                <w:szCs w:val="21"/>
                <w:highlight w:val="none"/>
                <w:lang w:val="en-US" w:eastAsia="zh-CN"/>
              </w:rPr>
              <w:t>国有企业</w:t>
            </w:r>
            <w:r>
              <w:rPr>
                <w:rFonts w:hint="eastAsia" w:ascii="宋体" w:hAnsi="宋体" w:eastAsia="宋体" w:cs="宋体"/>
                <w:color w:val="auto"/>
                <w:sz w:val="21"/>
                <w:szCs w:val="21"/>
                <w:highlight w:val="none"/>
                <w:lang w:val="en-US" w:eastAsia="zh-CN"/>
              </w:rPr>
              <w:t>审计项目业绩</w:t>
            </w:r>
            <w:r>
              <w:rPr>
                <w:rFonts w:hint="eastAsia" w:ascii="宋体" w:hAnsi="宋体" w:cs="宋体"/>
                <w:color w:val="auto"/>
                <w:sz w:val="21"/>
                <w:szCs w:val="21"/>
                <w:highlight w:val="none"/>
                <w:lang w:val="en-US" w:eastAsia="zh-CN"/>
              </w:rPr>
              <w:t>加</w:t>
            </w:r>
            <w:r>
              <w:rPr>
                <w:rFonts w:hint="eastAsia" w:ascii="宋体" w:hAnsi="宋体" w:eastAsia="宋体" w:cs="宋体"/>
                <w:color w:val="auto"/>
                <w:sz w:val="21"/>
                <w:szCs w:val="21"/>
                <w:highlight w:val="none"/>
                <w:lang w:val="en-US" w:eastAsia="zh-CN"/>
              </w:rPr>
              <w:t>1分</w:t>
            </w:r>
            <w:r>
              <w:rPr>
                <w:rFonts w:hint="eastAsia" w:ascii="宋体" w:hAnsi="宋体" w:cs="宋体"/>
                <w:color w:val="auto"/>
                <w:sz w:val="21"/>
                <w:szCs w:val="21"/>
                <w:highlight w:val="none"/>
                <w:lang w:val="en-US" w:eastAsia="zh-CN"/>
              </w:rPr>
              <w:t>；本项满分</w:t>
            </w:r>
            <w:r>
              <w:rPr>
                <w:rFonts w:hint="eastAsia" w:ascii="宋体" w:hAnsi="宋体" w:eastAsia="宋体" w:cs="宋体"/>
                <w:color w:val="auto"/>
                <w:sz w:val="21"/>
                <w:szCs w:val="21"/>
                <w:highlight w:val="none"/>
                <w:lang w:val="en-US" w:eastAsia="zh-CN"/>
              </w:rPr>
              <w:t>最高</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p w14:paraId="428CAC94">
            <w:pPr>
              <w:keepNext w:val="0"/>
              <w:keepLines w:val="0"/>
              <w:pageBreakBefore w:val="0"/>
              <w:widowControl w:val="0"/>
              <w:kinsoku/>
              <w:overflowPunct/>
              <w:topLinePunct w:val="0"/>
              <w:autoSpaceDE/>
              <w:autoSpaceDN/>
              <w:bidi w:val="0"/>
              <w:spacing w:line="440" w:lineRule="exact"/>
              <w:jc w:val="left"/>
              <w:textAlignment w:val="auto"/>
              <w:rPr>
                <w:rFonts w:hint="default"/>
                <w:color w:val="auto"/>
                <w:lang w:val="en-US" w:eastAsia="zh-CN"/>
              </w:rPr>
            </w:pPr>
            <w:r>
              <w:rPr>
                <w:rFonts w:hint="eastAsia" w:ascii="宋体" w:hAnsi="宋体" w:eastAsia="宋体" w:cs="宋体"/>
                <w:b/>
                <w:bCs/>
                <w:color w:val="auto"/>
                <w:sz w:val="21"/>
                <w:szCs w:val="21"/>
                <w:highlight w:val="none"/>
                <w:lang w:val="en-US" w:eastAsia="zh-CN"/>
              </w:rPr>
              <w:t>【业绩证明材料需在投标文件中须提供</w:t>
            </w:r>
            <w:r>
              <w:rPr>
                <w:rFonts w:hint="eastAsia" w:ascii="Times New Roman" w:hAnsi="宋体" w:eastAsia="宋体" w:cs="Times New Roman"/>
                <w:b/>
                <w:bCs/>
                <w:color w:val="auto"/>
                <w:highlight w:val="none"/>
                <w:lang w:eastAsia="zh-CN"/>
              </w:rPr>
              <w:t>相关公司年报审计合同（业务委托书）</w:t>
            </w:r>
            <w:r>
              <w:rPr>
                <w:rFonts w:hint="eastAsia" w:ascii="宋体" w:hAnsi="宋体" w:eastAsia="宋体" w:cs="宋体"/>
                <w:b/>
                <w:bCs/>
                <w:color w:val="auto"/>
                <w:sz w:val="21"/>
                <w:szCs w:val="21"/>
                <w:highlight w:val="none"/>
                <w:lang w:val="en-US" w:eastAsia="zh-CN"/>
              </w:rPr>
              <w:t>复印件并加盖单位公章</w:t>
            </w:r>
            <w:r>
              <w:rPr>
                <w:rFonts w:hint="eastAsia" w:ascii="Times New Roman" w:hAnsi="宋体" w:eastAsia="宋体" w:cs="Times New Roman"/>
                <w:b/>
                <w:bCs/>
                <w:color w:val="auto"/>
                <w:highlight w:val="none"/>
                <w:lang w:eastAsia="zh-CN"/>
              </w:rPr>
              <w:t>】</w:t>
            </w:r>
          </w:p>
        </w:tc>
      </w:tr>
      <w:tr w14:paraId="20616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51968E4A">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7A6F93B6">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企业荣誉</w:t>
            </w:r>
          </w:p>
        </w:tc>
        <w:tc>
          <w:tcPr>
            <w:tcW w:w="699" w:type="dxa"/>
            <w:noWrap w:val="0"/>
            <w:vAlign w:val="center"/>
          </w:tcPr>
          <w:p w14:paraId="15E55482">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0F12726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left"/>
              <w:textAlignment w:val="auto"/>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投标人</w:t>
            </w:r>
            <w:r>
              <w:rPr>
                <w:rFonts w:hint="eastAsia" w:ascii="宋体" w:hAnsi="宋体" w:cs="宋体"/>
                <w:color w:val="auto"/>
                <w:sz w:val="21"/>
                <w:szCs w:val="21"/>
                <w:highlight w:val="none"/>
                <w:lang w:val="en-US" w:eastAsia="zh-CN"/>
              </w:rPr>
              <w:t>在</w:t>
            </w:r>
            <w:r>
              <w:rPr>
                <w:rFonts w:hint="eastAsia" w:ascii="宋体" w:hAnsi="宋体" w:eastAsia="宋体" w:cs="宋体"/>
                <w:color w:val="auto"/>
                <w:sz w:val="21"/>
                <w:szCs w:val="21"/>
                <w:highlight w:val="none"/>
                <w:lang w:val="en-US" w:eastAsia="zh-CN"/>
              </w:rPr>
              <w:t>中国注册会计师协会2023年9月发布的《2022年度会计师事务所综合评价百家排名信息（公示稿）》的通告</w:t>
            </w:r>
            <w:r>
              <w:rPr>
                <w:rFonts w:hint="eastAsia" w:ascii="宋体" w:hAnsi="宋体" w:cs="宋体"/>
                <w:color w:val="auto"/>
                <w:sz w:val="21"/>
                <w:szCs w:val="21"/>
                <w:highlight w:val="none"/>
                <w:lang w:val="en-US" w:eastAsia="zh-CN"/>
              </w:rPr>
              <w:t>中排名前10，得20分；排名前11-20，得17分；排名21-30，得14分；排名31-40，得11分；排名41-50，得8分；排名51-60，得5分；排名61-70，得2分；排名71-100，得1分；</w:t>
            </w:r>
          </w:p>
          <w:p w14:paraId="7B508CE7">
            <w:pPr>
              <w:pStyle w:val="2"/>
              <w:keepNext w:val="0"/>
              <w:keepLines w:val="0"/>
              <w:pageBreakBefore w:val="0"/>
              <w:widowControl w:val="0"/>
              <w:numPr>
                <w:ilvl w:val="0"/>
                <w:numId w:val="0"/>
              </w:numPr>
              <w:kinsoku/>
              <w:wordWrap/>
              <w:overflowPunct/>
              <w:topLinePunct w:val="0"/>
              <w:autoSpaceDE/>
              <w:autoSpaceDN/>
              <w:bidi w:val="0"/>
              <w:adjustRightInd/>
              <w:snapToGrid/>
              <w:spacing w:after="0" w:line="440" w:lineRule="exact"/>
              <w:textAlignment w:val="auto"/>
              <w:rPr>
                <w:rFonts w:hint="default"/>
                <w:color w:val="auto"/>
                <w:highlight w:val="none"/>
                <w:lang w:val="en-US" w:eastAsia="zh-CN"/>
              </w:rPr>
            </w:pPr>
            <w:r>
              <w:rPr>
                <w:rFonts w:hint="eastAsia" w:ascii="宋体" w:hAnsi="宋体" w:eastAsia="宋体" w:cs="宋体"/>
                <w:b/>
                <w:bCs/>
                <w:color w:val="auto"/>
                <w:sz w:val="21"/>
                <w:szCs w:val="21"/>
                <w:highlight w:val="none"/>
                <w:lang w:val="en-US" w:eastAsia="zh-CN"/>
              </w:rPr>
              <w:t>【需提供</w:t>
            </w:r>
            <w:r>
              <w:rPr>
                <w:rFonts w:hint="eastAsia" w:ascii="宋体" w:hAnsi="宋体" w:cs="宋体"/>
                <w:b/>
                <w:bCs/>
                <w:color w:val="auto"/>
                <w:sz w:val="21"/>
                <w:szCs w:val="21"/>
                <w:highlight w:val="none"/>
                <w:lang w:val="en-US" w:eastAsia="zh-CN"/>
              </w:rPr>
              <w:t>官方公告及相关附件</w:t>
            </w:r>
            <w:r>
              <w:rPr>
                <w:rFonts w:hint="eastAsia" w:ascii="宋体" w:hAnsi="宋体" w:eastAsia="宋体" w:cs="宋体"/>
                <w:b/>
                <w:bCs/>
                <w:color w:val="auto"/>
                <w:sz w:val="21"/>
                <w:szCs w:val="21"/>
                <w:highlight w:val="none"/>
                <w:lang w:val="en-US" w:eastAsia="zh-CN"/>
              </w:rPr>
              <w:t>】</w:t>
            </w:r>
          </w:p>
        </w:tc>
      </w:tr>
      <w:tr w14:paraId="743E4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14:paraId="0EB483B6">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注：各评委得分的平均值为投标人资信标得分，分值保留两位小数点。</w:t>
            </w:r>
          </w:p>
        </w:tc>
      </w:tr>
    </w:tbl>
    <w:p w14:paraId="6A42CA79">
      <w:pPr>
        <w:keepNext w:val="0"/>
        <w:keepLines w:val="0"/>
        <w:pageBreakBefore w:val="0"/>
        <w:widowControl w:val="0"/>
        <w:kinsoku/>
        <w:overflowPunct/>
        <w:topLinePunct w:val="0"/>
        <w:autoSpaceDE/>
        <w:autoSpaceDN/>
        <w:bidi w:val="0"/>
        <w:spacing w:line="440" w:lineRule="exact"/>
        <w:ind w:firstLine="210" w:firstLineChars="1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6.2技术标评审细则（</w:t>
      </w:r>
      <w:r>
        <w:rPr>
          <w:rFonts w:hint="eastAsia" w:ascii="宋体" w:hAnsi="宋体" w:cs="宋体"/>
          <w:color w:val="auto"/>
          <w:sz w:val="21"/>
          <w:szCs w:val="21"/>
          <w:highlight w:val="none"/>
          <w:lang w:val="en-US" w:eastAsia="zh-CN"/>
        </w:rPr>
        <w:t>55</w:t>
      </w:r>
      <w:r>
        <w:rPr>
          <w:rFonts w:hint="eastAsia" w:ascii="宋体" w:hAnsi="宋体" w:eastAsia="宋体" w:cs="宋体"/>
          <w:color w:val="auto"/>
          <w:sz w:val="21"/>
          <w:szCs w:val="21"/>
          <w:highlight w:val="none"/>
          <w:lang w:val="en-US" w:eastAsia="zh-CN"/>
        </w:rPr>
        <w:t>分）</w:t>
      </w:r>
    </w:p>
    <w:tbl>
      <w:tblPr>
        <w:tblStyle w:val="35"/>
        <w:tblW w:w="9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230"/>
        <w:gridCol w:w="699"/>
        <w:gridCol w:w="7409"/>
      </w:tblGrid>
      <w:tr w14:paraId="06295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295A1E53">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0" w:type="dxa"/>
            <w:noWrap w:val="0"/>
            <w:vAlign w:val="center"/>
          </w:tcPr>
          <w:p w14:paraId="78C40B47">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99" w:type="dxa"/>
            <w:noWrap w:val="0"/>
            <w:vAlign w:val="center"/>
          </w:tcPr>
          <w:p w14:paraId="60EE73DF">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409" w:type="dxa"/>
            <w:noWrap w:val="0"/>
            <w:vAlign w:val="center"/>
          </w:tcPr>
          <w:p w14:paraId="58E6C5DD">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4289C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603429F5">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30" w:type="dxa"/>
            <w:noWrap w:val="0"/>
            <w:vAlign w:val="center"/>
          </w:tcPr>
          <w:p w14:paraId="3684D411">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服务方案</w:t>
            </w:r>
            <w:r>
              <w:rPr>
                <w:rFonts w:hint="eastAsia" w:ascii="宋体" w:hAnsi="宋体" w:cs="宋体"/>
                <w:color w:val="auto"/>
                <w:sz w:val="21"/>
                <w:szCs w:val="21"/>
                <w:highlight w:val="none"/>
                <w:lang w:val="en-US" w:eastAsia="zh-CN"/>
              </w:rPr>
              <w:t>及人员配置</w:t>
            </w:r>
          </w:p>
        </w:tc>
        <w:tc>
          <w:tcPr>
            <w:tcW w:w="699" w:type="dxa"/>
            <w:noWrap w:val="0"/>
            <w:vAlign w:val="center"/>
          </w:tcPr>
          <w:p w14:paraId="08115E44">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6854FD23">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评审小组根据</w:t>
            </w:r>
            <w:r>
              <w:rPr>
                <w:rFonts w:hint="eastAsia" w:ascii="宋体" w:hAnsi="宋体" w:cs="宋体"/>
                <w:color w:val="auto"/>
                <w:szCs w:val="21"/>
                <w:highlight w:val="none"/>
              </w:rPr>
              <w:t>服务方案内容的全面性、可操作性、工作地点的便捷性</w:t>
            </w:r>
            <w:r>
              <w:rPr>
                <w:rFonts w:hint="eastAsia" w:ascii="宋体" w:hAnsi="宋体" w:cs="宋体"/>
                <w:color w:val="auto"/>
                <w:szCs w:val="21"/>
                <w:highlight w:val="none"/>
                <w:lang w:val="en-US" w:eastAsia="zh-CN"/>
              </w:rPr>
              <w:t>等</w:t>
            </w:r>
            <w:r>
              <w:rPr>
                <w:rFonts w:hint="eastAsia" w:ascii="宋体" w:hAnsi="宋体" w:cs="宋体"/>
                <w:color w:val="auto"/>
                <w:szCs w:val="21"/>
                <w:highlight w:val="none"/>
              </w:rPr>
              <w:t>方面进行综合对比</w:t>
            </w:r>
            <w:r>
              <w:rPr>
                <w:rFonts w:hint="eastAsia" w:ascii="宋体" w:hAnsi="宋体" w:cs="宋体"/>
                <w:color w:val="auto"/>
                <w:szCs w:val="21"/>
                <w:highlight w:val="none"/>
                <w:lang w:val="en-US" w:eastAsia="zh-CN"/>
              </w:rPr>
              <w:t>评审</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服务方案中包含人员安排，包括参与项目的人员清单。</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10分，良好的得9分，一般的得8分，合格的得7分，不合格或未提供的不得分。</w:t>
            </w:r>
          </w:p>
        </w:tc>
      </w:tr>
      <w:tr w14:paraId="4980A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5" w:type="dxa"/>
            <w:noWrap w:val="0"/>
            <w:vAlign w:val="center"/>
          </w:tcPr>
          <w:p w14:paraId="60B3DCCB">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30" w:type="dxa"/>
            <w:noWrap w:val="0"/>
            <w:vAlign w:val="center"/>
          </w:tcPr>
          <w:p w14:paraId="137FED3F">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质量管理</w:t>
            </w:r>
          </w:p>
        </w:tc>
        <w:tc>
          <w:tcPr>
            <w:tcW w:w="699" w:type="dxa"/>
            <w:noWrap w:val="0"/>
            <w:vAlign w:val="center"/>
          </w:tcPr>
          <w:p w14:paraId="0FE90718">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40分</w:t>
            </w:r>
          </w:p>
        </w:tc>
        <w:tc>
          <w:tcPr>
            <w:tcW w:w="7409" w:type="dxa"/>
            <w:noWrap w:val="0"/>
            <w:vAlign w:val="center"/>
          </w:tcPr>
          <w:p w14:paraId="1C533DB0">
            <w:pPr>
              <w:keepNext w:val="0"/>
              <w:keepLines w:val="0"/>
              <w:pageBreakBefore w:val="0"/>
              <w:widowControl w:val="0"/>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根据中国注册会计师行业管理信息系统，2021年1月1日至202</w:t>
            </w:r>
            <w:r>
              <w:rPr>
                <w:rFonts w:hint="eastAsia" w:ascii="宋体"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月31日以来投标人未受中国证监会或财政部行政处罚的，得</w:t>
            </w:r>
            <w:r>
              <w:rPr>
                <w:rFonts w:hint="eastAsia" w:ascii="宋体" w:hAnsi="宋体" w:cs="宋体"/>
                <w:color w:val="auto"/>
                <w:sz w:val="21"/>
                <w:szCs w:val="21"/>
                <w:highlight w:val="none"/>
                <w:lang w:val="en-US" w:eastAsia="zh-CN"/>
              </w:rPr>
              <w:t>40</w:t>
            </w:r>
            <w:r>
              <w:rPr>
                <w:rFonts w:hint="eastAsia" w:ascii="宋体" w:hAnsi="宋体" w:eastAsia="宋体" w:cs="宋体"/>
                <w:color w:val="auto"/>
                <w:sz w:val="21"/>
                <w:szCs w:val="21"/>
                <w:highlight w:val="none"/>
                <w:lang w:val="en-US" w:eastAsia="zh-CN"/>
              </w:rPr>
              <w:t>分，受1次行政处罚的，得</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分，受2次行政处罚及以上的，不得分。</w:t>
            </w:r>
          </w:p>
          <w:p w14:paraId="3219770B">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证明材料：提供《中国注册会计师行业管理信息系统》查询截图（盖投标人公章），且应反映其“处罚/惩信息”，未提供查询截图或未反映其“处罚/惩信息”的本项也得0分。</w:t>
            </w:r>
          </w:p>
        </w:tc>
      </w:tr>
      <w:tr w14:paraId="72190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645" w:type="dxa"/>
            <w:noWrap w:val="0"/>
            <w:vAlign w:val="center"/>
          </w:tcPr>
          <w:p w14:paraId="0F3123D2">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30" w:type="dxa"/>
            <w:noWrap w:val="0"/>
            <w:vAlign w:val="center"/>
          </w:tcPr>
          <w:p w14:paraId="1C683D0C">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信息安全管理</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风险承担能力</w:t>
            </w:r>
          </w:p>
        </w:tc>
        <w:tc>
          <w:tcPr>
            <w:tcW w:w="699" w:type="dxa"/>
            <w:noWrap w:val="0"/>
            <w:vAlign w:val="center"/>
          </w:tcPr>
          <w:p w14:paraId="0B2040EA">
            <w:pPr>
              <w:keepNext w:val="0"/>
              <w:keepLines w:val="0"/>
              <w:pageBreakBefore w:val="0"/>
              <w:widowControl w:val="0"/>
              <w:kinsoku/>
              <w:overflowPunct/>
              <w:topLinePunct w:val="0"/>
              <w:autoSpaceDE/>
              <w:autoSpaceDN/>
              <w:bidi w:val="0"/>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tc>
        <w:tc>
          <w:tcPr>
            <w:tcW w:w="7409" w:type="dxa"/>
            <w:noWrap w:val="0"/>
            <w:vAlign w:val="center"/>
          </w:tcPr>
          <w:p w14:paraId="2574CE5B">
            <w:pPr>
              <w:keepNext w:val="0"/>
              <w:keepLines w:val="0"/>
              <w:pageBreakBefore w:val="0"/>
              <w:widowControl w:val="0"/>
              <w:kinsoku/>
              <w:overflowPunct/>
              <w:topLinePunct w:val="0"/>
              <w:autoSpaceDE/>
              <w:autoSpaceDN/>
              <w:bidi w:val="0"/>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评审小组根据信息安全管理方案的科学性、有效性、可行性等</w:t>
            </w:r>
            <w:r>
              <w:rPr>
                <w:rFonts w:hint="eastAsia" w:ascii="宋体" w:hAnsi="宋体" w:cs="宋体"/>
                <w:color w:val="auto"/>
                <w:sz w:val="21"/>
                <w:szCs w:val="21"/>
                <w:highlight w:val="none"/>
                <w:lang w:val="en-US" w:eastAsia="zh-CN"/>
              </w:rPr>
              <w:t>及风险承担的应对方案等</w:t>
            </w:r>
            <w:r>
              <w:rPr>
                <w:rFonts w:hint="eastAsia" w:ascii="宋体" w:hAnsi="宋体" w:eastAsia="宋体" w:cs="宋体"/>
                <w:color w:val="auto"/>
                <w:sz w:val="21"/>
                <w:szCs w:val="21"/>
                <w:highlight w:val="none"/>
                <w:lang w:val="en-US" w:eastAsia="zh-CN"/>
              </w:rPr>
              <w:t>进行综合对比评审，</w:t>
            </w:r>
            <w:r>
              <w:rPr>
                <w:rFonts w:hint="eastAsia" w:ascii="宋体" w:hAnsi="宋体" w:cs="宋体"/>
                <w:color w:val="auto"/>
                <w:szCs w:val="21"/>
                <w:highlight w:val="none"/>
              </w:rPr>
              <w:t>优秀的得</w:t>
            </w:r>
            <w:r>
              <w:rPr>
                <w:rFonts w:hint="eastAsia" w:ascii="宋体" w:hAnsi="宋体" w:cs="宋体"/>
                <w:color w:val="auto"/>
                <w:szCs w:val="21"/>
                <w:highlight w:val="none"/>
                <w:lang w:val="en-US" w:eastAsia="zh-CN"/>
              </w:rPr>
              <w:t>5分、良好的得4.5分，一般的得4分，合格的得3.5分，不合格或未提供的不得分。</w:t>
            </w:r>
          </w:p>
        </w:tc>
      </w:tr>
      <w:tr w14:paraId="727F9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83" w:type="dxa"/>
            <w:gridSpan w:val="4"/>
            <w:noWrap w:val="0"/>
            <w:vAlign w:val="center"/>
          </w:tcPr>
          <w:p w14:paraId="521EA574">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color w:val="auto"/>
                <w:spacing w:val="-2"/>
                <w:sz w:val="21"/>
                <w:szCs w:val="21"/>
                <w:highlight w:val="none"/>
              </w:rPr>
            </w:pPr>
            <w:r>
              <w:rPr>
                <w:rFonts w:hint="eastAsia" w:ascii="宋体" w:hAnsi="宋体" w:eastAsia="宋体" w:cs="宋体"/>
                <w:b/>
                <w:color w:val="auto"/>
                <w:sz w:val="21"/>
                <w:szCs w:val="21"/>
                <w:highlight w:val="none"/>
              </w:rPr>
              <w:t>注：各评委得分的平均值为投标人</w:t>
            </w:r>
            <w:r>
              <w:rPr>
                <w:rFonts w:hint="eastAsia" w:ascii="宋体" w:hAnsi="宋体" w:eastAsia="宋体" w:cs="宋体"/>
                <w:b/>
                <w:color w:val="auto"/>
                <w:sz w:val="21"/>
                <w:szCs w:val="21"/>
                <w:highlight w:val="none"/>
                <w:lang w:val="en-US" w:eastAsia="zh-CN"/>
              </w:rPr>
              <w:t>技术</w:t>
            </w:r>
            <w:r>
              <w:rPr>
                <w:rFonts w:hint="eastAsia" w:ascii="宋体" w:hAnsi="宋体" w:eastAsia="宋体" w:cs="宋体"/>
                <w:b/>
                <w:color w:val="auto"/>
                <w:sz w:val="21"/>
                <w:szCs w:val="21"/>
                <w:highlight w:val="none"/>
              </w:rPr>
              <w:t>标得分，分值保留两位小数点。</w:t>
            </w:r>
          </w:p>
        </w:tc>
      </w:tr>
    </w:tbl>
    <w:p w14:paraId="234201EB">
      <w:pPr>
        <w:keepNext w:val="0"/>
        <w:keepLines w:val="0"/>
        <w:pageBreakBefore w:val="0"/>
        <w:widowControl w:val="0"/>
        <w:kinsoku/>
        <w:overflowPunct/>
        <w:topLinePunct w:val="0"/>
        <w:autoSpaceDE/>
        <w:autoSpaceDN/>
        <w:bidi w:val="0"/>
        <w:spacing w:line="440" w:lineRule="exact"/>
        <w:ind w:firstLine="210" w:firstLineChars="100"/>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6.</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商务标评审细则</w:t>
      </w:r>
      <w:r>
        <w:rPr>
          <w:rFonts w:hint="eastAsia" w:ascii="宋体" w:hAnsi="宋体" w:eastAsia="宋体" w:cs="宋体"/>
          <w:bCs/>
          <w:color w:val="auto"/>
          <w:sz w:val="21"/>
          <w:szCs w:val="21"/>
          <w:highlight w:val="none"/>
        </w:rPr>
        <w:t>（</w:t>
      </w: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273"/>
        <w:gridCol w:w="675"/>
        <w:gridCol w:w="7375"/>
      </w:tblGrid>
      <w:tr w14:paraId="13F28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15" w:type="dxa"/>
            <w:noWrap w:val="0"/>
            <w:vAlign w:val="center"/>
          </w:tcPr>
          <w:p w14:paraId="140DD12A">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73" w:type="dxa"/>
            <w:noWrap w:val="0"/>
            <w:vAlign w:val="center"/>
          </w:tcPr>
          <w:p w14:paraId="5F9DE742">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评分因素</w:t>
            </w:r>
          </w:p>
        </w:tc>
        <w:tc>
          <w:tcPr>
            <w:tcW w:w="675" w:type="dxa"/>
            <w:noWrap w:val="0"/>
            <w:vAlign w:val="center"/>
          </w:tcPr>
          <w:p w14:paraId="6DAD8FB0">
            <w:pPr>
              <w:keepNext w:val="0"/>
              <w:keepLines w:val="0"/>
              <w:pageBreakBefore w:val="0"/>
              <w:widowControl w:val="0"/>
              <w:kinsoku/>
              <w:overflowPunct/>
              <w:topLinePunct w:val="0"/>
              <w:autoSpaceDE/>
              <w:autoSpaceDN/>
              <w:bidi w:val="0"/>
              <w:spacing w:line="44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分值</w:t>
            </w:r>
          </w:p>
        </w:tc>
        <w:tc>
          <w:tcPr>
            <w:tcW w:w="7375" w:type="dxa"/>
            <w:noWrap w:val="0"/>
            <w:vAlign w:val="center"/>
          </w:tcPr>
          <w:p w14:paraId="2CB63D6F">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评审细则</w:t>
            </w:r>
          </w:p>
        </w:tc>
      </w:tr>
      <w:tr w14:paraId="70B8B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715" w:type="dxa"/>
            <w:noWrap w:val="0"/>
            <w:vAlign w:val="center"/>
          </w:tcPr>
          <w:p w14:paraId="34D609BA">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73" w:type="dxa"/>
            <w:noWrap w:val="0"/>
            <w:vAlign w:val="center"/>
          </w:tcPr>
          <w:p w14:paraId="18A93BAB">
            <w:pPr>
              <w:keepNext w:val="0"/>
              <w:keepLines w:val="0"/>
              <w:pageBreakBefore w:val="0"/>
              <w:widowControl w:val="0"/>
              <w:kinsoku/>
              <w:overflowPunct/>
              <w:topLinePunct w:val="0"/>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w:t>
            </w:r>
          </w:p>
        </w:tc>
        <w:tc>
          <w:tcPr>
            <w:tcW w:w="675" w:type="dxa"/>
            <w:noWrap w:val="0"/>
            <w:vAlign w:val="center"/>
          </w:tcPr>
          <w:p w14:paraId="4E39A1A7">
            <w:pPr>
              <w:keepNext w:val="0"/>
              <w:keepLines w:val="0"/>
              <w:pageBreakBefore w:val="0"/>
              <w:widowControl w:val="0"/>
              <w:kinsoku/>
              <w:overflowPunct/>
              <w:topLinePunct w:val="0"/>
              <w:autoSpaceDE/>
              <w:autoSpaceDN/>
              <w:bidi w:val="0"/>
              <w:adjustRightInd w:val="0"/>
              <w:snapToGrid w:val="0"/>
              <w:spacing w:line="440" w:lineRule="exact"/>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15</w:t>
            </w:r>
            <w:r>
              <w:rPr>
                <w:rFonts w:hint="eastAsia" w:ascii="宋体" w:hAnsi="宋体" w:eastAsia="宋体" w:cs="宋体"/>
                <w:bCs/>
                <w:color w:val="auto"/>
                <w:sz w:val="21"/>
                <w:szCs w:val="21"/>
                <w:highlight w:val="none"/>
              </w:rPr>
              <w:t>分</w:t>
            </w:r>
          </w:p>
        </w:tc>
        <w:tc>
          <w:tcPr>
            <w:tcW w:w="7375" w:type="dxa"/>
            <w:noWrap w:val="0"/>
            <w:vAlign w:val="center"/>
          </w:tcPr>
          <w:p w14:paraId="2A06A9A2">
            <w:pPr>
              <w:keepNext w:val="0"/>
              <w:keepLines w:val="0"/>
              <w:pageBreakBefore w:val="0"/>
              <w:widowControl w:val="0"/>
              <w:tabs>
                <w:tab w:val="left" w:pos="1080"/>
              </w:tabs>
              <w:kinsoku/>
              <w:wordWrap w:val="0"/>
              <w:overflowPunct/>
              <w:topLinePunct w:val="0"/>
              <w:autoSpaceDE/>
              <w:autoSpaceDN/>
              <w:bidi w:val="0"/>
              <w:spacing w:line="440" w:lineRule="exact"/>
              <w:ind w:right="105" w:firstLine="21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cs="宋体"/>
                <w:color w:val="auto"/>
                <w:sz w:val="21"/>
                <w:szCs w:val="21"/>
                <w:highlight w:val="none"/>
                <w:lang w:eastAsia="zh-CN"/>
              </w:rPr>
              <w:t>招标人</w:t>
            </w:r>
            <w:r>
              <w:rPr>
                <w:rFonts w:hint="eastAsia" w:ascii="宋体" w:hAnsi="宋体" w:eastAsia="宋体" w:cs="宋体"/>
                <w:color w:val="auto"/>
                <w:sz w:val="21"/>
                <w:szCs w:val="21"/>
                <w:highlight w:val="none"/>
              </w:rPr>
              <w:t>设置投标报价最高限价，各投标人有效报价不得高于最高限价，否则，其投标文件按无效标处理。</w:t>
            </w:r>
          </w:p>
          <w:p w14:paraId="5E885281">
            <w:pPr>
              <w:keepNext w:val="0"/>
              <w:keepLines w:val="0"/>
              <w:pageBreakBefore w:val="0"/>
              <w:widowControl w:val="0"/>
              <w:tabs>
                <w:tab w:val="left" w:pos="1080"/>
              </w:tabs>
              <w:kinsoku/>
              <w:overflowPunct/>
              <w:topLinePunct w:val="0"/>
              <w:autoSpaceDE/>
              <w:autoSpaceDN/>
              <w:bidi w:val="0"/>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选聘</w:t>
            </w:r>
            <w:r>
              <w:rPr>
                <w:rFonts w:hint="eastAsia" w:ascii="宋体" w:hAnsi="宋体" w:eastAsia="宋体" w:cs="宋体"/>
                <w:color w:val="auto"/>
                <w:sz w:val="21"/>
                <w:szCs w:val="21"/>
                <w:highlight w:val="none"/>
              </w:rPr>
              <w:t>基准价=</w:t>
            </w:r>
            <w:r>
              <w:rPr>
                <w:rFonts w:hint="eastAsia" w:ascii="宋体" w:hAnsi="宋体" w:eastAsia="宋体" w:cs="宋体"/>
                <w:color w:val="auto"/>
                <w:sz w:val="21"/>
                <w:szCs w:val="21"/>
                <w:highlight w:val="none"/>
                <w:lang w:val="en-US" w:eastAsia="zh-CN"/>
              </w:rPr>
              <w:t>满足招标文件要求的所有有效投标人报价的平均值</w:t>
            </w:r>
            <w:r>
              <w:rPr>
                <w:rFonts w:hint="eastAsia" w:ascii="宋体" w:hAnsi="宋体" w:eastAsia="宋体" w:cs="宋体"/>
                <w:color w:val="auto"/>
                <w:sz w:val="21"/>
                <w:szCs w:val="21"/>
                <w:highlight w:val="none"/>
              </w:rPr>
              <w:t>；</w:t>
            </w:r>
          </w:p>
          <w:p w14:paraId="784F850C">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.其它报价得分=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1-∣选聘基准价-审计费用报价∣/选聘基准价）*15</w:t>
            </w:r>
          </w:p>
          <w:p w14:paraId="772FB6A9">
            <w:pPr>
              <w:keepNext w:val="0"/>
              <w:keepLines w:val="0"/>
              <w:pageBreakBefore w:val="0"/>
              <w:widowControl w:val="0"/>
              <w:tabs>
                <w:tab w:val="left" w:pos="1080"/>
              </w:tabs>
              <w:kinsoku/>
              <w:overflowPunct/>
              <w:topLinePunct w:val="0"/>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.本项分值由评标委员会负责组织计算。分数保留两位小数点，第三位四舍五</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入。</w:t>
            </w:r>
          </w:p>
        </w:tc>
      </w:tr>
    </w:tbl>
    <w:p w14:paraId="4ADA50E4">
      <w:pPr>
        <w:spacing w:line="440" w:lineRule="exact"/>
        <w:ind w:firstLine="422" w:firstLineChars="200"/>
        <w:jc w:val="left"/>
        <w:rPr>
          <w:rFonts w:hint="eastAsia" w:ascii="宋体" w:cs="宋体"/>
          <w:b/>
          <w:color w:val="auto"/>
          <w:szCs w:val="21"/>
          <w:highlight w:val="none"/>
        </w:rPr>
      </w:pPr>
      <w:r>
        <w:rPr>
          <w:rFonts w:hint="eastAsia" w:ascii="宋体" w:cs="宋体"/>
          <w:b/>
          <w:color w:val="auto"/>
          <w:szCs w:val="21"/>
          <w:highlight w:val="none"/>
        </w:rPr>
        <w:t>特别说明：</w:t>
      </w:r>
    </w:p>
    <w:p w14:paraId="25ED49CE">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1、</w:t>
      </w:r>
      <w:r>
        <w:rPr>
          <w:rFonts w:hint="eastAsia"/>
          <w:b w:val="0"/>
          <w:bCs/>
          <w:color w:val="auto"/>
          <w:szCs w:val="21"/>
          <w:highlight w:val="none"/>
        </w:rPr>
        <w:t>评标专家检验电子投标文件的上述材料，如果由于投标人自身原因导致评标专家无法查看并检验电子投标文件中以上相关资料的，后果由投标人自行承担。</w:t>
      </w:r>
    </w:p>
    <w:p w14:paraId="3F8812A9">
      <w:pPr>
        <w:spacing w:line="440" w:lineRule="exact"/>
        <w:ind w:left="-420" w:leftChars="-200" w:firstLine="420" w:firstLineChars="200"/>
        <w:jc w:val="left"/>
        <w:rPr>
          <w:rFonts w:hint="eastAsia"/>
          <w:b w:val="0"/>
          <w:bCs/>
          <w:color w:val="auto"/>
          <w:szCs w:val="21"/>
          <w:highlight w:val="none"/>
        </w:rPr>
      </w:pPr>
      <w:r>
        <w:rPr>
          <w:rFonts w:hint="eastAsia"/>
          <w:b w:val="0"/>
          <w:bCs/>
          <w:color w:val="auto"/>
          <w:szCs w:val="21"/>
          <w:highlight w:val="none"/>
          <w:lang w:val="en-US" w:eastAsia="zh-CN"/>
        </w:rPr>
        <w:t>2、</w:t>
      </w:r>
      <w:r>
        <w:rPr>
          <w:rFonts w:hint="eastAsia"/>
          <w:b w:val="0"/>
          <w:bCs/>
          <w:color w:val="auto"/>
          <w:szCs w:val="21"/>
          <w:highlight w:val="none"/>
        </w:rPr>
        <w:t>以上分值均保留二位小数，小数点后第三位四舍五入。</w:t>
      </w:r>
      <w:bookmarkStart w:id="64" w:name="_Toc449028881"/>
    </w:p>
    <w:p w14:paraId="473262C8">
      <w:pPr>
        <w:jc w:val="center"/>
        <w:outlineLvl w:val="1"/>
        <w:rPr>
          <w:rFonts w:hint="eastAsia" w:ascii="宋体" w:hAnsi="Times New Roman" w:eastAsia="宋体" w:cs="Times New Roman"/>
          <w:b/>
          <w:color w:val="auto"/>
          <w:sz w:val="28"/>
          <w:szCs w:val="28"/>
          <w:highlight w:val="none"/>
        </w:rPr>
      </w:pPr>
      <w:bookmarkStart w:id="65" w:name="_Toc58430321"/>
      <w:r>
        <w:rPr>
          <w:rFonts w:hint="eastAsia" w:ascii="宋体" w:hAnsi="Times New Roman" w:eastAsia="宋体" w:cs="Times New Roman"/>
          <w:b/>
          <w:color w:val="auto"/>
          <w:sz w:val="28"/>
          <w:szCs w:val="28"/>
          <w:highlight w:val="none"/>
        </w:rPr>
        <w:t>五、推荐中标候选人</w:t>
      </w:r>
      <w:bookmarkEnd w:id="63"/>
      <w:bookmarkEnd w:id="64"/>
      <w:bookmarkEnd w:id="65"/>
    </w:p>
    <w:bookmarkEnd w:id="53"/>
    <w:p w14:paraId="46EA038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7.评标委员会按资信</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技术</w:t>
      </w:r>
      <w:r>
        <w:rPr>
          <w:rFonts w:hint="eastAsia" w:ascii="宋体" w:hAnsi="宋体" w:cs="宋体"/>
          <w:color w:val="auto"/>
          <w:szCs w:val="21"/>
          <w:highlight w:val="none"/>
        </w:rPr>
        <w:t>和商务得分之和，从高到低按顺序，根据第二章投标人须知及前附表的规定数量推荐中标候选人。</w:t>
      </w:r>
    </w:p>
    <w:p w14:paraId="32F785A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7.1得分相同的，按投标报价由低到高顺序排列。得分且报价相同的并列，由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现场采取随机摇号的方式确定中标候选人。</w:t>
      </w:r>
    </w:p>
    <w:p w14:paraId="1870F7C6">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6" w:name="_Hlk61815781"/>
      <w:r>
        <w:rPr>
          <w:rFonts w:hint="eastAsia" w:ascii="宋体" w:hAnsi="宋体" w:cs="宋体"/>
          <w:b/>
          <w:color w:val="auto"/>
          <w:szCs w:val="21"/>
          <w:highlight w:val="none"/>
        </w:rPr>
        <w:t>无效投标条款</w:t>
      </w:r>
    </w:p>
    <w:p w14:paraId="35692AA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14:paraId="44B3A39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308F69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14:paraId="1D91AF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14:paraId="08467CF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14:paraId="6EB96CB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89DF9C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55D011A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768FF61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1A8F0C5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4069B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145E52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14:paraId="50856FB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投标人有下列情形之一的,符合性审查后其投标按无效投标处理：</w:t>
      </w:r>
    </w:p>
    <w:p w14:paraId="049A30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14:paraId="53D3D90A">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14:paraId="52200C7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14:paraId="0BBD4EB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14:paraId="789D207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14:paraId="3A3AF7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14:paraId="2EE8AAE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14:paraId="7FA8288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0144167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14:paraId="1391959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14:paraId="543ED6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14:paraId="54CB7D7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14:paraId="67AD273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7B7FD85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40D5C19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48AC5EB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7186A66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6"/>
    <w:p w14:paraId="7280F087">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7"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4"/>
    <w:bookmarkEnd w:id="67"/>
    <w:p w14:paraId="1F05ADD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cs="宋体"/>
          <w:b w:val="0"/>
          <w:bCs w:val="0"/>
          <w:color w:val="auto"/>
          <w:sz w:val="21"/>
          <w:szCs w:val="21"/>
          <w:highlight w:val="none"/>
          <w:lang w:val="en-US" w:eastAsia="zh-CN"/>
        </w:rPr>
      </w:pPr>
      <w:bookmarkStart w:id="68" w:name="_Toc449028945"/>
      <w:bookmarkStart w:id="69" w:name="_Toc58430329"/>
      <w:r>
        <w:rPr>
          <w:rFonts w:hint="eastAsia" w:ascii="宋体" w:hAnsi="宋体" w:cs="宋体"/>
          <w:b w:val="0"/>
          <w:bCs w:val="0"/>
          <w:color w:val="auto"/>
          <w:sz w:val="21"/>
          <w:szCs w:val="21"/>
          <w:highlight w:val="none"/>
          <w:lang w:val="en-US" w:eastAsia="zh-CN"/>
        </w:rPr>
        <w:t>1.滁州市扬子工业投资集团有限公司选聘从事证券服务业务会计师事务所，对招标人2022年度、2023年度及2024年最近一期财务报表提供审计服务，并由其总所出具审计报告。</w:t>
      </w:r>
    </w:p>
    <w:p w14:paraId="5C07388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2.截至目前，</w:t>
      </w:r>
      <w:r>
        <w:rPr>
          <w:rFonts w:hint="eastAsia" w:ascii="宋体" w:hAnsi="宋体" w:eastAsia="宋体" w:cs="宋体"/>
          <w:b w:val="0"/>
          <w:bCs w:val="0"/>
          <w:color w:val="auto"/>
          <w:sz w:val="21"/>
          <w:szCs w:val="21"/>
          <w:highlight w:val="none"/>
          <w:lang w:val="en-US" w:eastAsia="zh-CN"/>
        </w:rPr>
        <w:t>纳入市扬子工投集团合并报表范围的</w:t>
      </w:r>
      <w:r>
        <w:rPr>
          <w:rFonts w:hint="eastAsia" w:ascii="宋体" w:hAnsi="宋体" w:cs="宋体"/>
          <w:b w:val="0"/>
          <w:bCs w:val="0"/>
          <w:color w:val="auto"/>
          <w:sz w:val="21"/>
          <w:szCs w:val="21"/>
          <w:highlight w:val="none"/>
          <w:lang w:val="en-US" w:eastAsia="zh-CN"/>
        </w:rPr>
        <w:t>约12</w:t>
      </w:r>
      <w:r>
        <w:rPr>
          <w:rFonts w:hint="eastAsia" w:ascii="宋体" w:hAnsi="宋体" w:eastAsia="宋体" w:cs="宋体"/>
          <w:b w:val="0"/>
          <w:bCs w:val="0"/>
          <w:color w:val="auto"/>
          <w:sz w:val="21"/>
          <w:szCs w:val="21"/>
          <w:highlight w:val="none"/>
          <w:lang w:val="en-US" w:eastAsia="zh-CN"/>
        </w:rPr>
        <w:t>家</w:t>
      </w:r>
      <w:r>
        <w:rPr>
          <w:rFonts w:hint="eastAsia" w:ascii="宋体" w:hAnsi="宋体" w:cs="宋体"/>
          <w:b w:val="0"/>
          <w:bCs w:val="0"/>
          <w:color w:val="auto"/>
          <w:sz w:val="21"/>
          <w:szCs w:val="21"/>
          <w:highlight w:val="none"/>
          <w:lang w:val="en-US" w:eastAsia="zh-CN"/>
        </w:rPr>
        <w:t>二级</w:t>
      </w:r>
      <w:r>
        <w:rPr>
          <w:rFonts w:hint="eastAsia" w:ascii="宋体" w:hAnsi="宋体" w:eastAsia="宋体" w:cs="宋体"/>
          <w:b w:val="0"/>
          <w:bCs w:val="0"/>
          <w:color w:val="auto"/>
          <w:sz w:val="21"/>
          <w:szCs w:val="21"/>
          <w:highlight w:val="none"/>
          <w:lang w:val="en-US" w:eastAsia="zh-CN"/>
        </w:rPr>
        <w:t>公司</w:t>
      </w:r>
      <w:r>
        <w:rPr>
          <w:rFonts w:hint="eastAsia" w:ascii="宋体" w:hAnsi="宋体" w:cs="宋体"/>
          <w:b w:val="0"/>
          <w:bCs w:val="0"/>
          <w:color w:val="auto"/>
          <w:sz w:val="21"/>
          <w:szCs w:val="21"/>
          <w:highlight w:val="none"/>
          <w:lang w:val="en-US" w:eastAsia="zh-CN"/>
        </w:rPr>
        <w:t>及多家三级子公司</w:t>
      </w:r>
      <w:r>
        <w:rPr>
          <w:rFonts w:hint="eastAsia" w:ascii="宋体" w:hAnsi="宋体" w:eastAsia="宋体" w:cs="宋体"/>
          <w:b w:val="0"/>
          <w:bCs w:val="0"/>
          <w:color w:val="auto"/>
          <w:sz w:val="21"/>
          <w:szCs w:val="21"/>
          <w:highlight w:val="none"/>
          <w:lang w:val="en-US" w:eastAsia="zh-CN"/>
        </w:rPr>
        <w:t>。</w:t>
      </w:r>
    </w:p>
    <w:p w14:paraId="0D48803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jc w:val="both"/>
        <w:textAlignment w:val="auto"/>
        <w:rPr>
          <w:rFonts w:hint="default" w:ascii="宋体" w:hAnsi="宋体" w:eastAsia="宋体" w:cs="宋体"/>
          <w:b w:val="0"/>
          <w:bCs w:val="0"/>
          <w:color w:val="auto"/>
          <w:sz w:val="21"/>
          <w:szCs w:val="21"/>
          <w:highlight w:val="none"/>
          <w:lang w:val="en-US" w:eastAsia="zh-CN"/>
        </w:rPr>
      </w:pPr>
      <w:r>
        <w:rPr>
          <w:rFonts w:hint="eastAsia" w:ascii="宋体" w:hAnsi="宋体" w:cs="宋体"/>
          <w:b w:val="0"/>
          <w:bCs w:val="0"/>
          <w:color w:val="auto"/>
          <w:sz w:val="21"/>
          <w:szCs w:val="21"/>
          <w:highlight w:val="none"/>
          <w:lang w:val="en-US" w:eastAsia="zh-CN"/>
        </w:rPr>
        <w:t>3.</w:t>
      </w:r>
      <w:r>
        <w:rPr>
          <w:rFonts w:hint="default" w:ascii="宋体" w:hAnsi="宋体" w:eastAsia="宋体" w:cs="宋体"/>
          <w:b w:val="0"/>
          <w:bCs w:val="0"/>
          <w:color w:val="auto"/>
          <w:sz w:val="21"/>
          <w:szCs w:val="21"/>
          <w:highlight w:val="none"/>
          <w:lang w:val="en-US" w:eastAsia="zh-CN"/>
        </w:rPr>
        <w:t>项目负责人及参与本项目的注册会计师应全程为项目提供服务，应在项目现场阶段服务的需在招标人处现场办公，有特殊情况无法现场办公需提前与招标人联系。</w:t>
      </w:r>
    </w:p>
    <w:p w14:paraId="4F404E56">
      <w:pPr>
        <w:spacing w:before="156" w:beforeLines="50" w:after="156" w:afterLines="50"/>
        <w:jc w:val="center"/>
        <w:outlineLvl w:val="0"/>
        <w:rPr>
          <w:rFonts w:hint="eastAsia" w:ascii="宋体"/>
          <w:b/>
          <w:color w:val="auto"/>
          <w:sz w:val="32"/>
          <w:szCs w:val="32"/>
          <w:highlight w:val="none"/>
        </w:rPr>
      </w:pPr>
    </w:p>
    <w:p w14:paraId="5F384800">
      <w:pPr>
        <w:spacing w:before="156" w:beforeLines="50" w:after="156" w:afterLines="50"/>
        <w:jc w:val="center"/>
        <w:outlineLvl w:val="0"/>
        <w:rPr>
          <w:rFonts w:hint="eastAsia" w:ascii="宋体"/>
          <w:b/>
          <w:color w:val="auto"/>
          <w:sz w:val="32"/>
          <w:szCs w:val="32"/>
          <w:highlight w:val="none"/>
        </w:rPr>
      </w:pPr>
    </w:p>
    <w:p w14:paraId="70E5E5D3">
      <w:pPr>
        <w:spacing w:before="156" w:beforeLines="50" w:after="156" w:afterLines="50"/>
        <w:jc w:val="center"/>
        <w:outlineLvl w:val="0"/>
        <w:rPr>
          <w:rFonts w:hint="eastAsia" w:ascii="宋体"/>
          <w:b/>
          <w:color w:val="auto"/>
          <w:sz w:val="32"/>
          <w:szCs w:val="32"/>
          <w:highlight w:val="none"/>
        </w:rPr>
      </w:pPr>
    </w:p>
    <w:p w14:paraId="01541053">
      <w:pPr>
        <w:spacing w:before="156" w:beforeLines="50" w:after="156" w:afterLines="50"/>
        <w:jc w:val="center"/>
        <w:outlineLvl w:val="0"/>
        <w:rPr>
          <w:rFonts w:hint="eastAsia" w:ascii="宋体"/>
          <w:b/>
          <w:color w:val="auto"/>
          <w:sz w:val="32"/>
          <w:szCs w:val="32"/>
          <w:highlight w:val="none"/>
        </w:rPr>
      </w:pPr>
    </w:p>
    <w:p w14:paraId="6C7BF0CD">
      <w:pPr>
        <w:spacing w:before="156" w:beforeLines="50" w:after="156" w:afterLines="50"/>
        <w:jc w:val="center"/>
        <w:outlineLvl w:val="0"/>
        <w:rPr>
          <w:rFonts w:hint="eastAsia" w:ascii="宋体"/>
          <w:b/>
          <w:color w:val="auto"/>
          <w:sz w:val="32"/>
          <w:szCs w:val="32"/>
          <w:highlight w:val="none"/>
        </w:rPr>
      </w:pPr>
    </w:p>
    <w:p w14:paraId="0EC7A60D">
      <w:pPr>
        <w:spacing w:before="156" w:beforeLines="50" w:after="156" w:afterLines="50"/>
        <w:jc w:val="center"/>
        <w:outlineLvl w:val="0"/>
        <w:rPr>
          <w:rFonts w:hint="eastAsia" w:ascii="宋体"/>
          <w:b/>
          <w:color w:val="auto"/>
          <w:sz w:val="32"/>
          <w:szCs w:val="32"/>
          <w:highlight w:val="none"/>
        </w:rPr>
      </w:pPr>
    </w:p>
    <w:p w14:paraId="2DD958C9">
      <w:pPr>
        <w:spacing w:before="156" w:beforeLines="50" w:after="156" w:afterLines="50"/>
        <w:jc w:val="center"/>
        <w:outlineLvl w:val="0"/>
        <w:rPr>
          <w:rFonts w:hint="eastAsia" w:ascii="宋体"/>
          <w:b/>
          <w:color w:val="auto"/>
          <w:sz w:val="32"/>
          <w:szCs w:val="32"/>
          <w:highlight w:val="none"/>
        </w:rPr>
      </w:pPr>
    </w:p>
    <w:p w14:paraId="1664BE9D">
      <w:pPr>
        <w:spacing w:before="156" w:beforeLines="50" w:after="156" w:afterLines="50"/>
        <w:jc w:val="center"/>
        <w:outlineLvl w:val="0"/>
        <w:rPr>
          <w:rFonts w:hint="eastAsia" w:ascii="宋体"/>
          <w:b/>
          <w:color w:val="auto"/>
          <w:sz w:val="32"/>
          <w:szCs w:val="32"/>
          <w:highlight w:val="none"/>
        </w:rPr>
      </w:pPr>
    </w:p>
    <w:p w14:paraId="4F2BC972">
      <w:pPr>
        <w:spacing w:before="156" w:beforeLines="50" w:after="156" w:afterLines="50"/>
        <w:jc w:val="center"/>
        <w:outlineLvl w:val="0"/>
        <w:rPr>
          <w:rFonts w:hint="eastAsia" w:ascii="宋体"/>
          <w:b/>
          <w:color w:val="auto"/>
          <w:sz w:val="32"/>
          <w:szCs w:val="32"/>
          <w:highlight w:val="none"/>
        </w:rPr>
      </w:pPr>
    </w:p>
    <w:p w14:paraId="47297C3A">
      <w:pPr>
        <w:spacing w:before="156" w:beforeLines="50" w:after="156" w:afterLines="50"/>
        <w:jc w:val="center"/>
        <w:outlineLvl w:val="0"/>
        <w:rPr>
          <w:rFonts w:hint="eastAsia" w:ascii="宋体"/>
          <w:b/>
          <w:color w:val="auto"/>
          <w:sz w:val="32"/>
          <w:szCs w:val="32"/>
          <w:highlight w:val="none"/>
        </w:rPr>
      </w:pPr>
    </w:p>
    <w:p w14:paraId="749D94C2">
      <w:pPr>
        <w:spacing w:before="156" w:beforeLines="50" w:after="156" w:afterLines="50"/>
        <w:jc w:val="center"/>
        <w:outlineLvl w:val="0"/>
        <w:rPr>
          <w:rFonts w:hint="eastAsia" w:ascii="宋体"/>
          <w:b/>
          <w:color w:val="auto"/>
          <w:sz w:val="32"/>
          <w:szCs w:val="32"/>
          <w:highlight w:val="none"/>
        </w:rPr>
      </w:pPr>
    </w:p>
    <w:p w14:paraId="782CA61C">
      <w:pPr>
        <w:spacing w:before="156" w:beforeLines="50" w:after="156" w:afterLines="50"/>
        <w:jc w:val="center"/>
        <w:outlineLvl w:val="0"/>
        <w:rPr>
          <w:rFonts w:hint="eastAsia" w:ascii="宋体"/>
          <w:b/>
          <w:color w:val="auto"/>
          <w:sz w:val="32"/>
          <w:szCs w:val="32"/>
          <w:highlight w:val="none"/>
        </w:rPr>
      </w:pPr>
    </w:p>
    <w:p w14:paraId="09D1990C">
      <w:pPr>
        <w:spacing w:before="156" w:beforeLines="50" w:after="156" w:afterLines="50"/>
        <w:jc w:val="center"/>
        <w:outlineLvl w:val="0"/>
        <w:rPr>
          <w:rFonts w:hint="eastAsia" w:ascii="宋体"/>
          <w:b/>
          <w:color w:val="auto"/>
          <w:sz w:val="32"/>
          <w:szCs w:val="32"/>
          <w:highlight w:val="none"/>
        </w:rPr>
      </w:pPr>
    </w:p>
    <w:p w14:paraId="79B6295A">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五</w:t>
      </w:r>
      <w:r>
        <w:rPr>
          <w:rFonts w:hint="eastAsia" w:ascii="宋体"/>
          <w:b/>
          <w:color w:val="auto"/>
          <w:sz w:val="32"/>
          <w:szCs w:val="32"/>
          <w:highlight w:val="none"/>
        </w:rPr>
        <w:t>章  投标文件格式</w:t>
      </w:r>
    </w:p>
    <w:p w14:paraId="44C34767">
      <w:pPr>
        <w:jc w:val="center"/>
        <w:rPr>
          <w:rFonts w:hint="eastAsia" w:eastAsia="黑体"/>
          <w:color w:val="auto"/>
          <w:sz w:val="20"/>
          <w:highlight w:val="none"/>
        </w:rPr>
      </w:pPr>
    </w:p>
    <w:p w14:paraId="12B0AB51">
      <w:pPr>
        <w:rPr>
          <w:rFonts w:hint="eastAsia" w:eastAsia="黑体"/>
          <w:color w:val="auto"/>
          <w:sz w:val="20"/>
          <w:highlight w:val="none"/>
        </w:rPr>
      </w:pPr>
    </w:p>
    <w:p w14:paraId="65B13DED">
      <w:pPr>
        <w:rPr>
          <w:rFonts w:hint="eastAsia" w:eastAsia="黑体"/>
          <w:color w:val="auto"/>
          <w:sz w:val="20"/>
          <w:highlight w:val="none"/>
        </w:rPr>
      </w:pPr>
    </w:p>
    <w:p w14:paraId="0F1DEA53">
      <w:pPr>
        <w:rPr>
          <w:rFonts w:hint="eastAsia" w:eastAsia="黑体"/>
          <w:color w:val="auto"/>
          <w:sz w:val="20"/>
          <w:highlight w:val="none"/>
        </w:rPr>
      </w:pPr>
    </w:p>
    <w:p w14:paraId="0D73A1A1">
      <w:pPr>
        <w:jc w:val="center"/>
        <w:rPr>
          <w:rFonts w:hint="eastAsia" w:ascii="宋体"/>
          <w:b/>
          <w:color w:val="auto"/>
          <w:sz w:val="44"/>
          <w:szCs w:val="44"/>
          <w:highlight w:val="none"/>
        </w:rPr>
      </w:pPr>
      <w:bookmarkStart w:id="70" w:name="_Toc449028949"/>
      <w:bookmarkStart w:id="71" w:name="_Toc350698753"/>
      <w:r>
        <w:rPr>
          <w:rFonts w:hint="eastAsia" w:ascii="宋体"/>
          <w:b/>
          <w:color w:val="auto"/>
          <w:sz w:val="44"/>
          <w:szCs w:val="44"/>
          <w:highlight w:val="none"/>
          <w:lang w:val="en-US" w:eastAsia="zh-CN"/>
        </w:rPr>
        <w:t>资格证明</w:t>
      </w:r>
      <w:r>
        <w:rPr>
          <w:rFonts w:hint="eastAsia" w:ascii="宋体"/>
          <w:b/>
          <w:color w:val="auto"/>
          <w:sz w:val="44"/>
          <w:szCs w:val="44"/>
          <w:highlight w:val="none"/>
        </w:rPr>
        <w:t>文件</w:t>
      </w:r>
      <w:bookmarkEnd w:id="70"/>
      <w:bookmarkEnd w:id="71"/>
    </w:p>
    <w:p w14:paraId="2B7968EA">
      <w:pPr>
        <w:jc w:val="center"/>
        <w:rPr>
          <w:rFonts w:hint="eastAsia" w:eastAsia="黑体"/>
          <w:color w:val="auto"/>
          <w:sz w:val="44"/>
          <w:szCs w:val="44"/>
          <w:highlight w:val="none"/>
        </w:rPr>
      </w:pPr>
    </w:p>
    <w:p w14:paraId="3B423825">
      <w:pPr>
        <w:jc w:val="center"/>
        <w:rPr>
          <w:rFonts w:hint="eastAsia" w:eastAsia="黑体"/>
          <w:color w:val="auto"/>
          <w:sz w:val="44"/>
          <w:szCs w:val="44"/>
          <w:highlight w:val="none"/>
        </w:rPr>
      </w:pPr>
    </w:p>
    <w:p w14:paraId="6D49D39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EA60D66">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691238B">
      <w:pPr>
        <w:rPr>
          <w:rFonts w:hint="eastAsia" w:ascii="宋体"/>
          <w:color w:val="auto"/>
          <w:sz w:val="28"/>
          <w:szCs w:val="28"/>
          <w:highlight w:val="none"/>
        </w:rPr>
      </w:pPr>
    </w:p>
    <w:p w14:paraId="3742B360">
      <w:pPr>
        <w:rPr>
          <w:rFonts w:hint="eastAsia" w:ascii="宋体"/>
          <w:color w:val="auto"/>
          <w:sz w:val="28"/>
          <w:szCs w:val="28"/>
          <w:highlight w:val="none"/>
        </w:rPr>
      </w:pPr>
    </w:p>
    <w:p w14:paraId="62B8FC86">
      <w:pPr>
        <w:rPr>
          <w:rFonts w:hint="eastAsia" w:ascii="宋体"/>
          <w:color w:val="auto"/>
          <w:sz w:val="28"/>
          <w:szCs w:val="28"/>
          <w:highlight w:val="none"/>
        </w:rPr>
      </w:pPr>
    </w:p>
    <w:p w14:paraId="7D23F189">
      <w:pPr>
        <w:rPr>
          <w:rFonts w:hint="eastAsia" w:ascii="宋体"/>
          <w:color w:val="auto"/>
          <w:sz w:val="28"/>
          <w:szCs w:val="28"/>
          <w:highlight w:val="none"/>
        </w:rPr>
      </w:pPr>
    </w:p>
    <w:p w14:paraId="42A88458">
      <w:pPr>
        <w:rPr>
          <w:rFonts w:hint="eastAsia" w:ascii="宋体"/>
          <w:color w:val="auto"/>
          <w:sz w:val="28"/>
          <w:szCs w:val="28"/>
          <w:highlight w:val="none"/>
        </w:rPr>
      </w:pPr>
    </w:p>
    <w:p w14:paraId="05D012F9">
      <w:pPr>
        <w:rPr>
          <w:rFonts w:hint="eastAsia" w:ascii="宋体"/>
          <w:color w:val="auto"/>
          <w:sz w:val="28"/>
          <w:szCs w:val="28"/>
          <w:highlight w:val="none"/>
        </w:rPr>
      </w:pPr>
    </w:p>
    <w:p w14:paraId="58373D45">
      <w:pPr>
        <w:rPr>
          <w:rFonts w:hint="eastAsia" w:ascii="宋体"/>
          <w:color w:val="auto"/>
          <w:sz w:val="28"/>
          <w:szCs w:val="28"/>
          <w:highlight w:val="none"/>
        </w:rPr>
      </w:pPr>
    </w:p>
    <w:p w14:paraId="734B660D">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53394E04">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986FEA3">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9B2D2A1">
      <w:pPr>
        <w:spacing w:line="720" w:lineRule="auto"/>
        <w:jc w:val="center"/>
        <w:rPr>
          <w:rFonts w:hint="eastAsia" w:ascii="宋体"/>
          <w:b/>
          <w:color w:val="auto"/>
          <w:sz w:val="36"/>
          <w:szCs w:val="36"/>
          <w:highlight w:val="none"/>
        </w:rPr>
      </w:pPr>
    </w:p>
    <w:p w14:paraId="28BC2454">
      <w:pPr>
        <w:spacing w:line="400" w:lineRule="exact"/>
        <w:ind w:firstLine="4130" w:firstLineChars="935"/>
        <w:rPr>
          <w:rFonts w:hint="eastAsia"/>
          <w:b/>
          <w:color w:val="auto"/>
          <w:sz w:val="44"/>
          <w:szCs w:val="44"/>
          <w:highlight w:val="none"/>
        </w:rPr>
      </w:pPr>
    </w:p>
    <w:p w14:paraId="76C1DE1F">
      <w:pPr>
        <w:spacing w:line="400" w:lineRule="exact"/>
        <w:ind w:firstLine="4130" w:firstLineChars="935"/>
        <w:rPr>
          <w:rFonts w:hint="eastAsia"/>
          <w:b/>
          <w:color w:val="auto"/>
          <w:sz w:val="44"/>
          <w:szCs w:val="44"/>
          <w:highlight w:val="none"/>
        </w:rPr>
      </w:pPr>
    </w:p>
    <w:p w14:paraId="19AB07E8">
      <w:pPr>
        <w:spacing w:line="400" w:lineRule="exact"/>
        <w:ind w:firstLine="4130" w:firstLineChars="935"/>
        <w:rPr>
          <w:rFonts w:hint="eastAsia"/>
          <w:b/>
          <w:color w:val="auto"/>
          <w:sz w:val="44"/>
          <w:szCs w:val="44"/>
          <w:highlight w:val="none"/>
        </w:rPr>
      </w:pPr>
    </w:p>
    <w:p w14:paraId="5BA0D63D">
      <w:pPr>
        <w:jc w:val="center"/>
        <w:rPr>
          <w:rFonts w:hint="eastAsia"/>
          <w:b/>
          <w:color w:val="auto"/>
          <w:sz w:val="44"/>
          <w:szCs w:val="44"/>
          <w:highlight w:val="none"/>
        </w:rPr>
      </w:pPr>
      <w:r>
        <w:rPr>
          <w:rFonts w:hint="eastAsia"/>
          <w:b/>
          <w:color w:val="auto"/>
          <w:sz w:val="36"/>
          <w:szCs w:val="36"/>
          <w:highlight w:val="none"/>
        </w:rPr>
        <w:t>目   录</w:t>
      </w:r>
    </w:p>
    <w:p w14:paraId="30A9EC6A">
      <w:pPr>
        <w:spacing w:line="400" w:lineRule="exact"/>
        <w:ind w:firstLine="562" w:firstLineChars="200"/>
        <w:rPr>
          <w:rFonts w:hint="eastAsia"/>
          <w:b/>
          <w:color w:val="auto"/>
          <w:sz w:val="28"/>
          <w:szCs w:val="28"/>
          <w:highlight w:val="none"/>
        </w:rPr>
      </w:pPr>
    </w:p>
    <w:p w14:paraId="0904FEAC">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7780E98D">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w:t>
      </w:r>
      <w:r>
        <w:rPr>
          <w:rFonts w:hint="eastAsia" w:hAnsi="宋体"/>
          <w:color w:val="auto"/>
          <w:szCs w:val="21"/>
          <w:highlight w:val="none"/>
        </w:rPr>
        <w:t>会计师事务所执业证书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02770EC0">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3）投标人从事证券业务资质材料</w:t>
      </w:r>
      <w:r>
        <w:rPr>
          <w:rFonts w:hint="eastAsia" w:ascii="宋体" w:hAnsi="宋体" w:cs="宋体"/>
          <w:color w:val="auto"/>
          <w:szCs w:val="21"/>
          <w:highlight w:val="none"/>
          <w:lang w:val="en-US" w:eastAsia="zh-CN"/>
        </w:rPr>
        <w:t>（复印件加盖单位公章）</w:t>
      </w:r>
      <w:r>
        <w:rPr>
          <w:rFonts w:hint="eastAsia" w:ascii="宋体" w:hAnsi="宋体" w:cs="宋体-18030"/>
          <w:color w:val="auto"/>
          <w:szCs w:val="21"/>
          <w:highlight w:val="none"/>
          <w:lang w:val="en-US" w:eastAsia="zh-CN"/>
        </w:rPr>
        <w:t>；</w:t>
      </w:r>
    </w:p>
    <w:p w14:paraId="57D5B7A3">
      <w:pPr>
        <w:spacing w:line="500" w:lineRule="exact"/>
        <w:ind w:firstLine="420" w:firstLineChars="200"/>
        <w:jc w:val="left"/>
        <w:rPr>
          <w:rFonts w:hint="default" w:ascii="宋体" w:hAnsi="宋体" w:eastAsia="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4）资质要求中的人员</w:t>
      </w:r>
      <w:r>
        <w:rPr>
          <w:rFonts w:hint="eastAsia" w:ascii="宋体"/>
          <w:color w:val="auto"/>
          <w:szCs w:val="21"/>
          <w:highlight w:val="none"/>
          <w:lang w:val="en-US" w:eastAsia="zh-CN"/>
        </w:rPr>
        <w:t>有效身份证及相关证书</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lang w:val="en-US" w:eastAsia="zh-CN"/>
        </w:rPr>
        <w:t>；</w:t>
      </w:r>
    </w:p>
    <w:p w14:paraId="5C4FC539">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5</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38373E3A">
      <w:pPr>
        <w:spacing w:line="500" w:lineRule="exact"/>
        <w:ind w:firstLine="420" w:firstLineChars="200"/>
        <w:jc w:val="left"/>
        <w:rPr>
          <w:rFonts w:hint="eastAsia" w:ascii="宋体" w:hAnsi="Times New Roman" w:eastAsia="宋体" w:cs="Times New Roman"/>
          <w:color w:val="auto"/>
          <w:szCs w:val="21"/>
          <w:highlight w:val="none"/>
          <w:lang w:eastAsia="zh-CN"/>
        </w:rPr>
      </w:pPr>
      <w:r>
        <w:rPr>
          <w:rFonts w:hint="eastAsia" w:ascii="宋体" w:hAnsi="Times New Roman" w:eastAsia="宋体" w:cs="Times New Roman"/>
          <w:color w:val="auto"/>
          <w:szCs w:val="21"/>
          <w:highlight w:val="none"/>
        </w:rPr>
        <w:t>（</w:t>
      </w:r>
      <w:r>
        <w:rPr>
          <w:rFonts w:hint="eastAsia" w:ascii="宋体" w:cs="Times New Roman"/>
          <w:color w:val="auto"/>
          <w:szCs w:val="21"/>
          <w:highlight w:val="none"/>
          <w:lang w:val="en-US" w:eastAsia="zh-CN"/>
        </w:rPr>
        <w:t>6</w:t>
      </w:r>
      <w:r>
        <w:rPr>
          <w:rFonts w:hint="eastAsia" w:ascii="宋体" w:hAnsi="Times New Roman" w:eastAsia="宋体" w:cs="Times New Roman"/>
          <w:color w:val="auto"/>
          <w:szCs w:val="21"/>
          <w:highlight w:val="none"/>
        </w:rPr>
        <w:t>）招标文件中要求的资信评审和资信评分的支持资料</w:t>
      </w:r>
      <w:r>
        <w:rPr>
          <w:rFonts w:hint="eastAsia" w:ascii="宋体" w:hAnsi="Times New Roman" w:eastAsia="宋体" w:cs="Times New Roman"/>
          <w:color w:val="auto"/>
          <w:szCs w:val="21"/>
          <w:highlight w:val="none"/>
          <w:lang w:val="en-US" w:eastAsia="zh-CN"/>
        </w:rPr>
        <w:t>（复印件加盖单位公章）</w:t>
      </w:r>
      <w:r>
        <w:rPr>
          <w:rFonts w:hint="eastAsia" w:ascii="宋体" w:cs="Times New Roman"/>
          <w:color w:val="auto"/>
          <w:szCs w:val="21"/>
          <w:highlight w:val="none"/>
          <w:lang w:eastAsia="zh-CN"/>
        </w:rPr>
        <w:t>。</w:t>
      </w:r>
    </w:p>
    <w:p w14:paraId="52371B11">
      <w:pPr>
        <w:spacing w:line="500" w:lineRule="exact"/>
        <w:ind w:firstLine="420" w:firstLineChars="200"/>
        <w:jc w:val="left"/>
        <w:rPr>
          <w:rFonts w:hint="eastAsia" w:ascii="宋体" w:hAnsi="Times New Roman" w:eastAsia="宋体" w:cs="Times New Roman"/>
          <w:color w:val="auto"/>
          <w:szCs w:val="21"/>
          <w:highlight w:val="none"/>
        </w:rPr>
      </w:pPr>
    </w:p>
    <w:p w14:paraId="1FD75D18">
      <w:pPr>
        <w:spacing w:line="400" w:lineRule="exact"/>
        <w:ind w:firstLine="562" w:firstLineChars="200"/>
        <w:rPr>
          <w:rFonts w:hint="eastAsia"/>
          <w:b/>
          <w:color w:val="auto"/>
          <w:sz w:val="28"/>
          <w:szCs w:val="28"/>
          <w:highlight w:val="none"/>
        </w:rPr>
      </w:pPr>
    </w:p>
    <w:p w14:paraId="370B4C1A">
      <w:pPr>
        <w:spacing w:line="400" w:lineRule="exact"/>
        <w:ind w:firstLine="562" w:firstLineChars="200"/>
        <w:rPr>
          <w:rFonts w:hint="eastAsia"/>
          <w:b/>
          <w:color w:val="auto"/>
          <w:sz w:val="28"/>
          <w:szCs w:val="28"/>
          <w:highlight w:val="none"/>
        </w:rPr>
      </w:pPr>
    </w:p>
    <w:p w14:paraId="09E594E0">
      <w:pPr>
        <w:spacing w:line="400" w:lineRule="exact"/>
        <w:ind w:firstLine="562" w:firstLineChars="200"/>
        <w:rPr>
          <w:rFonts w:hint="eastAsia"/>
          <w:b/>
          <w:color w:val="auto"/>
          <w:sz w:val="28"/>
          <w:szCs w:val="28"/>
          <w:highlight w:val="none"/>
        </w:rPr>
      </w:pPr>
    </w:p>
    <w:p w14:paraId="235911AE">
      <w:pPr>
        <w:spacing w:line="400" w:lineRule="exact"/>
        <w:ind w:firstLine="562" w:firstLineChars="200"/>
        <w:rPr>
          <w:rFonts w:hint="eastAsia"/>
          <w:b/>
          <w:color w:val="auto"/>
          <w:sz w:val="28"/>
          <w:szCs w:val="28"/>
          <w:highlight w:val="none"/>
        </w:rPr>
      </w:pPr>
    </w:p>
    <w:p w14:paraId="52FD35E4">
      <w:pPr>
        <w:spacing w:line="400" w:lineRule="exact"/>
        <w:ind w:firstLine="562" w:firstLineChars="200"/>
        <w:rPr>
          <w:rFonts w:hint="eastAsia"/>
          <w:b/>
          <w:color w:val="auto"/>
          <w:sz w:val="28"/>
          <w:szCs w:val="28"/>
          <w:highlight w:val="none"/>
        </w:rPr>
      </w:pPr>
    </w:p>
    <w:p w14:paraId="59469551">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cols w:space="720" w:num="1"/>
          <w:docGrid w:type="lines" w:linePitch="312" w:charSpace="0"/>
        </w:sectPr>
      </w:pPr>
    </w:p>
    <w:p w14:paraId="54D8C531">
      <w:pPr>
        <w:spacing w:line="360" w:lineRule="auto"/>
        <w:rPr>
          <w:rFonts w:hint="eastAsia"/>
          <w:b/>
          <w:color w:val="auto"/>
          <w:sz w:val="28"/>
          <w:szCs w:val="28"/>
          <w:highlight w:val="none"/>
        </w:rPr>
      </w:pPr>
      <w:r>
        <w:rPr>
          <w:rFonts w:hint="eastAsia"/>
          <w:b/>
          <w:color w:val="auto"/>
          <w:sz w:val="28"/>
          <w:szCs w:val="28"/>
          <w:highlight w:val="none"/>
        </w:rPr>
        <w:t>附件1</w:t>
      </w:r>
    </w:p>
    <w:p w14:paraId="75A79258">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4BD2D961">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6C300616">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3FB957D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79704F6A">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62C9C77A">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C4A4A19">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63E13C5E">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303334F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226A7A7">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30822F62">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69EF04FD">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08FBE61">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99F2BF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14:paraId="0BB52CCC">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EDFF50E">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B9B118F">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69DE40A7">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0D96B4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1AA7BBB">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27D0AB5">
      <w:pPr>
        <w:spacing w:line="360" w:lineRule="exact"/>
        <w:ind w:firstLine="413" w:firstLineChars="147"/>
        <w:rPr>
          <w:rFonts w:hint="eastAsia"/>
          <w:b/>
          <w:color w:val="auto"/>
          <w:sz w:val="28"/>
          <w:szCs w:val="28"/>
          <w:highlight w:val="none"/>
          <w:u w:val="single"/>
        </w:rPr>
      </w:pPr>
    </w:p>
    <w:p w14:paraId="47680D3B">
      <w:pPr>
        <w:spacing w:line="360" w:lineRule="exact"/>
        <w:ind w:firstLine="413" w:firstLineChars="147"/>
        <w:rPr>
          <w:rFonts w:hint="eastAsia"/>
          <w:b/>
          <w:color w:val="auto"/>
          <w:sz w:val="28"/>
          <w:szCs w:val="28"/>
          <w:highlight w:val="none"/>
          <w:u w:val="single"/>
        </w:rPr>
      </w:pPr>
    </w:p>
    <w:p w14:paraId="48477964">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14:paraId="2890D0AE">
      <w:pPr>
        <w:spacing w:line="360" w:lineRule="auto"/>
        <w:jc w:val="center"/>
        <w:rPr>
          <w:rFonts w:hint="eastAsia"/>
          <w:b/>
          <w:color w:val="auto"/>
          <w:sz w:val="28"/>
          <w:szCs w:val="28"/>
          <w:highlight w:val="none"/>
        </w:rPr>
      </w:pPr>
      <w:bookmarkStart w:id="72" w:name="_Toc449028950"/>
      <w:bookmarkStart w:id="73" w:name="_Toc440443268"/>
      <w:r>
        <w:rPr>
          <w:rFonts w:hint="eastAsia"/>
          <w:b/>
          <w:color w:val="auto"/>
          <w:sz w:val="28"/>
          <w:szCs w:val="28"/>
          <w:highlight w:val="none"/>
        </w:rPr>
        <w:t>诚信投标承诺书 </w:t>
      </w:r>
    </w:p>
    <w:p w14:paraId="5FC4BD4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688C4AD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3909890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3EB44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0D16BFB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2C415B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4D5AF97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2BB6AC2D">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51F973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14C5211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6399FC2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3199B03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D8DEA4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2FFE63E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460CCEF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06D04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62BE0A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0F8B5443">
      <w:pPr>
        <w:spacing w:line="500" w:lineRule="exact"/>
        <w:ind w:firstLine="420" w:firstLineChars="200"/>
        <w:rPr>
          <w:rFonts w:hint="eastAsia" w:ascii="宋体" w:hAnsi="宋体"/>
          <w:color w:val="auto"/>
          <w:szCs w:val="21"/>
          <w:highlight w:val="none"/>
        </w:rPr>
      </w:pPr>
    </w:p>
    <w:p w14:paraId="26CD09FF">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7634B614">
      <w:pPr>
        <w:spacing w:line="360" w:lineRule="auto"/>
        <w:jc w:val="center"/>
        <w:rPr>
          <w:rFonts w:hint="eastAsia"/>
          <w:b/>
          <w:color w:val="auto"/>
          <w:sz w:val="28"/>
          <w:szCs w:val="28"/>
          <w:highlight w:val="none"/>
        </w:rPr>
      </w:pPr>
    </w:p>
    <w:p w14:paraId="4208B35F">
      <w:pPr>
        <w:spacing w:line="360" w:lineRule="exact"/>
        <w:ind w:firstLine="443" w:firstLineChars="147"/>
        <w:rPr>
          <w:rFonts w:hint="eastAsia" w:ascii="宋体"/>
          <w:b/>
          <w:color w:val="auto"/>
          <w:sz w:val="30"/>
          <w:szCs w:val="30"/>
          <w:highlight w:val="none"/>
        </w:rPr>
      </w:pPr>
    </w:p>
    <w:p w14:paraId="60E30D5F">
      <w:pPr>
        <w:spacing w:line="360" w:lineRule="exact"/>
        <w:ind w:firstLine="443" w:firstLineChars="147"/>
        <w:rPr>
          <w:rFonts w:hint="eastAsia" w:ascii="宋体"/>
          <w:b/>
          <w:color w:val="auto"/>
          <w:sz w:val="30"/>
          <w:szCs w:val="30"/>
          <w:highlight w:val="none"/>
        </w:rPr>
      </w:pPr>
    </w:p>
    <w:p w14:paraId="4BCC4F46">
      <w:pPr>
        <w:spacing w:line="360" w:lineRule="exact"/>
        <w:ind w:firstLine="443" w:firstLineChars="147"/>
        <w:rPr>
          <w:rFonts w:hint="eastAsia" w:ascii="宋体"/>
          <w:b/>
          <w:color w:val="auto"/>
          <w:sz w:val="30"/>
          <w:szCs w:val="30"/>
          <w:highlight w:val="none"/>
        </w:rPr>
      </w:pPr>
    </w:p>
    <w:p w14:paraId="14FC7AE2">
      <w:pPr>
        <w:spacing w:line="360" w:lineRule="exact"/>
        <w:ind w:firstLine="443" w:firstLineChars="147"/>
        <w:rPr>
          <w:rFonts w:hint="eastAsia" w:ascii="宋体"/>
          <w:b/>
          <w:color w:val="auto"/>
          <w:sz w:val="30"/>
          <w:szCs w:val="30"/>
          <w:highlight w:val="none"/>
        </w:rPr>
      </w:pPr>
    </w:p>
    <w:p w14:paraId="12A30DB5">
      <w:pPr>
        <w:spacing w:line="360" w:lineRule="exact"/>
        <w:ind w:firstLine="443" w:firstLineChars="147"/>
        <w:rPr>
          <w:rFonts w:hint="eastAsia" w:ascii="宋体"/>
          <w:b/>
          <w:color w:val="auto"/>
          <w:sz w:val="30"/>
          <w:szCs w:val="30"/>
          <w:highlight w:val="none"/>
        </w:rPr>
      </w:pPr>
    </w:p>
    <w:p w14:paraId="201191B9">
      <w:pPr>
        <w:spacing w:line="360" w:lineRule="exact"/>
        <w:ind w:firstLine="443" w:firstLineChars="147"/>
        <w:rPr>
          <w:rFonts w:hint="eastAsia" w:ascii="宋体"/>
          <w:b/>
          <w:color w:val="auto"/>
          <w:sz w:val="30"/>
          <w:szCs w:val="30"/>
          <w:highlight w:val="none"/>
        </w:rPr>
      </w:pPr>
    </w:p>
    <w:p w14:paraId="660D4055">
      <w:pPr>
        <w:spacing w:line="360" w:lineRule="exact"/>
        <w:ind w:firstLine="443" w:firstLineChars="147"/>
        <w:rPr>
          <w:rFonts w:hint="eastAsia" w:ascii="宋体"/>
          <w:b/>
          <w:color w:val="auto"/>
          <w:sz w:val="30"/>
          <w:szCs w:val="30"/>
          <w:highlight w:val="none"/>
        </w:rPr>
      </w:pPr>
    </w:p>
    <w:p w14:paraId="21399F2E">
      <w:pPr>
        <w:spacing w:line="360" w:lineRule="exact"/>
        <w:ind w:firstLine="443" w:firstLineChars="147"/>
        <w:rPr>
          <w:rFonts w:hint="eastAsia" w:ascii="宋体"/>
          <w:b/>
          <w:color w:val="auto"/>
          <w:sz w:val="30"/>
          <w:szCs w:val="30"/>
          <w:highlight w:val="none"/>
        </w:rPr>
      </w:pPr>
    </w:p>
    <w:p w14:paraId="140F3577">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14:paraId="637A1136">
      <w:pPr>
        <w:jc w:val="center"/>
        <w:rPr>
          <w:rFonts w:hint="eastAsia" w:ascii="宋体"/>
          <w:b/>
          <w:color w:val="auto"/>
          <w:sz w:val="44"/>
          <w:szCs w:val="44"/>
          <w:highlight w:val="none"/>
          <w:lang w:val="en-US" w:eastAsia="zh-CN"/>
        </w:rPr>
      </w:pPr>
    </w:p>
    <w:p w14:paraId="651715B7">
      <w:pPr>
        <w:jc w:val="both"/>
        <w:rPr>
          <w:rFonts w:hint="eastAsia" w:ascii="宋体"/>
          <w:b/>
          <w:color w:val="auto"/>
          <w:sz w:val="44"/>
          <w:szCs w:val="44"/>
          <w:highlight w:val="none"/>
          <w:lang w:val="en-US" w:eastAsia="zh-CN"/>
        </w:rPr>
      </w:pPr>
    </w:p>
    <w:p w14:paraId="2389D7CD">
      <w:pPr>
        <w:jc w:val="center"/>
        <w:rPr>
          <w:rFonts w:hint="eastAsia" w:ascii="宋体"/>
          <w:b/>
          <w:color w:val="auto"/>
          <w:sz w:val="44"/>
          <w:szCs w:val="44"/>
          <w:highlight w:val="none"/>
        </w:rPr>
      </w:pPr>
      <w:r>
        <w:rPr>
          <w:rFonts w:hint="eastAsia" w:ascii="宋体"/>
          <w:b/>
          <w:color w:val="auto"/>
          <w:sz w:val="44"/>
          <w:szCs w:val="44"/>
          <w:highlight w:val="none"/>
          <w:lang w:val="en-US" w:eastAsia="zh-CN"/>
        </w:rPr>
        <w:t>技术标</w:t>
      </w:r>
      <w:r>
        <w:rPr>
          <w:rFonts w:hint="eastAsia" w:ascii="宋体"/>
          <w:b/>
          <w:color w:val="auto"/>
          <w:sz w:val="44"/>
          <w:szCs w:val="44"/>
          <w:highlight w:val="none"/>
        </w:rPr>
        <w:t>文件</w:t>
      </w:r>
    </w:p>
    <w:p w14:paraId="1C6DDB10">
      <w:pPr>
        <w:jc w:val="center"/>
        <w:rPr>
          <w:rFonts w:hint="eastAsia" w:eastAsia="黑体"/>
          <w:color w:val="auto"/>
          <w:sz w:val="44"/>
          <w:szCs w:val="44"/>
          <w:highlight w:val="none"/>
        </w:rPr>
      </w:pPr>
    </w:p>
    <w:p w14:paraId="59D47A6C">
      <w:pPr>
        <w:jc w:val="center"/>
        <w:rPr>
          <w:rFonts w:hint="eastAsia" w:eastAsia="黑体"/>
          <w:color w:val="auto"/>
          <w:sz w:val="44"/>
          <w:szCs w:val="44"/>
          <w:highlight w:val="none"/>
        </w:rPr>
      </w:pPr>
    </w:p>
    <w:p w14:paraId="6B47BE0E">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u w:val="single"/>
          <w:lang w:val="en-US" w:eastAsia="zh-CN"/>
        </w:rPr>
        <w:t xml:space="preserve">     </w:t>
      </w: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6EDF1B18">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341E5BF1">
      <w:pPr>
        <w:rPr>
          <w:rFonts w:hint="eastAsia" w:ascii="宋体"/>
          <w:color w:val="auto"/>
          <w:sz w:val="28"/>
          <w:szCs w:val="28"/>
          <w:highlight w:val="none"/>
        </w:rPr>
      </w:pPr>
    </w:p>
    <w:p w14:paraId="4CE96A88">
      <w:pPr>
        <w:rPr>
          <w:rFonts w:hint="eastAsia" w:ascii="宋体"/>
          <w:color w:val="auto"/>
          <w:sz w:val="28"/>
          <w:szCs w:val="28"/>
          <w:highlight w:val="none"/>
        </w:rPr>
      </w:pPr>
    </w:p>
    <w:p w14:paraId="4B651987">
      <w:pPr>
        <w:rPr>
          <w:rFonts w:hint="eastAsia" w:ascii="宋体"/>
          <w:color w:val="auto"/>
          <w:sz w:val="28"/>
          <w:szCs w:val="28"/>
          <w:highlight w:val="none"/>
        </w:rPr>
      </w:pPr>
    </w:p>
    <w:p w14:paraId="4FB40BDE">
      <w:pPr>
        <w:rPr>
          <w:rFonts w:hint="eastAsia" w:ascii="宋体"/>
          <w:color w:val="auto"/>
          <w:sz w:val="28"/>
          <w:szCs w:val="28"/>
          <w:highlight w:val="none"/>
        </w:rPr>
      </w:pPr>
    </w:p>
    <w:p w14:paraId="1C0452F3">
      <w:pPr>
        <w:rPr>
          <w:rFonts w:hint="eastAsia" w:ascii="宋体"/>
          <w:color w:val="auto"/>
          <w:sz w:val="28"/>
          <w:szCs w:val="28"/>
          <w:highlight w:val="none"/>
        </w:rPr>
      </w:pPr>
    </w:p>
    <w:p w14:paraId="33301E38">
      <w:pPr>
        <w:rPr>
          <w:rFonts w:hint="eastAsia" w:ascii="宋体"/>
          <w:color w:val="auto"/>
          <w:sz w:val="28"/>
          <w:szCs w:val="28"/>
          <w:highlight w:val="none"/>
        </w:rPr>
      </w:pPr>
    </w:p>
    <w:p w14:paraId="53B415D3">
      <w:pPr>
        <w:rPr>
          <w:rFonts w:hint="eastAsia" w:ascii="宋体"/>
          <w:color w:val="auto"/>
          <w:sz w:val="28"/>
          <w:szCs w:val="28"/>
          <w:highlight w:val="none"/>
        </w:rPr>
      </w:pPr>
    </w:p>
    <w:p w14:paraId="315A8390">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395907F7">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5B6C5692">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24C597AB">
      <w:pPr>
        <w:spacing w:line="720" w:lineRule="auto"/>
        <w:jc w:val="center"/>
        <w:rPr>
          <w:rFonts w:hint="eastAsia" w:ascii="宋体"/>
          <w:b/>
          <w:color w:val="auto"/>
          <w:sz w:val="36"/>
          <w:szCs w:val="36"/>
          <w:highlight w:val="none"/>
        </w:rPr>
      </w:pPr>
    </w:p>
    <w:p w14:paraId="459A67CD">
      <w:pPr>
        <w:spacing w:line="400" w:lineRule="exact"/>
        <w:ind w:firstLine="4130" w:firstLineChars="935"/>
        <w:rPr>
          <w:rFonts w:hint="eastAsia"/>
          <w:b/>
          <w:color w:val="auto"/>
          <w:sz w:val="44"/>
          <w:szCs w:val="44"/>
          <w:highlight w:val="none"/>
        </w:rPr>
      </w:pPr>
    </w:p>
    <w:p w14:paraId="79B7C0E0">
      <w:pPr>
        <w:rPr>
          <w:rFonts w:hint="eastAsia"/>
          <w:color w:val="auto"/>
        </w:rPr>
      </w:pPr>
      <w:r>
        <w:rPr>
          <w:rFonts w:hint="eastAsia"/>
          <w:b/>
          <w:color w:val="auto"/>
          <w:sz w:val="44"/>
          <w:szCs w:val="44"/>
          <w:highlight w:val="none"/>
        </w:rPr>
        <w:br w:type="page"/>
      </w:r>
    </w:p>
    <w:p w14:paraId="4963F988">
      <w:pPr>
        <w:spacing w:line="400" w:lineRule="exact"/>
        <w:ind w:firstLine="4130" w:firstLineChars="935"/>
        <w:rPr>
          <w:rFonts w:hint="eastAsia"/>
          <w:b/>
          <w:color w:val="auto"/>
          <w:sz w:val="44"/>
          <w:szCs w:val="44"/>
          <w:highlight w:val="none"/>
        </w:rPr>
      </w:pPr>
    </w:p>
    <w:p w14:paraId="57931291">
      <w:pPr>
        <w:jc w:val="center"/>
        <w:rPr>
          <w:rFonts w:hint="eastAsia"/>
          <w:b/>
          <w:color w:val="auto"/>
          <w:sz w:val="44"/>
          <w:szCs w:val="44"/>
          <w:highlight w:val="none"/>
        </w:rPr>
      </w:pPr>
      <w:r>
        <w:rPr>
          <w:rFonts w:hint="eastAsia"/>
          <w:b/>
          <w:color w:val="auto"/>
          <w:sz w:val="36"/>
          <w:szCs w:val="36"/>
          <w:highlight w:val="none"/>
        </w:rPr>
        <w:t>目   录</w:t>
      </w:r>
    </w:p>
    <w:p w14:paraId="26B4247D">
      <w:pPr>
        <w:spacing w:line="400" w:lineRule="exact"/>
        <w:ind w:firstLine="562" w:firstLineChars="200"/>
        <w:rPr>
          <w:rFonts w:hint="eastAsia"/>
          <w:b/>
          <w:color w:val="auto"/>
          <w:sz w:val="28"/>
          <w:szCs w:val="28"/>
          <w:highlight w:val="none"/>
        </w:rPr>
      </w:pPr>
    </w:p>
    <w:p w14:paraId="6DAFD69F">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cs="Times New Roman"/>
          <w:color w:val="auto"/>
          <w:szCs w:val="21"/>
          <w:highlight w:val="none"/>
          <w:lang w:eastAsia="zh-CN"/>
        </w:rPr>
      </w:pPr>
      <w:r>
        <w:rPr>
          <w:rFonts w:hint="eastAsia" w:ascii="宋体" w:hAnsi="Times New Roman" w:eastAsia="宋体" w:cs="Times New Roman"/>
          <w:color w:val="auto"/>
          <w:szCs w:val="21"/>
          <w:highlight w:val="none"/>
          <w:lang w:eastAsia="zh-CN"/>
        </w:rPr>
        <w:t>（</w:t>
      </w:r>
      <w:r>
        <w:rPr>
          <w:rFonts w:hint="eastAsia" w:ascii="宋体" w:cs="Times New Roman"/>
          <w:color w:val="auto"/>
          <w:szCs w:val="21"/>
          <w:highlight w:val="none"/>
          <w:lang w:val="en-US" w:eastAsia="zh-CN"/>
        </w:rPr>
        <w:t>1</w:t>
      </w:r>
      <w:r>
        <w:rPr>
          <w:rFonts w:hint="eastAsia" w:ascii="宋体" w:hAnsi="Times New Roman" w:eastAsia="宋体" w:cs="Times New Roman"/>
          <w:color w:val="auto"/>
          <w:szCs w:val="21"/>
          <w:highlight w:val="none"/>
          <w:lang w:val="en-US" w:eastAsia="zh-CN"/>
        </w:rPr>
        <w:t>）</w:t>
      </w:r>
      <w:r>
        <w:rPr>
          <w:rFonts w:hint="eastAsia" w:ascii="宋体" w:hAnsi="Times New Roman" w:eastAsia="宋体" w:cs="Times New Roman"/>
          <w:color w:val="auto"/>
          <w:szCs w:val="21"/>
          <w:highlight w:val="none"/>
        </w:rPr>
        <w:t>服务承诺：是否响应招标文件要求的书面说明和服务承诺书（格式见附件）</w:t>
      </w:r>
      <w:r>
        <w:rPr>
          <w:rFonts w:hint="eastAsia" w:ascii="宋体" w:cs="Times New Roman"/>
          <w:color w:val="auto"/>
          <w:szCs w:val="21"/>
          <w:highlight w:val="none"/>
          <w:lang w:eastAsia="zh-CN"/>
        </w:rPr>
        <w:t>；</w:t>
      </w:r>
    </w:p>
    <w:p w14:paraId="2E540A51">
      <w:pPr>
        <w:pStyle w:val="2"/>
        <w:keepNext w:val="0"/>
        <w:keepLines w:val="0"/>
        <w:pageBreakBefore w:val="0"/>
        <w:widowControl w:val="0"/>
        <w:kinsoku/>
        <w:wordWrap/>
        <w:overflowPunct/>
        <w:topLinePunct w:val="0"/>
        <w:autoSpaceDE/>
        <w:autoSpaceDN/>
        <w:bidi w:val="0"/>
        <w:adjustRightInd/>
        <w:snapToGrid/>
        <w:spacing w:after="0" w:line="500" w:lineRule="exact"/>
        <w:ind w:left="0" w:leftChars="0" w:firstLine="420" w:firstLineChars="200"/>
        <w:jc w:val="left"/>
        <w:textAlignment w:val="auto"/>
        <w:rPr>
          <w:rFonts w:hint="default"/>
          <w:color w:val="auto"/>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2）招标文件中要求的技术标评分支持资料（原件或复印件加盖单位公章）。</w:t>
      </w:r>
    </w:p>
    <w:p w14:paraId="163D7364">
      <w:pPr>
        <w:spacing w:line="588" w:lineRule="exact"/>
        <w:rPr>
          <w:color w:val="auto"/>
          <w:highlight w:val="none"/>
        </w:rPr>
      </w:pPr>
    </w:p>
    <w:p w14:paraId="0898CD66">
      <w:pPr>
        <w:spacing w:line="360" w:lineRule="exact"/>
        <w:rPr>
          <w:rFonts w:hint="eastAsia" w:ascii="宋体"/>
          <w:b/>
          <w:color w:val="auto"/>
          <w:sz w:val="30"/>
          <w:szCs w:val="30"/>
          <w:highlight w:val="none"/>
        </w:rPr>
      </w:pPr>
    </w:p>
    <w:bookmarkEnd w:id="72"/>
    <w:bookmarkEnd w:id="73"/>
    <w:p w14:paraId="3274D6A4">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1</w:t>
      </w:r>
    </w:p>
    <w:p w14:paraId="2D77DDD0">
      <w:pPr>
        <w:jc w:val="center"/>
        <w:rPr>
          <w:rFonts w:hint="eastAsia" w:ascii="宋体"/>
          <w:b/>
          <w:color w:val="auto"/>
          <w:sz w:val="30"/>
          <w:szCs w:val="30"/>
          <w:highlight w:val="none"/>
        </w:rPr>
      </w:pPr>
      <w:r>
        <w:rPr>
          <w:rFonts w:hint="eastAsia" w:ascii="宋体"/>
          <w:b/>
          <w:color w:val="auto"/>
          <w:sz w:val="30"/>
          <w:szCs w:val="30"/>
          <w:highlight w:val="none"/>
        </w:rPr>
        <w:t>服务承诺书</w:t>
      </w:r>
    </w:p>
    <w:p w14:paraId="26CBAAB0">
      <w:pPr>
        <w:ind w:firstLine="480" w:firstLineChars="200"/>
        <w:rPr>
          <w:rFonts w:hint="eastAsia" w:ascii="宋体"/>
          <w:color w:val="auto"/>
          <w:sz w:val="24"/>
          <w:highlight w:val="none"/>
        </w:rPr>
      </w:pPr>
    </w:p>
    <w:p w14:paraId="3B0B3792">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14:paraId="4BF43A2D">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14:paraId="5EFF5F92">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14:paraId="463781C4">
      <w:pPr>
        <w:spacing w:line="600" w:lineRule="exact"/>
        <w:rPr>
          <w:rFonts w:hint="eastAsia" w:ascii="宋体"/>
          <w:color w:val="auto"/>
          <w:sz w:val="24"/>
          <w:highlight w:val="none"/>
        </w:rPr>
      </w:pPr>
      <w:r>
        <w:rPr>
          <w:rFonts w:hint="eastAsia" w:ascii="宋体"/>
          <w:color w:val="auto"/>
          <w:sz w:val="24"/>
          <w:highlight w:val="none"/>
        </w:rPr>
        <w:t> </w:t>
      </w:r>
    </w:p>
    <w:p w14:paraId="50F5664D">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14:paraId="002C4D4D">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14:paraId="14B905DB">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14:paraId="6A9802E5">
      <w:pPr>
        <w:pStyle w:val="16"/>
        <w:rPr>
          <w:color w:val="auto"/>
          <w:highlight w:val="none"/>
        </w:rPr>
      </w:pPr>
    </w:p>
    <w:p w14:paraId="2246AA4E">
      <w:pPr>
        <w:spacing w:line="400" w:lineRule="exact"/>
        <w:ind w:firstLine="562" w:firstLineChars="200"/>
        <w:rPr>
          <w:rFonts w:hint="eastAsia"/>
          <w:b/>
          <w:color w:val="auto"/>
          <w:sz w:val="28"/>
          <w:szCs w:val="28"/>
          <w:highlight w:val="none"/>
        </w:rPr>
      </w:pPr>
    </w:p>
    <w:p w14:paraId="308F673A">
      <w:pPr>
        <w:spacing w:line="400" w:lineRule="exact"/>
        <w:ind w:firstLine="562" w:firstLineChars="200"/>
        <w:rPr>
          <w:rFonts w:hint="eastAsia"/>
          <w:b/>
          <w:color w:val="auto"/>
          <w:sz w:val="28"/>
          <w:szCs w:val="28"/>
          <w:highlight w:val="none"/>
        </w:rPr>
      </w:pPr>
    </w:p>
    <w:p w14:paraId="749D2052">
      <w:pPr>
        <w:spacing w:line="400" w:lineRule="exact"/>
        <w:ind w:firstLine="562" w:firstLineChars="200"/>
        <w:rPr>
          <w:rFonts w:hint="eastAsia"/>
          <w:b/>
          <w:color w:val="auto"/>
          <w:sz w:val="28"/>
          <w:szCs w:val="28"/>
          <w:highlight w:val="none"/>
        </w:rPr>
      </w:pPr>
    </w:p>
    <w:p w14:paraId="4DFB0C3F">
      <w:pPr>
        <w:spacing w:line="400" w:lineRule="exact"/>
        <w:ind w:firstLine="562" w:firstLineChars="200"/>
        <w:rPr>
          <w:rFonts w:hint="eastAsia"/>
          <w:b/>
          <w:color w:val="auto"/>
          <w:sz w:val="28"/>
          <w:szCs w:val="28"/>
          <w:highlight w:val="none"/>
        </w:rPr>
      </w:pPr>
    </w:p>
    <w:p w14:paraId="5B337762">
      <w:pPr>
        <w:spacing w:line="400" w:lineRule="exact"/>
        <w:ind w:firstLine="562" w:firstLineChars="200"/>
        <w:rPr>
          <w:rFonts w:hint="eastAsia"/>
          <w:b/>
          <w:color w:val="auto"/>
          <w:sz w:val="28"/>
          <w:szCs w:val="28"/>
          <w:highlight w:val="none"/>
        </w:rPr>
      </w:pPr>
    </w:p>
    <w:p w14:paraId="544B6E5B">
      <w:pPr>
        <w:spacing w:line="400" w:lineRule="exact"/>
        <w:ind w:firstLine="562" w:firstLineChars="200"/>
        <w:rPr>
          <w:rFonts w:hint="eastAsia"/>
          <w:b/>
          <w:color w:val="auto"/>
          <w:sz w:val="28"/>
          <w:szCs w:val="28"/>
          <w:highlight w:val="none"/>
        </w:rPr>
      </w:pPr>
    </w:p>
    <w:p w14:paraId="73517576">
      <w:pPr>
        <w:spacing w:line="400" w:lineRule="exact"/>
        <w:ind w:firstLine="562" w:firstLineChars="200"/>
        <w:rPr>
          <w:rFonts w:hint="eastAsia"/>
          <w:b/>
          <w:color w:val="auto"/>
          <w:sz w:val="28"/>
          <w:szCs w:val="28"/>
          <w:highlight w:val="none"/>
        </w:rPr>
      </w:pPr>
    </w:p>
    <w:p w14:paraId="7701574B">
      <w:pPr>
        <w:spacing w:line="400" w:lineRule="exact"/>
        <w:ind w:firstLine="562" w:firstLineChars="200"/>
        <w:rPr>
          <w:rFonts w:hint="eastAsia"/>
          <w:b/>
          <w:color w:val="auto"/>
          <w:sz w:val="28"/>
          <w:szCs w:val="28"/>
          <w:highlight w:val="none"/>
        </w:rPr>
      </w:pPr>
    </w:p>
    <w:p w14:paraId="10CFEF42">
      <w:pPr>
        <w:spacing w:line="400" w:lineRule="exact"/>
        <w:ind w:firstLine="562" w:firstLineChars="200"/>
        <w:rPr>
          <w:b/>
          <w:color w:val="auto"/>
          <w:sz w:val="28"/>
          <w:szCs w:val="28"/>
          <w:highlight w:val="none"/>
        </w:rPr>
      </w:pPr>
    </w:p>
    <w:p w14:paraId="5E4CE198">
      <w:pPr>
        <w:spacing w:line="400" w:lineRule="exact"/>
        <w:ind w:firstLine="562" w:firstLineChars="200"/>
        <w:rPr>
          <w:b/>
          <w:color w:val="auto"/>
          <w:sz w:val="28"/>
          <w:szCs w:val="28"/>
          <w:highlight w:val="none"/>
        </w:rPr>
      </w:pPr>
    </w:p>
    <w:p w14:paraId="47E202FD">
      <w:pPr>
        <w:spacing w:line="400" w:lineRule="exact"/>
        <w:ind w:firstLine="562" w:firstLineChars="200"/>
        <w:rPr>
          <w:b/>
          <w:color w:val="auto"/>
          <w:sz w:val="28"/>
          <w:szCs w:val="28"/>
          <w:highlight w:val="none"/>
        </w:rPr>
      </w:pPr>
    </w:p>
    <w:p w14:paraId="088C3DB7">
      <w:pPr>
        <w:pStyle w:val="2"/>
        <w:rPr>
          <w:color w:val="auto"/>
        </w:rPr>
      </w:pPr>
    </w:p>
    <w:p w14:paraId="38AA27BA">
      <w:pPr>
        <w:spacing w:line="400" w:lineRule="exact"/>
        <w:ind w:firstLine="562" w:firstLineChars="200"/>
        <w:rPr>
          <w:rFonts w:hint="eastAsia"/>
          <w:b/>
          <w:color w:val="auto"/>
          <w:sz w:val="28"/>
          <w:szCs w:val="28"/>
          <w:highlight w:val="none"/>
        </w:rPr>
      </w:pPr>
    </w:p>
    <w:p w14:paraId="0777ABE0">
      <w:pPr>
        <w:jc w:val="center"/>
        <w:rPr>
          <w:rFonts w:hint="eastAsia" w:ascii="宋体"/>
          <w:b/>
          <w:color w:val="auto"/>
          <w:sz w:val="44"/>
          <w:szCs w:val="44"/>
          <w:highlight w:val="none"/>
        </w:rPr>
      </w:pPr>
      <w:r>
        <w:rPr>
          <w:rFonts w:hint="eastAsia" w:ascii="宋体"/>
          <w:b/>
          <w:color w:val="auto"/>
          <w:sz w:val="44"/>
          <w:szCs w:val="44"/>
          <w:highlight w:val="none"/>
          <w:lang w:val="en-US" w:eastAsia="zh-CN"/>
        </w:rPr>
        <w:t>商务标</w:t>
      </w:r>
      <w:r>
        <w:rPr>
          <w:rFonts w:hint="eastAsia" w:ascii="宋体"/>
          <w:b/>
          <w:color w:val="auto"/>
          <w:sz w:val="44"/>
          <w:szCs w:val="44"/>
          <w:highlight w:val="none"/>
        </w:rPr>
        <w:t>文件</w:t>
      </w:r>
    </w:p>
    <w:p w14:paraId="27A3AD02">
      <w:pPr>
        <w:jc w:val="center"/>
        <w:rPr>
          <w:rFonts w:hint="eastAsia" w:eastAsia="黑体"/>
          <w:color w:val="auto"/>
          <w:sz w:val="44"/>
          <w:szCs w:val="44"/>
          <w:highlight w:val="none"/>
        </w:rPr>
      </w:pPr>
    </w:p>
    <w:p w14:paraId="5D9E6CC9">
      <w:pPr>
        <w:jc w:val="center"/>
        <w:rPr>
          <w:rFonts w:hint="eastAsia" w:eastAsia="黑体"/>
          <w:color w:val="auto"/>
          <w:sz w:val="44"/>
          <w:szCs w:val="44"/>
          <w:highlight w:val="none"/>
        </w:rPr>
      </w:pPr>
    </w:p>
    <w:p w14:paraId="5FCEB3AB">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6F65924C">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31F8288A">
      <w:pPr>
        <w:rPr>
          <w:rFonts w:hint="eastAsia" w:ascii="宋体"/>
          <w:color w:val="auto"/>
          <w:sz w:val="28"/>
          <w:szCs w:val="28"/>
          <w:highlight w:val="none"/>
        </w:rPr>
      </w:pPr>
    </w:p>
    <w:p w14:paraId="5CCD1757">
      <w:pPr>
        <w:rPr>
          <w:rFonts w:hint="eastAsia" w:ascii="宋体"/>
          <w:color w:val="auto"/>
          <w:sz w:val="28"/>
          <w:szCs w:val="28"/>
          <w:highlight w:val="none"/>
        </w:rPr>
      </w:pPr>
    </w:p>
    <w:p w14:paraId="55631445">
      <w:pPr>
        <w:rPr>
          <w:rFonts w:hint="eastAsia" w:ascii="宋体"/>
          <w:color w:val="auto"/>
          <w:sz w:val="28"/>
          <w:szCs w:val="28"/>
          <w:highlight w:val="none"/>
        </w:rPr>
      </w:pPr>
    </w:p>
    <w:p w14:paraId="21BD9A54">
      <w:pPr>
        <w:rPr>
          <w:rFonts w:hint="eastAsia" w:ascii="宋体"/>
          <w:color w:val="auto"/>
          <w:sz w:val="28"/>
          <w:szCs w:val="28"/>
          <w:highlight w:val="none"/>
        </w:rPr>
      </w:pPr>
    </w:p>
    <w:p w14:paraId="69B0235E">
      <w:pPr>
        <w:rPr>
          <w:rFonts w:hint="eastAsia" w:ascii="宋体"/>
          <w:color w:val="auto"/>
          <w:sz w:val="28"/>
          <w:szCs w:val="28"/>
          <w:highlight w:val="none"/>
        </w:rPr>
      </w:pPr>
    </w:p>
    <w:p w14:paraId="0C7157F4">
      <w:pPr>
        <w:pStyle w:val="2"/>
        <w:rPr>
          <w:rFonts w:hint="eastAsia" w:ascii="宋体"/>
          <w:color w:val="auto"/>
          <w:sz w:val="28"/>
          <w:szCs w:val="28"/>
          <w:highlight w:val="none"/>
        </w:rPr>
      </w:pPr>
    </w:p>
    <w:p w14:paraId="0FE1A864">
      <w:pPr>
        <w:pStyle w:val="27"/>
        <w:rPr>
          <w:rFonts w:hint="eastAsia"/>
          <w:color w:val="auto"/>
        </w:rPr>
      </w:pPr>
    </w:p>
    <w:p w14:paraId="7282C71E">
      <w:pPr>
        <w:rPr>
          <w:rFonts w:hint="eastAsia" w:ascii="宋体"/>
          <w:color w:val="auto"/>
          <w:sz w:val="28"/>
          <w:szCs w:val="28"/>
          <w:highlight w:val="none"/>
        </w:rPr>
      </w:pPr>
    </w:p>
    <w:p w14:paraId="596A6BA7">
      <w:pPr>
        <w:rPr>
          <w:rFonts w:hint="eastAsia" w:ascii="宋体"/>
          <w:color w:val="auto"/>
          <w:sz w:val="28"/>
          <w:szCs w:val="28"/>
          <w:highlight w:val="none"/>
        </w:rPr>
      </w:pPr>
    </w:p>
    <w:p w14:paraId="64911142">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0E8D0A5B">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21419236">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0632E236">
      <w:pPr>
        <w:spacing w:line="400" w:lineRule="exact"/>
        <w:rPr>
          <w:rFonts w:hint="eastAsia"/>
          <w:b/>
          <w:color w:val="auto"/>
          <w:sz w:val="44"/>
          <w:szCs w:val="44"/>
          <w:highlight w:val="none"/>
        </w:rPr>
      </w:pPr>
    </w:p>
    <w:p w14:paraId="7E714577">
      <w:pPr>
        <w:spacing w:line="400" w:lineRule="exact"/>
        <w:ind w:firstLine="4130" w:firstLineChars="935"/>
        <w:rPr>
          <w:rFonts w:hint="eastAsia"/>
          <w:b/>
          <w:color w:val="auto"/>
          <w:sz w:val="44"/>
          <w:szCs w:val="44"/>
          <w:highlight w:val="none"/>
        </w:rPr>
      </w:pPr>
    </w:p>
    <w:p w14:paraId="10D1B5E0">
      <w:pPr>
        <w:jc w:val="center"/>
        <w:rPr>
          <w:rFonts w:hint="eastAsia"/>
          <w:b/>
          <w:color w:val="auto"/>
          <w:sz w:val="44"/>
          <w:szCs w:val="44"/>
          <w:highlight w:val="none"/>
        </w:rPr>
      </w:pPr>
      <w:r>
        <w:rPr>
          <w:rFonts w:hint="eastAsia"/>
          <w:b/>
          <w:color w:val="auto"/>
          <w:sz w:val="36"/>
          <w:szCs w:val="36"/>
          <w:highlight w:val="none"/>
        </w:rPr>
        <w:t>目   录</w:t>
      </w:r>
    </w:p>
    <w:p w14:paraId="7F09FFFF">
      <w:pPr>
        <w:spacing w:line="400" w:lineRule="exact"/>
        <w:ind w:firstLine="562" w:firstLineChars="200"/>
        <w:rPr>
          <w:rFonts w:hint="eastAsia"/>
          <w:b/>
          <w:color w:val="auto"/>
          <w:sz w:val="28"/>
          <w:szCs w:val="28"/>
          <w:highlight w:val="none"/>
        </w:rPr>
      </w:pPr>
    </w:p>
    <w:p w14:paraId="5C0B7588">
      <w:pPr>
        <w:spacing w:line="440" w:lineRule="exact"/>
        <w:ind w:left="420"/>
        <w:rPr>
          <w:rFonts w:hint="eastAsia" w:ascii="宋体"/>
          <w:color w:val="auto"/>
          <w:szCs w:val="21"/>
          <w:highlight w:val="none"/>
        </w:rPr>
      </w:pPr>
      <w:r>
        <w:rPr>
          <w:rFonts w:hint="eastAsia" w:ascii="宋体"/>
          <w:color w:val="auto"/>
          <w:szCs w:val="21"/>
          <w:highlight w:val="none"/>
        </w:rPr>
        <w:t>（</w:t>
      </w:r>
      <w:r>
        <w:rPr>
          <w:rFonts w:hint="eastAsia" w:ascii="宋体"/>
          <w:color w:val="auto"/>
          <w:szCs w:val="21"/>
          <w:highlight w:val="none"/>
          <w:lang w:val="en-US" w:eastAsia="zh-CN"/>
        </w:rPr>
        <w:t>1</w:t>
      </w:r>
      <w:r>
        <w:rPr>
          <w:rFonts w:hint="eastAsia" w:ascii="宋体"/>
          <w:color w:val="auto"/>
          <w:szCs w:val="21"/>
          <w:highlight w:val="none"/>
        </w:rPr>
        <w:t>）开标一览表（格式见附件）；</w:t>
      </w:r>
    </w:p>
    <w:p w14:paraId="39A96350">
      <w:pPr>
        <w:spacing w:line="440" w:lineRule="exact"/>
        <w:ind w:left="420"/>
        <w:rPr>
          <w:rFonts w:hint="eastAsia" w:ascii="宋体" w:eastAsia="宋体"/>
          <w:color w:val="auto"/>
          <w:szCs w:val="21"/>
          <w:highlight w:val="none"/>
          <w:lang w:eastAsia="zh-CN"/>
        </w:rPr>
      </w:pPr>
      <w:r>
        <w:rPr>
          <w:rFonts w:hint="eastAsia" w:ascii="宋体"/>
          <w:color w:val="auto"/>
          <w:szCs w:val="21"/>
          <w:highlight w:val="none"/>
        </w:rPr>
        <w:t>（</w:t>
      </w:r>
      <w:r>
        <w:rPr>
          <w:rFonts w:hint="eastAsia" w:ascii="宋体"/>
          <w:color w:val="auto"/>
          <w:szCs w:val="21"/>
          <w:highlight w:val="none"/>
          <w:lang w:val="en-US" w:eastAsia="zh-CN"/>
        </w:rPr>
        <w:t>2</w:t>
      </w:r>
      <w:r>
        <w:rPr>
          <w:rFonts w:hint="eastAsia" w:ascii="宋体"/>
          <w:color w:val="auto"/>
          <w:szCs w:val="21"/>
          <w:highlight w:val="none"/>
        </w:rPr>
        <w:t>）投标函（格式见附件）</w:t>
      </w:r>
      <w:r>
        <w:rPr>
          <w:rFonts w:hint="eastAsia" w:ascii="宋体"/>
          <w:color w:val="auto"/>
          <w:szCs w:val="21"/>
          <w:highlight w:val="none"/>
          <w:lang w:eastAsia="zh-CN"/>
        </w:rPr>
        <w:t>。</w:t>
      </w:r>
    </w:p>
    <w:p w14:paraId="53E03863">
      <w:pPr>
        <w:spacing w:line="500" w:lineRule="exact"/>
        <w:ind w:firstLine="420" w:firstLineChars="200"/>
        <w:jc w:val="left"/>
        <w:rPr>
          <w:rFonts w:hint="eastAsia" w:ascii="宋体" w:hAnsi="Times New Roman" w:eastAsia="宋体" w:cs="Times New Roman"/>
          <w:color w:val="auto"/>
          <w:szCs w:val="21"/>
          <w:highlight w:val="none"/>
        </w:rPr>
      </w:pPr>
    </w:p>
    <w:p w14:paraId="5D3A72D9">
      <w:pPr>
        <w:spacing w:line="400" w:lineRule="exact"/>
        <w:rPr>
          <w:b/>
          <w:color w:val="auto"/>
          <w:sz w:val="28"/>
          <w:szCs w:val="28"/>
          <w:highlight w:val="none"/>
        </w:rPr>
        <w:sectPr>
          <w:pgSz w:w="11906" w:h="16838"/>
          <w:pgMar w:top="1440" w:right="1800" w:bottom="1440" w:left="1800" w:header="851" w:footer="992" w:gutter="0"/>
          <w:pgNumType w:fmt="numberInDash"/>
          <w:cols w:space="720" w:num="1"/>
          <w:docGrid w:type="lines" w:linePitch="312" w:charSpace="0"/>
        </w:sectPr>
      </w:pPr>
    </w:p>
    <w:p w14:paraId="0EF4585B">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1</w:t>
      </w:r>
    </w:p>
    <w:p w14:paraId="6963941F">
      <w:pPr>
        <w:spacing w:line="360" w:lineRule="exact"/>
        <w:ind w:firstLine="472" w:firstLineChars="147"/>
        <w:jc w:val="center"/>
        <w:rPr>
          <w:rFonts w:hint="eastAsia" w:ascii="宋体"/>
          <w:b/>
          <w:color w:val="auto"/>
          <w:sz w:val="32"/>
          <w:szCs w:val="32"/>
          <w:highlight w:val="none"/>
        </w:rPr>
      </w:pPr>
    </w:p>
    <w:p w14:paraId="3FBB7EB2">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14:paraId="60D0434E">
      <w:pPr>
        <w:spacing w:line="360" w:lineRule="exact"/>
        <w:ind w:firstLine="354" w:firstLineChars="147"/>
        <w:rPr>
          <w:rFonts w:hint="eastAsia" w:ascii="宋体"/>
          <w:b/>
          <w:color w:val="auto"/>
          <w:sz w:val="24"/>
          <w:highlight w:val="none"/>
        </w:rPr>
      </w:pPr>
    </w:p>
    <w:p w14:paraId="5A0BF5CB">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14:paraId="112BB3D3">
      <w:pPr>
        <w:snapToGrid w:val="0"/>
        <w:spacing w:line="460" w:lineRule="exact"/>
        <w:ind w:left="2940" w:leftChars="1400" w:firstLine="720" w:firstLineChars="300"/>
        <w:rPr>
          <w:rFonts w:hint="eastAsia" w:ascii="宋体"/>
          <w:color w:val="auto"/>
          <w:sz w:val="24"/>
          <w:highlight w:val="none"/>
        </w:rPr>
      </w:pPr>
    </w:p>
    <w:tbl>
      <w:tblPr>
        <w:tblStyle w:val="3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14:paraId="4E5E04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14:paraId="56C5C982">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14:paraId="1C3DC6DB">
            <w:pPr>
              <w:spacing w:line="360" w:lineRule="auto"/>
              <w:jc w:val="left"/>
              <w:rPr>
                <w:rFonts w:hint="eastAsia"/>
                <w:color w:val="auto"/>
                <w:sz w:val="24"/>
                <w:highlight w:val="none"/>
              </w:rPr>
            </w:pPr>
            <w:r>
              <w:rPr>
                <w:rFonts w:hint="eastAsia"/>
                <w:color w:val="auto"/>
                <w:sz w:val="24"/>
                <w:highlight w:val="none"/>
              </w:rPr>
              <w:t xml:space="preserve">         </w:t>
            </w:r>
          </w:p>
        </w:tc>
      </w:tr>
      <w:tr w14:paraId="2B07CA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14:paraId="5DC89DD8">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14:paraId="0FFA190D">
            <w:pPr>
              <w:rPr>
                <w:rFonts w:hint="eastAsia" w:ascii="宋体" w:eastAsia="宋体"/>
                <w:color w:val="auto"/>
                <w:sz w:val="24"/>
                <w:highlight w:val="none"/>
                <w:lang w:val="en-US" w:eastAsia="zh-CN"/>
              </w:rPr>
            </w:pPr>
            <w:r>
              <w:rPr>
                <w:rFonts w:hint="eastAsia" w:ascii="宋体"/>
                <w:color w:val="auto"/>
                <w:sz w:val="24"/>
                <w:highlight w:val="none"/>
                <w:lang w:val="en-US" w:eastAsia="zh-CN"/>
              </w:rPr>
              <w:t>/</w:t>
            </w:r>
          </w:p>
        </w:tc>
      </w:tr>
      <w:tr w14:paraId="491B9C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14:paraId="60B09C0D">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14:paraId="7C004709">
            <w:pPr>
              <w:pStyle w:val="19"/>
              <w:spacing w:line="460" w:lineRule="exact"/>
              <w:ind w:left="86" w:leftChars="41"/>
              <w:rPr>
                <w:rFonts w:hint="eastAsia" w:ascii="宋体" w:eastAsia="宋体"/>
                <w:color w:val="auto"/>
                <w:sz w:val="24"/>
                <w:szCs w:val="24"/>
                <w:highlight w:val="none"/>
              </w:rPr>
            </w:pPr>
          </w:p>
        </w:tc>
      </w:tr>
      <w:tr w14:paraId="0AB42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14:paraId="6B970750">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14:paraId="73CCA11F">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14:paraId="37D47D48">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14:paraId="4261A588">
            <w:pPr>
              <w:keepNext w:val="0"/>
              <w:keepLines w:val="0"/>
              <w:pageBreakBefore w:val="0"/>
              <w:widowControl w:val="0"/>
              <w:kinsoku/>
              <w:wordWrap/>
              <w:overflowPunct/>
              <w:topLinePunct w:val="0"/>
              <w:autoSpaceDE/>
              <w:autoSpaceDN/>
              <w:bidi w:val="0"/>
              <w:adjustRightInd/>
              <w:snapToGrid/>
              <w:spacing w:line="900" w:lineRule="exact"/>
              <w:textAlignment w:val="auto"/>
              <w:rPr>
                <w:rFonts w:hint="default" w:eastAsia="宋体"/>
                <w:color w:val="auto"/>
                <w:sz w:val="24"/>
                <w:highlight w:val="none"/>
                <w:lang w:val="en-US" w:eastAsia="zh-CN"/>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响应招标文件要求。</w:t>
            </w:r>
          </w:p>
        </w:tc>
      </w:tr>
    </w:tbl>
    <w:p w14:paraId="41456AF2">
      <w:pPr>
        <w:snapToGrid w:val="0"/>
        <w:spacing w:line="460" w:lineRule="exact"/>
        <w:ind w:left="2940" w:leftChars="1400" w:firstLine="723" w:firstLineChars="300"/>
        <w:rPr>
          <w:rFonts w:hint="eastAsia" w:ascii="宋体"/>
          <w:b/>
          <w:color w:val="auto"/>
          <w:sz w:val="24"/>
          <w:highlight w:val="none"/>
        </w:rPr>
      </w:pPr>
    </w:p>
    <w:p w14:paraId="73BA66C1">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14:paraId="64ADD090">
      <w:pPr>
        <w:snapToGrid w:val="0"/>
        <w:spacing w:before="312" w:beforeLines="100" w:after="312" w:afterLines="100" w:line="360" w:lineRule="auto"/>
        <w:jc w:val="center"/>
        <w:rPr>
          <w:rFonts w:cs="Arial"/>
          <w:b/>
          <w:bCs/>
          <w:color w:val="auto"/>
          <w:sz w:val="30"/>
          <w:szCs w:val="30"/>
          <w:highlight w:val="none"/>
        </w:rPr>
        <w:sectPr>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14:paraId="06A2C081">
      <w:pPr>
        <w:spacing w:line="360" w:lineRule="exact"/>
        <w:ind w:firstLine="443" w:firstLineChars="147"/>
        <w:rPr>
          <w:rFonts w:hint="eastAsia" w:ascii="宋体"/>
          <w:b/>
          <w:color w:val="auto"/>
          <w:sz w:val="30"/>
          <w:szCs w:val="30"/>
          <w:highlight w:val="none"/>
        </w:rPr>
      </w:pPr>
    </w:p>
    <w:p w14:paraId="5E858282">
      <w:pPr>
        <w:spacing w:line="360" w:lineRule="exact"/>
        <w:ind w:firstLine="443" w:firstLineChars="147"/>
        <w:rPr>
          <w:rFonts w:hint="eastAsia" w:ascii="宋体" w:hAnsi="宋体"/>
          <w:b/>
          <w:color w:val="auto"/>
          <w:sz w:val="30"/>
          <w:szCs w:val="30"/>
          <w:highlight w:val="none"/>
        </w:rPr>
      </w:pPr>
      <w:r>
        <w:rPr>
          <w:rFonts w:hint="eastAsia" w:ascii="宋体" w:hAnsi="宋体"/>
          <w:b/>
          <w:color w:val="auto"/>
          <w:sz w:val="30"/>
          <w:szCs w:val="30"/>
          <w:highlight w:val="none"/>
        </w:rPr>
        <w:t>附件2</w:t>
      </w:r>
    </w:p>
    <w:p w14:paraId="23353D38">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13B03063">
      <w:pPr>
        <w:spacing w:line="440" w:lineRule="exact"/>
        <w:rPr>
          <w:rFonts w:hint="eastAsia" w:ascii="宋体"/>
          <w:color w:val="auto"/>
          <w:sz w:val="24"/>
          <w:highlight w:val="none"/>
        </w:rPr>
      </w:pPr>
    </w:p>
    <w:p w14:paraId="7DB4BBAC">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rPr>
        <w:t xml:space="preserve">（项目名称）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”的采购</w:t>
      </w:r>
      <w:r>
        <w:rPr>
          <w:rFonts w:hint="eastAsia" w:ascii="宋体" w:hAnsi="宋体" w:cs="宋体"/>
          <w:color w:val="auto"/>
          <w:sz w:val="24"/>
          <w:highlight w:val="none"/>
        </w:rPr>
        <w:t xml:space="preserve">。我方授权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E4FC9EA">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开具增值税（专用/普通）发票，税率为    %。（注：投标人须明确开具增值税发票的类型，否则按无效标处理）</w:t>
      </w:r>
      <w:r>
        <w:rPr>
          <w:rFonts w:hint="eastAsia" w:ascii="宋体" w:hAnsi="宋体" w:cs="宋体"/>
          <w:color w:val="auto"/>
          <w:sz w:val="24"/>
          <w:highlight w:val="none"/>
        </w:rPr>
        <w:t>；</w:t>
      </w:r>
      <w:r>
        <w:rPr>
          <w:rFonts w:hint="eastAsia" w:ascii="宋体" w:hAnsi="宋体" w:cs="宋体"/>
          <w:color w:val="auto"/>
          <w:sz w:val="24"/>
          <w:highlight w:val="none"/>
          <w:lang w:val="en-US" w:eastAsia="zh-CN"/>
        </w:rPr>
        <w:t xml:space="preserve">  </w:t>
      </w:r>
    </w:p>
    <w:p w14:paraId="7F4AEFF3">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068B8949">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1767BD79">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bookmarkStart w:id="76" w:name="_GoBack"/>
      <w:bookmarkEnd w:id="76"/>
      <w:r>
        <w:rPr>
          <w:rFonts w:hint="eastAsia" w:ascii="宋体"/>
          <w:color w:val="auto"/>
          <w:sz w:val="24"/>
          <w:highlight w:val="none"/>
        </w:rPr>
        <w:t>日历天（从投标截止之日算起）。</w:t>
      </w:r>
    </w:p>
    <w:p w14:paraId="6B196070">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3534B0DE">
      <w:pPr>
        <w:spacing w:line="440" w:lineRule="exact"/>
        <w:rPr>
          <w:rFonts w:hint="eastAsia" w:ascii="宋体"/>
          <w:color w:val="auto"/>
          <w:sz w:val="24"/>
          <w:highlight w:val="none"/>
        </w:rPr>
      </w:pPr>
      <w:r>
        <w:rPr>
          <w:rFonts w:hint="eastAsia" w:ascii="宋体"/>
          <w:color w:val="auto"/>
          <w:sz w:val="24"/>
          <w:highlight w:val="none"/>
        </w:rPr>
        <w:t> </w:t>
      </w:r>
    </w:p>
    <w:p w14:paraId="347EA83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73911EDE">
      <w:pPr>
        <w:spacing w:line="440" w:lineRule="exact"/>
        <w:jc w:val="right"/>
        <w:rPr>
          <w:rFonts w:hint="eastAsia" w:ascii="宋体"/>
          <w:color w:val="auto"/>
          <w:sz w:val="24"/>
          <w:highlight w:val="none"/>
        </w:rPr>
      </w:pPr>
    </w:p>
    <w:p w14:paraId="2EE797F5">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87FB852">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25508D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024B6B0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341AF31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0C9FE22">
      <w:pPr>
        <w:spacing w:line="360" w:lineRule="exact"/>
        <w:rPr>
          <w:rFonts w:hint="eastAsia" w:ascii="宋体"/>
          <w:b/>
          <w:color w:val="auto"/>
          <w:sz w:val="28"/>
          <w:szCs w:val="28"/>
          <w:highlight w:val="none"/>
        </w:rPr>
      </w:pPr>
    </w:p>
    <w:p w14:paraId="5B2F503E">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8"/>
      <w:bookmarkEnd w:id="69"/>
      <w:bookmarkStart w:id="74" w:name="_Toc449028957"/>
      <w:bookmarkStart w:id="75" w:name="_Toc58430333"/>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74"/>
      <w:bookmarkEnd w:id="75"/>
    </w:p>
    <w:p w14:paraId="5027823C">
      <w:pPr>
        <w:spacing w:line="440" w:lineRule="exact"/>
        <w:rPr>
          <w:rFonts w:hint="eastAsia" w:ascii="宋体"/>
          <w:color w:val="auto"/>
          <w:sz w:val="24"/>
          <w:highlight w:val="none"/>
          <w:u w:val="single"/>
        </w:rPr>
      </w:pPr>
    </w:p>
    <w:tbl>
      <w:tblPr>
        <w:tblStyle w:val="35"/>
        <w:tblW w:w="0" w:type="auto"/>
        <w:jc w:val="center"/>
        <w:tblLayout w:type="fixed"/>
        <w:tblCellMar>
          <w:top w:w="0" w:type="dxa"/>
          <w:left w:w="108" w:type="dxa"/>
          <w:bottom w:w="0" w:type="dxa"/>
          <w:right w:w="108" w:type="dxa"/>
        </w:tblCellMar>
      </w:tblPr>
      <w:tblGrid>
        <w:gridCol w:w="9374"/>
      </w:tblGrid>
      <w:tr w14:paraId="13D90243">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20497CDC">
            <w:pPr>
              <w:spacing w:line="440" w:lineRule="exact"/>
              <w:ind w:firstLine="560" w:firstLineChars="200"/>
              <w:rPr>
                <w:rFonts w:hint="eastAsia" w:ascii="宋体" w:cs="宋体"/>
                <w:color w:val="auto"/>
                <w:sz w:val="28"/>
                <w:szCs w:val="28"/>
                <w:highlight w:val="none"/>
              </w:rPr>
            </w:pPr>
          </w:p>
          <w:p w14:paraId="1A304B5C">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滁州市扬子工业投资集团有限公司财务报表审计服务项目</w:t>
            </w:r>
            <w:r>
              <w:rPr>
                <w:rFonts w:hint="eastAsia" w:ascii="宋体" w:cs="宋体"/>
                <w:color w:val="auto"/>
                <w:sz w:val="28"/>
                <w:szCs w:val="28"/>
                <w:highlight w:val="none"/>
              </w:rPr>
              <w:t>的招标文件进行确认。</w:t>
            </w:r>
          </w:p>
          <w:p w14:paraId="0C4687CA">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滁州市扬子工业投资集团有限公司</w:t>
            </w:r>
          </w:p>
          <w:p w14:paraId="3D57C6E7">
            <w:pPr>
              <w:spacing w:line="360" w:lineRule="auto"/>
              <w:ind w:firstLine="560" w:firstLineChars="200"/>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常娜</w:t>
            </w:r>
          </w:p>
          <w:p w14:paraId="2B5CDFF0">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0550-3018129</w:t>
            </w:r>
          </w:p>
          <w:p w14:paraId="1D843A94">
            <w:pPr>
              <w:spacing w:line="540" w:lineRule="exact"/>
              <w:ind w:firstLine="7140" w:firstLineChars="2550"/>
              <w:rPr>
                <w:rFonts w:hint="eastAsia" w:ascii="宋体" w:cs="宋体"/>
                <w:color w:val="auto"/>
                <w:sz w:val="28"/>
                <w:szCs w:val="28"/>
                <w:highlight w:val="none"/>
              </w:rPr>
            </w:pPr>
          </w:p>
          <w:p w14:paraId="20049E5F">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684171B5">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w:t>
            </w:r>
            <w:r>
              <w:rPr>
                <w:rFonts w:hint="eastAsia" w:ascii="宋体" w:cs="宋体"/>
                <w:color w:val="auto"/>
                <w:sz w:val="28"/>
                <w:szCs w:val="28"/>
                <w:highlight w:val="none"/>
                <w:lang w:val="en-US" w:eastAsia="zh-CN"/>
              </w:rPr>
              <w:t>24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09</w:t>
            </w:r>
            <w:r>
              <w:rPr>
                <w:rFonts w:hint="eastAsia" w:ascii="宋体" w:cs="宋体"/>
                <w:color w:val="auto"/>
                <w:sz w:val="28"/>
                <w:szCs w:val="28"/>
                <w:highlight w:val="none"/>
              </w:rPr>
              <w:t>月</w:t>
            </w:r>
          </w:p>
        </w:tc>
      </w:tr>
      <w:tr w14:paraId="42C5D9C9">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14:paraId="11C4FDF6">
            <w:pPr>
              <w:spacing w:line="440" w:lineRule="exact"/>
              <w:rPr>
                <w:rFonts w:hint="eastAsia" w:ascii="宋体" w:cs="宋体"/>
                <w:color w:val="auto"/>
                <w:sz w:val="28"/>
                <w:szCs w:val="28"/>
                <w:highlight w:val="none"/>
              </w:rPr>
            </w:pPr>
          </w:p>
          <w:p w14:paraId="5FF0FB7A">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14:paraId="01A35B99">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14:paraId="22684045">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14:paraId="686E5825">
            <w:pPr>
              <w:spacing w:line="520" w:lineRule="exact"/>
              <w:ind w:firstLine="6300" w:firstLineChars="2250"/>
              <w:rPr>
                <w:rFonts w:hint="eastAsia" w:ascii="宋体" w:cs="宋体"/>
                <w:color w:val="auto"/>
                <w:sz w:val="28"/>
                <w:szCs w:val="28"/>
                <w:highlight w:val="none"/>
              </w:rPr>
            </w:pPr>
          </w:p>
          <w:p w14:paraId="69784CCD">
            <w:pPr>
              <w:pStyle w:val="2"/>
              <w:rPr>
                <w:rFonts w:hint="eastAsia"/>
                <w:color w:val="auto"/>
                <w:highlight w:val="none"/>
              </w:rPr>
            </w:pPr>
          </w:p>
          <w:p w14:paraId="1B93EB1E">
            <w:pPr>
              <w:spacing w:line="520" w:lineRule="exact"/>
              <w:ind w:firstLine="6580" w:firstLineChars="2350"/>
              <w:rPr>
                <w:rFonts w:hint="eastAsia" w:ascii="宋体" w:cs="宋体"/>
                <w:color w:val="auto"/>
                <w:sz w:val="28"/>
                <w:szCs w:val="28"/>
                <w:highlight w:val="none"/>
              </w:rPr>
            </w:pPr>
          </w:p>
          <w:p w14:paraId="588D1772">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14:paraId="2F1F8B8A">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w:t>
            </w:r>
            <w:r>
              <w:rPr>
                <w:rFonts w:hint="eastAsia" w:ascii="宋体" w:cs="宋体"/>
                <w:color w:val="auto"/>
                <w:sz w:val="28"/>
                <w:szCs w:val="28"/>
                <w:highlight w:val="none"/>
                <w:lang w:val="en-US" w:eastAsia="zh-CN"/>
              </w:rPr>
              <w:t>24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09</w:t>
            </w:r>
            <w:r>
              <w:rPr>
                <w:rFonts w:hint="eastAsia" w:ascii="宋体" w:cs="宋体"/>
                <w:color w:val="auto"/>
                <w:sz w:val="28"/>
                <w:szCs w:val="28"/>
                <w:highlight w:val="none"/>
              </w:rPr>
              <w:t>月</w:t>
            </w:r>
          </w:p>
        </w:tc>
      </w:tr>
      <w:bookmarkEnd w:id="0"/>
    </w:tbl>
    <w:p w14:paraId="7CFD80ED">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0002A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Leelawadee UI">
    <w:panose1 w:val="020B0502040204020203"/>
    <w:charset w:val="00"/>
    <w:family w:val="auto"/>
    <w:pitch w:val="default"/>
    <w:sig w:usb0="83000003" w:usb1="00000000" w:usb2="00010000" w:usb3="00000001"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893CA">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C98D">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72930192">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EF4EC">
    <w:pPr>
      <w:pStyle w:val="23"/>
      <w:framePr w:wrap="around" w:vAnchor="text" w:hAnchor="margin" w:xAlign="center" w:y="1"/>
      <w:tabs>
        <w:tab w:val="clear" w:pos="4153"/>
        <w:tab w:val="clear" w:pos="8306"/>
      </w:tabs>
      <w:rPr>
        <w:rStyle w:val="39"/>
        <w:rFonts w:hint="eastAsia"/>
      </w:rPr>
    </w:pPr>
  </w:p>
  <w:p w14:paraId="4E2F41FC">
    <w:pPr>
      <w:pStyle w:val="23"/>
      <w:tabs>
        <w:tab w:val="clear" w:pos="4153"/>
        <w:tab w:val="clear" w:pos="8306"/>
      </w:tabs>
      <w:rPr>
        <w:rFonts w:hint="eastAsia"/>
        <w:szCs w:val="21"/>
      </w:rPr>
    </w:pPr>
  </w:p>
  <w:p w14:paraId="00C9D172">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EC170">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7F4D5F4">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67F4D5F4">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C6825">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EB757AD">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14:paraId="3EB757AD">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94D35">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E6F9">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DA03F">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DC3CD">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xZmY1YWIyY2VlNjlmMWZhMzU1OWNiZjFjMzY2ODE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C21FB3"/>
    <w:rsid w:val="06D0451E"/>
    <w:rsid w:val="06DA6FC6"/>
    <w:rsid w:val="06EB6E0C"/>
    <w:rsid w:val="06F34B4B"/>
    <w:rsid w:val="06FF299A"/>
    <w:rsid w:val="070A729C"/>
    <w:rsid w:val="07342561"/>
    <w:rsid w:val="073C599D"/>
    <w:rsid w:val="073E5575"/>
    <w:rsid w:val="074128B0"/>
    <w:rsid w:val="074A10F8"/>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516F20"/>
    <w:rsid w:val="296D1EE4"/>
    <w:rsid w:val="29944EB8"/>
    <w:rsid w:val="299C4433"/>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74193F"/>
    <w:rsid w:val="347A4AA6"/>
    <w:rsid w:val="34BA5036"/>
    <w:rsid w:val="34BC5AFA"/>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FB3A43"/>
    <w:rsid w:val="3CFB661F"/>
    <w:rsid w:val="3D0B626C"/>
    <w:rsid w:val="3D0F4D1C"/>
    <w:rsid w:val="3D487A50"/>
    <w:rsid w:val="3D5139EC"/>
    <w:rsid w:val="3D7A6218"/>
    <w:rsid w:val="3D8552FA"/>
    <w:rsid w:val="3D8C367A"/>
    <w:rsid w:val="3DB039E8"/>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6A190F"/>
    <w:rsid w:val="416E7E42"/>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D3DAD"/>
    <w:rsid w:val="479C5383"/>
    <w:rsid w:val="479F646B"/>
    <w:rsid w:val="47A56FB4"/>
    <w:rsid w:val="47AD7CF1"/>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5DD63E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7732C0"/>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926FC"/>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autoRedefine/>
    <w:semiHidden/>
    <w:qFormat/>
    <w:uiPriority w:val="0"/>
  </w:style>
  <w:style w:type="table" w:default="1" w:styleId="3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3"/>
    <w:autoRedefine/>
    <w:qFormat/>
    <w:uiPriority w:val="0"/>
    <w:pPr>
      <w:ind w:left="420" w:firstLine="420" w:firstLineChars="200"/>
    </w:pPr>
  </w:style>
  <w:style w:type="paragraph" w:styleId="3">
    <w:name w:val="Body Text Indent"/>
    <w:basedOn w:val="1"/>
    <w:next w:val="4"/>
    <w:link w:val="52"/>
    <w:autoRedefine/>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autoRedefine/>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autoRedefine/>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3"/>
    <w:autoRedefine/>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0"/>
    <w:rPr>
      <w:b/>
    </w:rPr>
  </w:style>
  <w:style w:type="character" w:styleId="39">
    <w:name w:val="page number"/>
    <w:autoRedefine/>
    <w:qFormat/>
    <w:uiPriority w:val="0"/>
  </w:style>
  <w:style w:type="character" w:styleId="40">
    <w:name w:val="FollowedHyperlink"/>
    <w:autoRedefine/>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autoRedefine/>
    <w:qFormat/>
    <w:uiPriority w:val="0"/>
    <w:rPr>
      <w:rFonts w:ascii="monospace" w:hAnsi="monospace" w:eastAsia="monospace" w:cs="monospace"/>
      <w:sz w:val="20"/>
    </w:rPr>
  </w:style>
  <w:style w:type="character" w:styleId="44">
    <w:name w:val="HTML Acronym"/>
    <w:autoRedefine/>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autoRedefine/>
    <w:qFormat/>
    <w:uiPriority w:val="0"/>
    <w:rPr>
      <w:rFonts w:hint="default" w:ascii="monospace" w:hAnsi="monospace" w:eastAsia="monospace" w:cs="monospace"/>
      <w:sz w:val="20"/>
    </w:rPr>
  </w:style>
  <w:style w:type="character" w:styleId="48">
    <w:name w:val="annotation reference"/>
    <w:autoRedefine/>
    <w:qFormat/>
    <w:uiPriority w:val="0"/>
    <w:rPr>
      <w:sz w:val="21"/>
      <w:szCs w:val="21"/>
    </w:rPr>
  </w:style>
  <w:style w:type="character" w:styleId="49">
    <w:name w:val="HTML Cite"/>
    <w:autoRedefin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autoRedefine/>
    <w:qFormat/>
    <w:uiPriority w:val="0"/>
    <w:rPr>
      <w:kern w:val="2"/>
      <w:sz w:val="21"/>
      <w:szCs w:val="24"/>
    </w:rPr>
  </w:style>
  <w:style w:type="character" w:customStyle="1" w:styleId="53">
    <w:name w:val="正文文本首行缩进 2 字符"/>
    <w:link w:val="2"/>
    <w:autoRedefine/>
    <w:qFormat/>
    <w:uiPriority w:val="0"/>
  </w:style>
  <w:style w:type="character" w:customStyle="1" w:styleId="54">
    <w:name w:val="标题 1 字符"/>
    <w:link w:val="6"/>
    <w:autoRedefine/>
    <w:qFormat/>
    <w:uiPriority w:val="0"/>
    <w:rPr>
      <w:b/>
      <w:bCs/>
      <w:kern w:val="44"/>
      <w:sz w:val="44"/>
      <w:szCs w:val="44"/>
    </w:rPr>
  </w:style>
  <w:style w:type="character" w:customStyle="1" w:styleId="55">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autoRedefine/>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autoRedefine/>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autoRedefine/>
    <w:qFormat/>
    <w:uiPriority w:val="0"/>
    <w:rPr>
      <w:b/>
      <w:bCs/>
      <w:kern w:val="2"/>
      <w:sz w:val="21"/>
      <w:szCs w:val="24"/>
    </w:rPr>
  </w:style>
  <w:style w:type="character" w:customStyle="1" w:styleId="67">
    <w:name w:val="font121"/>
    <w:autoRedefine/>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autoRedefine/>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autoRedefine/>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autoRedefine/>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autoRedefine/>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autoRedefine/>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autoRedefine/>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autoRedefine/>
    <w:qFormat/>
    <w:uiPriority w:val="0"/>
  </w:style>
  <w:style w:type="character" w:customStyle="1" w:styleId="89">
    <w:name w:val="selected"/>
    <w:qFormat/>
    <w:uiPriority w:val="0"/>
    <w:rPr>
      <w:shd w:val="clear" w:color="auto" w:fill="B00006"/>
    </w:rPr>
  </w:style>
  <w:style w:type="character" w:customStyle="1" w:styleId="90">
    <w:name w:val="gpa"/>
    <w:autoRedefine/>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autoRedefine/>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autoRedefine/>
    <w:qFormat/>
    <w:uiPriority w:val="0"/>
  </w:style>
  <w:style w:type="character" w:customStyle="1" w:styleId="96">
    <w:name w:val="layui-this"/>
    <w:autoRedefine/>
    <w:qFormat/>
    <w:uiPriority w:val="0"/>
    <w:rPr>
      <w:bdr w:val="single" w:color="EEEEEE" w:sz="6" w:space="0"/>
      <w:shd w:val="clear" w:color="auto" w:fill="FFFFFF"/>
    </w:rPr>
  </w:style>
  <w:style w:type="character" w:customStyle="1" w:styleId="97">
    <w:name w:val="font151"/>
    <w:autoRedefine/>
    <w:qFormat/>
    <w:uiPriority w:val="0"/>
    <w:rPr>
      <w:rFonts w:hint="default" w:ascii="Verdana" w:hAnsi="Verdana" w:cs="Verdana"/>
      <w:b/>
      <w:bCs/>
      <w:color w:val="333333"/>
      <w:sz w:val="27"/>
      <w:szCs w:val="27"/>
      <w:u w:val="none"/>
    </w:rPr>
  </w:style>
  <w:style w:type="character" w:customStyle="1" w:styleId="98">
    <w:name w:val="font171"/>
    <w:autoRedefine/>
    <w:qFormat/>
    <w:uiPriority w:val="0"/>
    <w:rPr>
      <w:rFonts w:hint="eastAsia" w:ascii="宋体" w:hAnsi="宋体" w:eastAsia="宋体" w:cs="宋体"/>
      <w:color w:val="646464"/>
      <w:sz w:val="18"/>
      <w:szCs w:val="18"/>
      <w:u w:val="none"/>
    </w:rPr>
  </w:style>
  <w:style w:type="character" w:customStyle="1" w:styleId="99">
    <w:name w:val="hover7"/>
    <w:autoRedefine/>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autoRedefine/>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autoRedefine/>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autoRedefine/>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autoRedefine/>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autoRedefine/>
    <w:qFormat/>
    <w:uiPriority w:val="0"/>
  </w:style>
  <w:style w:type="paragraph" w:customStyle="1" w:styleId="125">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8">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9">
    <w:name w:val="num"/>
    <w:basedOn w:val="37"/>
    <w:autoRedefine/>
    <w:qFormat/>
    <w:uiPriority w:val="0"/>
    <w:rPr>
      <w:b/>
      <w:bCs/>
      <w:color w:val="FF7800"/>
    </w:rPr>
  </w:style>
  <w:style w:type="character" w:customStyle="1" w:styleId="130">
    <w:name w:val="a-desc"/>
    <w:basedOn w:val="37"/>
    <w:autoRedefine/>
    <w:qFormat/>
    <w:uiPriority w:val="0"/>
    <w:rPr>
      <w:color w:val="315EFB"/>
    </w:rPr>
  </w:style>
  <w:style w:type="character" w:customStyle="1" w:styleId="131">
    <w:name w:val="bg"/>
    <w:basedOn w:val="37"/>
    <w:autoRedefine/>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autoRedefine/>
    <w:qFormat/>
    <w:uiPriority w:val="0"/>
  </w:style>
  <w:style w:type="character" w:customStyle="1" w:styleId="135">
    <w:name w:val="del-btn"/>
    <w:basedOn w:val="37"/>
    <w:autoRedefine/>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autoRedefine/>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38</Pages>
  <Words>15574</Words>
  <Characters>16788</Characters>
  <Lines>358</Lines>
  <Paragraphs>100</Paragraphs>
  <TotalTime>34</TotalTime>
  <ScaleCrop>false</ScaleCrop>
  <LinksUpToDate>false</LinksUpToDate>
  <CharactersWithSpaces>20160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常娜</cp:lastModifiedBy>
  <cp:lastPrinted>2024-09-19T01:09:00Z</cp:lastPrinted>
  <dcterms:modified xsi:type="dcterms:W3CDTF">2024-09-19T07:22:49Z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BB1B021BF51241E2A8515A0B79298850_13</vt:lpwstr>
  </property>
</Properties>
</file>