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F476890">
      <w:pPr>
        <w:jc w:val="center"/>
        <w:rPr>
          <w:rFonts w:ascii="宋体" w:hAnsi="宋体" w:cs="宋体"/>
          <w:b/>
          <w:kern w:val="0"/>
          <w:sz w:val="44"/>
          <w:szCs w:val="44"/>
          <w:highlight w:val="none"/>
        </w:rPr>
      </w:pPr>
      <w:bookmarkStart w:id="0" w:name="_Toc247085669"/>
      <w:bookmarkStart w:id="1" w:name="_Toc246996898"/>
      <w:bookmarkStart w:id="2" w:name="_Toc324404811"/>
      <w:bookmarkStart w:id="3" w:name="_Toc296602400"/>
      <w:bookmarkStart w:id="4" w:name="_Toc15058843"/>
      <w:bookmarkStart w:id="5" w:name="_Toc461631222"/>
      <w:bookmarkStart w:id="6" w:name="_Toc506107265"/>
      <w:bookmarkStart w:id="7" w:name="OLE_LINK3"/>
      <w:bookmarkStart w:id="8" w:name="OLE_LINK1"/>
      <w:bookmarkStart w:id="9" w:name="OLE_LINK4"/>
      <w:bookmarkStart w:id="10" w:name="OLE_LINK5"/>
      <w:bookmarkStart w:id="11" w:name="OLE_LINK2"/>
    </w:p>
    <w:p w14:paraId="2D2A1B0E">
      <w:pPr>
        <w:pStyle w:val="2"/>
        <w:ind w:firstLine="420"/>
        <w:rPr>
          <w:highlight w:val="none"/>
        </w:rPr>
      </w:pPr>
    </w:p>
    <w:p w14:paraId="66238B36">
      <w:pPr>
        <w:pStyle w:val="2"/>
        <w:ind w:left="0" w:leftChars="0" w:firstLine="0" w:firstLineChars="0"/>
        <w:jc w:val="center"/>
        <w:rPr>
          <w:color w:val="auto"/>
          <w:highlight w:val="none"/>
        </w:rPr>
      </w:pPr>
      <w:r>
        <w:rPr>
          <w:rFonts w:hint="eastAsia" w:hAnsi="宋体" w:cs="宋体"/>
          <w:b/>
          <w:color w:val="auto"/>
          <w:kern w:val="0"/>
          <w:sz w:val="40"/>
          <w:szCs w:val="40"/>
          <w:highlight w:val="none"/>
          <w:lang w:eastAsia="zh-CN"/>
        </w:rPr>
        <w:t>2024年滁州市区公共领域车辆电动化基础设施—低速新能源车充电设施项目监理</w:t>
      </w:r>
    </w:p>
    <w:p w14:paraId="2BB3BCC8">
      <w:pPr>
        <w:jc w:val="center"/>
        <w:rPr>
          <w:rFonts w:ascii="宋体" w:hAnsi="宋体"/>
          <w:color w:val="auto"/>
          <w:sz w:val="96"/>
          <w:szCs w:val="96"/>
          <w:highlight w:val="none"/>
        </w:rPr>
      </w:pPr>
    </w:p>
    <w:p w14:paraId="0C24F1BF">
      <w:pPr>
        <w:pStyle w:val="2"/>
      </w:pPr>
    </w:p>
    <w:p w14:paraId="1F4498CF">
      <w:pPr>
        <w:jc w:val="center"/>
        <w:rPr>
          <w:color w:val="auto"/>
          <w:sz w:val="28"/>
          <w:szCs w:val="28"/>
          <w:highlight w:val="none"/>
        </w:rPr>
      </w:pPr>
      <w:r>
        <w:rPr>
          <w:rFonts w:hint="eastAsia" w:ascii="宋体" w:hAnsi="宋体"/>
          <w:b/>
          <w:bCs/>
          <w:color w:val="auto"/>
          <w:sz w:val="96"/>
          <w:szCs w:val="96"/>
          <w:highlight w:val="none"/>
        </w:rPr>
        <w:t>招</w:t>
      </w:r>
      <w:r>
        <w:rPr>
          <w:rFonts w:hint="eastAsia" w:ascii="宋体" w:hAnsi="宋体"/>
          <w:b/>
          <w:bCs/>
          <w:color w:val="auto"/>
          <w:sz w:val="96"/>
          <w:szCs w:val="96"/>
          <w:highlight w:val="none"/>
          <w:lang w:val="en-US" w:eastAsia="zh-CN"/>
        </w:rPr>
        <w:t xml:space="preserve"> </w:t>
      </w:r>
      <w:r>
        <w:rPr>
          <w:rFonts w:hint="eastAsia" w:ascii="宋体"/>
          <w:b/>
          <w:bCs/>
          <w:color w:val="auto"/>
          <w:sz w:val="96"/>
          <w:szCs w:val="96"/>
          <w:highlight w:val="none"/>
        </w:rPr>
        <w:t>标</w:t>
      </w:r>
      <w:r>
        <w:rPr>
          <w:rFonts w:hint="eastAsia" w:ascii="宋体"/>
          <w:b/>
          <w:bCs/>
          <w:color w:val="auto"/>
          <w:sz w:val="96"/>
          <w:szCs w:val="96"/>
          <w:highlight w:val="none"/>
          <w:lang w:val="en-US" w:eastAsia="zh-CN"/>
        </w:rPr>
        <w:t xml:space="preserve"> </w:t>
      </w:r>
      <w:r>
        <w:rPr>
          <w:rFonts w:hint="eastAsia" w:ascii="宋体" w:hAnsi="宋体"/>
          <w:b/>
          <w:bCs/>
          <w:color w:val="auto"/>
          <w:sz w:val="96"/>
          <w:szCs w:val="96"/>
          <w:highlight w:val="none"/>
        </w:rPr>
        <w:t>文</w:t>
      </w:r>
      <w:r>
        <w:rPr>
          <w:rFonts w:hint="eastAsia" w:ascii="宋体" w:hAnsi="宋体"/>
          <w:b/>
          <w:bCs/>
          <w:color w:val="auto"/>
          <w:sz w:val="96"/>
          <w:szCs w:val="96"/>
          <w:highlight w:val="none"/>
          <w:lang w:val="en-US" w:eastAsia="zh-CN"/>
        </w:rPr>
        <w:t xml:space="preserve"> </w:t>
      </w:r>
      <w:r>
        <w:rPr>
          <w:rFonts w:hint="eastAsia" w:ascii="宋体" w:hAnsi="宋体"/>
          <w:b/>
          <w:bCs/>
          <w:color w:val="auto"/>
          <w:sz w:val="96"/>
          <w:szCs w:val="96"/>
          <w:highlight w:val="none"/>
        </w:rPr>
        <w:t>件</w:t>
      </w:r>
    </w:p>
    <w:p w14:paraId="036C1587">
      <w:pPr>
        <w:spacing w:line="400" w:lineRule="exact"/>
        <w:jc w:val="center"/>
        <w:rPr>
          <w:rFonts w:ascii="宋体" w:hAnsi="宋体"/>
          <w:b/>
          <w:color w:val="auto"/>
          <w:sz w:val="39"/>
          <w:highlight w:val="none"/>
        </w:rPr>
      </w:pPr>
    </w:p>
    <w:p w14:paraId="2852B2E0">
      <w:pPr>
        <w:spacing w:line="400" w:lineRule="exact"/>
        <w:rPr>
          <w:color w:val="auto"/>
          <w:highlight w:val="none"/>
        </w:rPr>
      </w:pPr>
    </w:p>
    <w:p w14:paraId="698720B7">
      <w:pPr>
        <w:pStyle w:val="2"/>
        <w:rPr>
          <w:color w:val="auto"/>
          <w:highlight w:val="none"/>
        </w:rPr>
      </w:pPr>
    </w:p>
    <w:p w14:paraId="37CF500C">
      <w:pPr>
        <w:rPr>
          <w:color w:val="auto"/>
          <w:highlight w:val="none"/>
        </w:rPr>
      </w:pPr>
    </w:p>
    <w:p w14:paraId="23C076C1">
      <w:pPr>
        <w:pStyle w:val="2"/>
        <w:rPr>
          <w:color w:val="auto"/>
          <w:highlight w:val="none"/>
        </w:rPr>
      </w:pPr>
    </w:p>
    <w:p w14:paraId="59A6CC49">
      <w:pPr>
        <w:rPr>
          <w:color w:val="auto"/>
          <w:highlight w:val="none"/>
        </w:rPr>
      </w:pPr>
    </w:p>
    <w:p w14:paraId="5F236B1B">
      <w:pPr>
        <w:pStyle w:val="2"/>
        <w:rPr>
          <w:color w:val="auto"/>
          <w:highlight w:val="none"/>
        </w:rPr>
      </w:pPr>
    </w:p>
    <w:p w14:paraId="65D2DDB1">
      <w:pPr>
        <w:rPr>
          <w:color w:val="auto"/>
          <w:highlight w:val="none"/>
        </w:rPr>
      </w:pPr>
    </w:p>
    <w:p w14:paraId="3C162F28">
      <w:pPr>
        <w:pStyle w:val="2"/>
      </w:pPr>
    </w:p>
    <w:p w14:paraId="49B754E7"/>
    <w:p w14:paraId="68B3D3B7">
      <w:pPr>
        <w:pStyle w:val="2"/>
      </w:pPr>
    </w:p>
    <w:p w14:paraId="7DE01332"/>
    <w:p w14:paraId="461D7A63">
      <w:pPr>
        <w:pStyle w:val="2"/>
      </w:pPr>
    </w:p>
    <w:p w14:paraId="402B8450">
      <w:pPr>
        <w:spacing w:line="720" w:lineRule="exact"/>
        <w:rPr>
          <w:b/>
          <w:bCs/>
          <w:color w:val="auto"/>
          <w:sz w:val="28"/>
          <w:szCs w:val="28"/>
          <w:highlight w:val="none"/>
        </w:rPr>
      </w:pPr>
    </w:p>
    <w:p w14:paraId="46EBA825">
      <w:pPr>
        <w:ind w:firstLine="803" w:firstLineChars="25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招 标 单 位：</w:t>
      </w:r>
      <w:r>
        <w:rPr>
          <w:rFonts w:hint="eastAsia" w:ascii="宋体" w:hAnsi="宋体" w:eastAsia="宋体" w:cs="宋体"/>
          <w:b/>
          <w:color w:val="auto"/>
          <w:sz w:val="32"/>
          <w:szCs w:val="32"/>
          <w:highlight w:val="none"/>
          <w:u w:val="single"/>
        </w:rPr>
        <w:t xml:space="preserve"> </w:t>
      </w:r>
      <w:r>
        <w:rPr>
          <w:rFonts w:hint="eastAsia" w:ascii="宋体" w:hAnsi="宋体" w:eastAsia="宋体" w:cs="宋体"/>
          <w:b/>
          <w:color w:val="auto"/>
          <w:sz w:val="32"/>
          <w:szCs w:val="32"/>
          <w:highlight w:val="none"/>
          <w:u w:val="single"/>
          <w:lang w:val="en-US" w:eastAsia="zh-CN"/>
        </w:rPr>
        <w:t xml:space="preserve">滁州工投新能源开发有限公司   </w:t>
      </w:r>
      <w:r>
        <w:rPr>
          <w:rFonts w:hint="eastAsia" w:ascii="宋体" w:hAnsi="宋体" w:eastAsia="宋体" w:cs="宋体"/>
          <w:b/>
          <w:color w:val="auto"/>
          <w:sz w:val="32"/>
          <w:szCs w:val="32"/>
          <w:highlight w:val="none"/>
        </w:rPr>
        <w:t>（盖章）</w:t>
      </w:r>
    </w:p>
    <w:p w14:paraId="49A30C87">
      <w:pPr>
        <w:spacing w:line="240" w:lineRule="exact"/>
        <w:ind w:firstLine="803" w:firstLineChars="250"/>
        <w:rPr>
          <w:rFonts w:hint="eastAsia" w:ascii="宋体" w:hAnsi="宋体" w:eastAsia="宋体" w:cs="宋体"/>
          <w:b/>
          <w:color w:val="auto"/>
          <w:sz w:val="32"/>
          <w:szCs w:val="32"/>
          <w:highlight w:val="none"/>
        </w:rPr>
      </w:pPr>
    </w:p>
    <w:p w14:paraId="21B89193">
      <w:pPr>
        <w:ind w:firstLine="803" w:firstLineChars="250"/>
        <w:rPr>
          <w:rFonts w:hint="eastAsia" w:ascii="宋体" w:hAnsi="宋体" w:eastAsia="宋体" w:cs="宋体"/>
          <w:b/>
          <w:color w:val="auto"/>
          <w:w w:val="90"/>
          <w:sz w:val="32"/>
          <w:szCs w:val="32"/>
          <w:highlight w:val="none"/>
        </w:rPr>
      </w:pPr>
      <w:r>
        <w:rPr>
          <w:rFonts w:hint="eastAsia" w:ascii="宋体" w:hAnsi="宋体" w:eastAsia="宋体" w:cs="宋体"/>
          <w:b/>
          <w:color w:val="auto"/>
          <w:sz w:val="32"/>
          <w:szCs w:val="32"/>
          <w:highlight w:val="none"/>
        </w:rPr>
        <w:t>代 理 机 构：</w:t>
      </w:r>
      <w:r>
        <w:rPr>
          <w:rFonts w:hint="eastAsia" w:ascii="宋体" w:hAnsi="宋体" w:eastAsia="宋体" w:cs="宋体"/>
          <w:b/>
          <w:color w:val="auto"/>
          <w:w w:val="90"/>
          <w:sz w:val="32"/>
          <w:szCs w:val="32"/>
          <w:highlight w:val="none"/>
          <w:u w:val="single"/>
        </w:rPr>
        <w:t xml:space="preserve"> </w:t>
      </w:r>
      <w:r>
        <w:rPr>
          <w:rFonts w:hint="eastAsia" w:ascii="宋体" w:hAnsi="宋体" w:eastAsia="宋体" w:cs="宋体"/>
          <w:b/>
          <w:bCs/>
          <w:color w:val="auto"/>
          <w:sz w:val="30"/>
          <w:szCs w:val="30"/>
          <w:highlight w:val="none"/>
          <w:u w:val="single"/>
        </w:rPr>
        <w:t>滁州市城投工程咨询管理有限公司</w:t>
      </w:r>
      <w:r>
        <w:rPr>
          <w:rFonts w:hint="eastAsia" w:ascii="宋体" w:hAnsi="宋体" w:eastAsia="宋体" w:cs="宋体"/>
          <w:b/>
          <w:color w:val="auto"/>
          <w:w w:val="90"/>
          <w:sz w:val="32"/>
          <w:szCs w:val="32"/>
          <w:highlight w:val="none"/>
          <w:u w:val="single"/>
        </w:rPr>
        <w:t xml:space="preserve">  </w:t>
      </w:r>
      <w:r>
        <w:rPr>
          <w:rFonts w:hint="eastAsia" w:ascii="宋体" w:hAnsi="宋体" w:eastAsia="宋体" w:cs="宋体"/>
          <w:b/>
          <w:color w:val="auto"/>
          <w:w w:val="90"/>
          <w:sz w:val="32"/>
          <w:szCs w:val="32"/>
          <w:highlight w:val="none"/>
        </w:rPr>
        <w:t>（盖章）</w:t>
      </w:r>
    </w:p>
    <w:p w14:paraId="107341CD">
      <w:pPr>
        <w:spacing w:line="240" w:lineRule="exact"/>
        <w:ind w:firstLine="803" w:firstLineChars="250"/>
        <w:rPr>
          <w:rFonts w:hint="eastAsia" w:ascii="宋体" w:hAnsi="宋体" w:eastAsia="宋体" w:cs="宋体"/>
          <w:b/>
          <w:color w:val="auto"/>
          <w:sz w:val="32"/>
          <w:szCs w:val="32"/>
          <w:highlight w:val="none"/>
        </w:rPr>
      </w:pPr>
    </w:p>
    <w:p w14:paraId="470F9FFC">
      <w:pPr>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u w:val="single"/>
        </w:rPr>
        <w:t xml:space="preserve"> 202</w:t>
      </w:r>
      <w:r>
        <w:rPr>
          <w:rFonts w:hint="eastAsia" w:ascii="宋体" w:hAnsi="宋体" w:eastAsia="宋体" w:cs="宋体"/>
          <w:b/>
          <w:color w:val="auto"/>
          <w:sz w:val="32"/>
          <w:szCs w:val="32"/>
          <w:highlight w:val="none"/>
          <w:u w:val="single"/>
          <w:lang w:val="en-US" w:eastAsia="zh-CN"/>
        </w:rPr>
        <w:t>4</w:t>
      </w:r>
      <w:r>
        <w:rPr>
          <w:rFonts w:hint="eastAsia" w:ascii="宋体" w:hAnsi="宋体" w:eastAsia="宋体" w:cs="宋体"/>
          <w:b/>
          <w:color w:val="auto"/>
          <w:sz w:val="32"/>
          <w:szCs w:val="32"/>
          <w:highlight w:val="none"/>
          <w:u w:val="single"/>
        </w:rPr>
        <w:t xml:space="preserve"> </w:t>
      </w:r>
      <w:r>
        <w:rPr>
          <w:rFonts w:hint="eastAsia" w:ascii="宋体" w:hAnsi="宋体" w:eastAsia="宋体" w:cs="宋体"/>
          <w:b/>
          <w:color w:val="auto"/>
          <w:sz w:val="32"/>
          <w:szCs w:val="32"/>
          <w:highlight w:val="none"/>
        </w:rPr>
        <w:t>年</w:t>
      </w:r>
      <w:r>
        <w:rPr>
          <w:rFonts w:hint="eastAsia" w:ascii="宋体" w:hAnsi="宋体" w:cs="宋体"/>
          <w:b/>
          <w:color w:val="auto"/>
          <w:sz w:val="32"/>
          <w:szCs w:val="32"/>
          <w:highlight w:val="none"/>
          <w:u w:val="single"/>
          <w:lang w:val="en-US" w:eastAsia="zh-CN"/>
        </w:rPr>
        <w:t>9</w:t>
      </w:r>
      <w:r>
        <w:rPr>
          <w:rFonts w:hint="eastAsia" w:ascii="宋体" w:hAnsi="宋体" w:eastAsia="宋体" w:cs="宋体"/>
          <w:b/>
          <w:color w:val="auto"/>
          <w:sz w:val="32"/>
          <w:szCs w:val="32"/>
          <w:highlight w:val="none"/>
        </w:rPr>
        <w:t>月</w:t>
      </w:r>
    </w:p>
    <w:p w14:paraId="66B2FDA2">
      <w:pPr>
        <w:spacing w:line="700" w:lineRule="exact"/>
        <w:jc w:val="center"/>
        <w:rPr>
          <w:rFonts w:hint="eastAsia"/>
          <w:sz w:val="44"/>
          <w:szCs w:val="44"/>
          <w:highlight w:val="none"/>
        </w:rPr>
      </w:pPr>
    </w:p>
    <w:p w14:paraId="42674961">
      <w:pPr>
        <w:spacing w:line="700" w:lineRule="exact"/>
        <w:jc w:val="center"/>
        <w:rPr>
          <w:sz w:val="44"/>
          <w:szCs w:val="44"/>
          <w:highlight w:val="none"/>
        </w:rPr>
      </w:pPr>
      <w:r>
        <w:rPr>
          <w:rFonts w:hint="eastAsia"/>
          <w:sz w:val="44"/>
          <w:szCs w:val="44"/>
          <w:highlight w:val="none"/>
        </w:rPr>
        <w:t>目   录</w:t>
      </w:r>
      <w:bookmarkEnd w:id="0"/>
      <w:bookmarkEnd w:id="1"/>
      <w:bookmarkEnd w:id="2"/>
      <w:bookmarkEnd w:id="3"/>
      <w:bookmarkEnd w:id="4"/>
      <w:bookmarkEnd w:id="5"/>
      <w:bookmarkEnd w:id="6"/>
      <w:bookmarkStart w:id="12" w:name="_Toc179632527"/>
      <w:bookmarkStart w:id="13" w:name="_Toc152042287"/>
      <w:bookmarkStart w:id="14" w:name="_Toc152045511"/>
      <w:bookmarkStart w:id="15" w:name="_Toc144974479"/>
    </w:p>
    <w:p w14:paraId="64CCDFF0">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招标公告信息..................................................1</w:t>
      </w:r>
    </w:p>
    <w:p w14:paraId="5F6198F9">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第一章 投标人须知.............................................3</w:t>
      </w:r>
    </w:p>
    <w:p w14:paraId="5166C613">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 xml:space="preserve">第二章 </w:t>
      </w:r>
      <w:r>
        <w:rPr>
          <w:rFonts w:hint="eastAsia" w:ascii="宋体" w:hAnsi="宋体" w:eastAsia="宋体" w:cs="宋体"/>
          <w:b w:val="0"/>
          <w:bCs w:val="0"/>
          <w:caps w:val="0"/>
          <w:sz w:val="24"/>
          <w:szCs w:val="24"/>
          <w:highlight w:val="none"/>
          <w:lang w:val="en-US" w:eastAsia="zh-CN"/>
        </w:rPr>
        <w:t>资格审查办法</w:t>
      </w:r>
      <w:r>
        <w:rPr>
          <w:rFonts w:hint="eastAsia" w:ascii="宋体" w:hAnsi="宋体" w:cs="宋体"/>
          <w:b w:val="0"/>
          <w:bCs w:val="0"/>
          <w:caps w:val="0"/>
          <w:sz w:val="24"/>
          <w:szCs w:val="24"/>
          <w:highlight w:val="none"/>
          <w:lang w:val="en-US" w:eastAsia="zh-CN"/>
        </w:rPr>
        <w:t>...........................................16</w:t>
      </w:r>
    </w:p>
    <w:p w14:paraId="56C293D0">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第三章 评标办法...............................................18</w:t>
      </w:r>
    </w:p>
    <w:p w14:paraId="78C3824A">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 xml:space="preserve">第四章 </w:t>
      </w:r>
      <w:r>
        <w:rPr>
          <w:rFonts w:hint="eastAsia" w:ascii="宋体" w:hAnsi="宋体" w:eastAsia="宋体" w:cs="宋体"/>
          <w:b w:val="0"/>
          <w:bCs w:val="0"/>
          <w:caps w:val="0"/>
          <w:sz w:val="24"/>
          <w:szCs w:val="24"/>
          <w:highlight w:val="none"/>
          <w:lang w:val="en-US" w:eastAsia="zh-CN"/>
        </w:rPr>
        <w:t>合同条款及格式</w:t>
      </w:r>
      <w:r>
        <w:rPr>
          <w:rFonts w:hint="eastAsia" w:ascii="宋体" w:hAnsi="宋体" w:cs="宋体"/>
          <w:b w:val="0"/>
          <w:bCs w:val="0"/>
          <w:caps w:val="0"/>
          <w:sz w:val="24"/>
          <w:szCs w:val="24"/>
          <w:highlight w:val="none"/>
          <w:lang w:val="en-US" w:eastAsia="zh-CN"/>
        </w:rPr>
        <w:t>.........................................23</w:t>
      </w:r>
    </w:p>
    <w:p w14:paraId="6CF75382">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 xml:space="preserve">第五章 </w:t>
      </w:r>
      <w:r>
        <w:rPr>
          <w:rFonts w:hint="eastAsia" w:ascii="宋体" w:hAnsi="宋体" w:eastAsia="宋体" w:cs="宋体"/>
          <w:b w:val="0"/>
          <w:bCs w:val="0"/>
          <w:caps w:val="0"/>
          <w:sz w:val="24"/>
          <w:szCs w:val="24"/>
          <w:highlight w:val="none"/>
          <w:lang w:val="en-US" w:eastAsia="zh-CN"/>
        </w:rPr>
        <w:t>投标文件格式</w:t>
      </w:r>
      <w:r>
        <w:rPr>
          <w:rFonts w:hint="eastAsia" w:ascii="宋体" w:hAnsi="宋体" w:cs="宋体"/>
          <w:b w:val="0"/>
          <w:bCs w:val="0"/>
          <w:caps w:val="0"/>
          <w:sz w:val="24"/>
          <w:szCs w:val="24"/>
          <w:highlight w:val="none"/>
          <w:lang w:val="en-US" w:eastAsia="zh-CN"/>
        </w:rPr>
        <w:t>...........................................46</w:t>
      </w:r>
    </w:p>
    <w:p w14:paraId="3689E94F">
      <w:pPr>
        <w:pStyle w:val="31"/>
        <w:tabs>
          <w:tab w:val="right" w:leader="dot" w:pos="9062"/>
        </w:tabs>
        <w:spacing w:line="700" w:lineRule="exact"/>
        <w:ind w:firstLine="480" w:firstLineChars="200"/>
        <w:rPr>
          <w:rFonts w:hint="default" w:ascii="宋体" w:hAnsi="宋体" w:eastAsia="宋体" w:cs="宋体"/>
          <w:b w:val="0"/>
          <w:bCs w:val="0"/>
          <w:caps w:val="0"/>
          <w:sz w:val="24"/>
          <w:szCs w:val="24"/>
          <w:highlight w:val="none"/>
          <w:lang w:val="en-US" w:eastAsia="zh-CN"/>
        </w:rPr>
      </w:pPr>
      <w:r>
        <w:rPr>
          <w:rFonts w:hint="eastAsia" w:ascii="宋体" w:hAnsi="宋体" w:cs="宋体"/>
          <w:b w:val="0"/>
          <w:bCs w:val="0"/>
          <w:caps w:val="0"/>
          <w:sz w:val="24"/>
          <w:szCs w:val="24"/>
          <w:highlight w:val="none"/>
          <w:lang w:val="en-US" w:eastAsia="zh-CN"/>
        </w:rPr>
        <w:t xml:space="preserve">第六章 </w:t>
      </w:r>
      <w:r>
        <w:rPr>
          <w:rFonts w:hint="eastAsia" w:ascii="宋体" w:hAnsi="宋体" w:eastAsia="宋体" w:cs="宋体"/>
          <w:b w:val="0"/>
          <w:bCs w:val="0"/>
          <w:caps w:val="0"/>
          <w:sz w:val="24"/>
          <w:szCs w:val="24"/>
          <w:highlight w:val="none"/>
          <w:lang w:val="en-US" w:eastAsia="zh-CN"/>
        </w:rPr>
        <w:t>招标单位、招标代理机构对本招标文件的确认</w:t>
      </w:r>
      <w:r>
        <w:rPr>
          <w:rFonts w:hint="eastAsia" w:ascii="宋体" w:hAnsi="宋体" w:cs="宋体"/>
          <w:b w:val="0"/>
          <w:bCs w:val="0"/>
          <w:caps w:val="0"/>
          <w:sz w:val="24"/>
          <w:szCs w:val="24"/>
          <w:highlight w:val="none"/>
          <w:lang w:val="en-US" w:eastAsia="zh-CN"/>
        </w:rPr>
        <w:t>...............51</w:t>
      </w:r>
    </w:p>
    <w:p w14:paraId="5500E357">
      <w:pPr>
        <w:pStyle w:val="2"/>
        <w:spacing w:line="700" w:lineRule="exact"/>
        <w:ind w:left="0" w:leftChars="0" w:firstLine="480"/>
        <w:jc w:val="left"/>
        <w:rPr>
          <w:sz w:val="24"/>
          <w:szCs w:val="24"/>
          <w:highlight w:val="none"/>
        </w:rPr>
      </w:pPr>
    </w:p>
    <w:p w14:paraId="3C96DF49">
      <w:pPr>
        <w:pStyle w:val="44"/>
        <w:spacing w:line="700" w:lineRule="exact"/>
        <w:jc w:val="left"/>
        <w:rPr>
          <w:sz w:val="24"/>
          <w:szCs w:val="24"/>
          <w:highlight w:val="none"/>
        </w:rPr>
        <w:sectPr>
          <w:headerReference r:id="rId3" w:type="default"/>
          <w:footerReference r:id="rId4" w:type="default"/>
          <w:pgSz w:w="11906" w:h="16838"/>
          <w:pgMar w:top="1134" w:right="1417" w:bottom="1134" w:left="1417" w:header="851" w:footer="992" w:gutter="0"/>
          <w:pgNumType w:start="1"/>
          <w:cols w:space="720" w:num="1"/>
          <w:docGrid w:type="lines" w:linePitch="312" w:charSpace="0"/>
        </w:sectPr>
      </w:pPr>
    </w:p>
    <w:bookmarkEnd w:id="12"/>
    <w:bookmarkEnd w:id="13"/>
    <w:bookmarkEnd w:id="14"/>
    <w:bookmarkEnd w:id="15"/>
    <w:p w14:paraId="01567950">
      <w:pPr>
        <w:pStyle w:val="44"/>
        <w:spacing w:beforeLines="50" w:afterLines="50" w:line="440" w:lineRule="exact"/>
        <w:rPr>
          <w:bCs/>
          <w:szCs w:val="32"/>
          <w:highlight w:val="none"/>
        </w:rPr>
      </w:pPr>
      <w:bookmarkStart w:id="16" w:name="_Toc78803320"/>
      <w:bookmarkStart w:id="17" w:name="_Toc506107267"/>
      <w:bookmarkStart w:id="18" w:name="_Toc152045527"/>
      <w:bookmarkStart w:id="19" w:name="_Toc324404813"/>
      <w:bookmarkStart w:id="20" w:name="_Toc35425050"/>
      <w:bookmarkStart w:id="21" w:name="_Toc246996916"/>
      <w:bookmarkStart w:id="22" w:name="_Toc246996173"/>
      <w:bookmarkStart w:id="23" w:name="_Toc15058844"/>
      <w:bookmarkStart w:id="24" w:name="_Toc35424883"/>
      <w:bookmarkStart w:id="25" w:name="_Toc179632544"/>
      <w:bookmarkStart w:id="26" w:name="_Toc144974495"/>
      <w:bookmarkStart w:id="27" w:name="_Toc152042303"/>
      <w:bookmarkStart w:id="28" w:name="_Toc247085687"/>
      <w:r>
        <w:rPr>
          <w:rFonts w:hint="eastAsia"/>
          <w:bCs/>
          <w:color w:val="auto"/>
          <w:szCs w:val="32"/>
          <w:highlight w:val="none"/>
          <w:lang w:eastAsia="zh-CN"/>
        </w:rPr>
        <w:t>2024年滁州市区公共领域车辆电动化基础设施—低速新能源车充电设施项目监理</w:t>
      </w:r>
      <w:r>
        <w:rPr>
          <w:rFonts w:hint="eastAsia"/>
          <w:bCs/>
          <w:color w:val="auto"/>
          <w:szCs w:val="32"/>
          <w:highlight w:val="none"/>
        </w:rPr>
        <w:t>招标</w:t>
      </w:r>
      <w:r>
        <w:rPr>
          <w:rFonts w:hint="eastAsia"/>
          <w:bCs/>
          <w:szCs w:val="32"/>
          <w:highlight w:val="none"/>
        </w:rPr>
        <w:t>公告信息</w:t>
      </w:r>
      <w:bookmarkEnd w:id="16"/>
    </w:p>
    <w:tbl>
      <w:tblPr>
        <w:tblStyle w:val="47"/>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3"/>
        <w:gridCol w:w="7997"/>
      </w:tblGrid>
      <w:tr w14:paraId="5B6B1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2AB18B2D">
            <w:pPr>
              <w:keepNext w:val="0"/>
              <w:keepLines w:val="0"/>
              <w:pageBreakBefore w:val="0"/>
              <w:kinsoku/>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
                <w:bCs/>
                <w:color w:val="auto"/>
                <w:sz w:val="21"/>
                <w:szCs w:val="21"/>
                <w:highlight w:val="none"/>
              </w:rPr>
              <w:t>招标条件</w:t>
            </w:r>
          </w:p>
        </w:tc>
      </w:tr>
      <w:tr w14:paraId="0C8F0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933" w:type="dxa"/>
            <w:noWrap w:val="0"/>
            <w:vAlign w:val="center"/>
          </w:tcPr>
          <w:p w14:paraId="02C53D0C">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项目</w:t>
            </w:r>
            <w:r>
              <w:rPr>
                <w:rFonts w:hint="eastAsia" w:ascii="宋体" w:hAnsi="宋体" w:eastAsia="宋体" w:cs="宋体"/>
                <w:color w:val="auto"/>
                <w:kern w:val="0"/>
                <w:sz w:val="21"/>
                <w:szCs w:val="21"/>
                <w:highlight w:val="none"/>
              </w:rPr>
              <w:t>名称</w:t>
            </w:r>
          </w:p>
        </w:tc>
        <w:tc>
          <w:tcPr>
            <w:tcW w:w="7997" w:type="dxa"/>
            <w:noWrap w:val="0"/>
            <w:vAlign w:val="top"/>
          </w:tcPr>
          <w:p w14:paraId="62D7EDA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bCs/>
                <w:color w:val="auto"/>
                <w:kern w:val="1"/>
                <w:sz w:val="21"/>
                <w:szCs w:val="21"/>
                <w:highlight w:val="none"/>
              </w:rPr>
            </w:pPr>
            <w:r>
              <w:rPr>
                <w:rFonts w:hint="eastAsia" w:ascii="宋体" w:hAnsi="宋体" w:cs="宋体"/>
                <w:bCs/>
                <w:color w:val="auto"/>
                <w:kern w:val="1"/>
                <w:sz w:val="21"/>
                <w:szCs w:val="21"/>
                <w:highlight w:val="none"/>
                <w:lang w:eastAsia="zh-CN"/>
              </w:rPr>
              <w:t>2024年滁州市区公共领域车辆电动化基础设施—低速新能源车充电设施项目监理</w:t>
            </w:r>
          </w:p>
        </w:tc>
      </w:tr>
      <w:tr w14:paraId="6DEE8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015497C">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招标人</w:t>
            </w:r>
          </w:p>
        </w:tc>
        <w:tc>
          <w:tcPr>
            <w:tcW w:w="7997" w:type="dxa"/>
            <w:noWrap w:val="0"/>
            <w:vAlign w:val="center"/>
          </w:tcPr>
          <w:p w14:paraId="2EAB7AE7">
            <w:pPr>
              <w:keepNext w:val="0"/>
              <w:keepLines w:val="0"/>
              <w:pageBreakBefore w:val="0"/>
              <w:widowControl/>
              <w:shd w:val="clear" w:color="auto" w:fill="auto"/>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滁州工投新能源开发有限公司</w:t>
            </w:r>
          </w:p>
        </w:tc>
      </w:tr>
      <w:tr w14:paraId="71E89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7ED65A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项目业主</w:t>
            </w:r>
          </w:p>
        </w:tc>
        <w:tc>
          <w:tcPr>
            <w:tcW w:w="7997" w:type="dxa"/>
            <w:noWrap w:val="0"/>
            <w:vAlign w:val="center"/>
          </w:tcPr>
          <w:p w14:paraId="5F44789E">
            <w:pPr>
              <w:keepNext w:val="0"/>
              <w:keepLines w:val="0"/>
              <w:pageBreakBefore w:val="0"/>
              <w:widowControl/>
              <w:shd w:val="clear" w:color="auto" w:fill="auto"/>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滁州工投新能源开发有限公司</w:t>
            </w:r>
          </w:p>
        </w:tc>
      </w:tr>
      <w:tr w14:paraId="1911B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2831168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7997" w:type="dxa"/>
            <w:noWrap w:val="0"/>
            <w:vAlign w:val="center"/>
          </w:tcPr>
          <w:p w14:paraId="204DEE56">
            <w:pPr>
              <w:keepNext w:val="0"/>
              <w:keepLines w:val="0"/>
              <w:pageBreakBefore w:val="0"/>
              <w:widowControl/>
              <w:kinsoku/>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自筹资金</w:t>
            </w:r>
          </w:p>
        </w:tc>
      </w:tr>
      <w:tr w14:paraId="7FB7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085C89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项目出资比例</w:t>
            </w:r>
          </w:p>
        </w:tc>
        <w:tc>
          <w:tcPr>
            <w:tcW w:w="7997" w:type="dxa"/>
            <w:noWrap w:val="0"/>
            <w:vAlign w:val="center"/>
          </w:tcPr>
          <w:p w14:paraId="65FEB630">
            <w:pPr>
              <w:keepNext w:val="0"/>
              <w:keepLines w:val="0"/>
              <w:pageBreakBefore w:val="0"/>
              <w:widowControl/>
              <w:kinsoku/>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100%</w:t>
            </w:r>
          </w:p>
        </w:tc>
      </w:tr>
      <w:tr w14:paraId="1709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64035A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7997" w:type="dxa"/>
            <w:noWrap w:val="0"/>
            <w:vAlign w:val="center"/>
          </w:tcPr>
          <w:p w14:paraId="47C11425">
            <w:pPr>
              <w:keepNext w:val="0"/>
              <w:keepLines w:val="0"/>
              <w:pageBreakBefore w:val="0"/>
              <w:widowControl/>
              <w:kinsoku/>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rPr>
              <w:t>公开招标</w:t>
            </w:r>
          </w:p>
        </w:tc>
      </w:tr>
      <w:tr w14:paraId="354B4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2B72F2A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评标办法</w:t>
            </w:r>
          </w:p>
        </w:tc>
        <w:tc>
          <w:tcPr>
            <w:tcW w:w="7997" w:type="dxa"/>
            <w:noWrap w:val="0"/>
            <w:vAlign w:val="center"/>
          </w:tcPr>
          <w:p w14:paraId="1923B695">
            <w:pPr>
              <w:keepNext w:val="0"/>
              <w:keepLines w:val="0"/>
              <w:pageBreakBefore w:val="0"/>
              <w:widowControl/>
              <w:kinsoku/>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rPr>
              <w:t>经评审的最低投标价法</w:t>
            </w:r>
          </w:p>
        </w:tc>
      </w:tr>
      <w:tr w14:paraId="4FD2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267A510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项目概况与招标范围</w:t>
            </w:r>
          </w:p>
        </w:tc>
      </w:tr>
      <w:tr w14:paraId="04AA8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CE02C1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招标项目名称</w:t>
            </w:r>
          </w:p>
        </w:tc>
        <w:tc>
          <w:tcPr>
            <w:tcW w:w="7997" w:type="dxa"/>
            <w:noWrap w:val="0"/>
            <w:vAlign w:val="center"/>
          </w:tcPr>
          <w:p w14:paraId="4674BF31">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2024年滁州市区公共领域车辆电动化基础设施—低速新能源车充电设施项目监理</w:t>
            </w:r>
          </w:p>
        </w:tc>
      </w:tr>
      <w:tr w14:paraId="36758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9EA201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标段划分</w:t>
            </w:r>
          </w:p>
        </w:tc>
        <w:tc>
          <w:tcPr>
            <w:tcW w:w="7997" w:type="dxa"/>
            <w:noWrap w:val="0"/>
            <w:vAlign w:val="center"/>
          </w:tcPr>
          <w:p w14:paraId="40185E0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szCs w:val="21"/>
                <w:highlight w:val="none"/>
                <w:lang w:val="en-US" w:eastAsia="zh-CN"/>
              </w:rPr>
              <w:t>一个标段</w:t>
            </w:r>
          </w:p>
        </w:tc>
      </w:tr>
      <w:tr w14:paraId="5657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1050A8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建设地点</w:t>
            </w:r>
          </w:p>
        </w:tc>
        <w:tc>
          <w:tcPr>
            <w:tcW w:w="7997" w:type="dxa"/>
            <w:noWrap w:val="0"/>
            <w:vAlign w:val="center"/>
          </w:tcPr>
          <w:p w14:paraId="6B360CEF">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0" w:firstLineChars="0"/>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滁州市内，招标人指定地点</w:t>
            </w:r>
          </w:p>
        </w:tc>
      </w:tr>
      <w:tr w14:paraId="380C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1C7BC7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建设规模</w:t>
            </w:r>
          </w:p>
        </w:tc>
        <w:tc>
          <w:tcPr>
            <w:tcW w:w="7997" w:type="dxa"/>
            <w:noWrap w:val="0"/>
            <w:vAlign w:val="center"/>
          </w:tcPr>
          <w:p w14:paraId="7D19561F">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0" w:firstLineChars="0"/>
              <w:textAlignment w:val="auto"/>
              <w:rPr>
                <w:rFonts w:hint="eastAsia" w:ascii="宋体" w:hAnsi="宋体" w:eastAsia="宋体" w:cs="宋体"/>
                <w:szCs w:val="21"/>
                <w:highlight w:val="none"/>
                <w:lang w:val="en-US" w:eastAsia="zh-CN"/>
              </w:rPr>
            </w:pPr>
            <w:r>
              <w:rPr>
                <w:rFonts w:hint="eastAsia" w:eastAsia="宋体"/>
                <w:spacing w:val="-1"/>
                <w:highlight w:val="none"/>
                <w:lang w:val="en-US" w:eastAsia="zh-CN"/>
              </w:rPr>
              <w:t>具体详见</w:t>
            </w:r>
            <w:r>
              <w:rPr>
                <w:rFonts w:hint="eastAsia" w:ascii="宋体" w:hAnsi="宋体" w:eastAsia="宋体" w:cs="宋体"/>
                <w:color w:val="auto"/>
                <w:szCs w:val="21"/>
                <w:highlight w:val="none"/>
              </w:rPr>
              <w:t>工程量清单中的全部内容</w:t>
            </w:r>
          </w:p>
        </w:tc>
      </w:tr>
      <w:tr w14:paraId="48D08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B763AC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合同估算价</w:t>
            </w:r>
          </w:p>
        </w:tc>
        <w:tc>
          <w:tcPr>
            <w:tcW w:w="7997" w:type="dxa"/>
            <w:noWrap w:val="0"/>
            <w:vAlign w:val="center"/>
          </w:tcPr>
          <w:p w14:paraId="1FC16DDB">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cs="宋体"/>
                <w:szCs w:val="21"/>
                <w:highlight w:val="none"/>
              </w:rPr>
              <w:t>本工程总投资约</w:t>
            </w:r>
            <w:r>
              <w:rPr>
                <w:rFonts w:hint="eastAsia" w:ascii="宋体" w:hAnsi="宋体" w:eastAsia="宋体" w:cs="宋体"/>
                <w:szCs w:val="21"/>
                <w:highlight w:val="none"/>
              </w:rPr>
              <w:t>为</w:t>
            </w:r>
            <w:r>
              <w:rPr>
                <w:rFonts w:hint="eastAsia" w:ascii="宋体" w:hAnsi="宋体" w:cs="宋体"/>
                <w:szCs w:val="21"/>
                <w:highlight w:val="none"/>
                <w:lang w:val="en-US" w:eastAsia="zh-CN"/>
              </w:rPr>
              <w:t>1430</w:t>
            </w:r>
            <w:r>
              <w:rPr>
                <w:rFonts w:hint="eastAsia" w:ascii="宋体" w:hAnsi="宋体" w:eastAsia="宋体" w:cs="宋体"/>
                <w:szCs w:val="21"/>
                <w:highlight w:val="none"/>
              </w:rPr>
              <w:t>万元，监理费用约</w:t>
            </w:r>
            <w:r>
              <w:rPr>
                <w:rFonts w:hint="eastAsia" w:ascii="宋体" w:hAnsi="宋体" w:cs="宋体"/>
                <w:szCs w:val="21"/>
                <w:highlight w:val="none"/>
                <w:lang w:val="en-US" w:eastAsia="zh-CN"/>
              </w:rPr>
              <w:t>14.3</w:t>
            </w:r>
            <w:r>
              <w:rPr>
                <w:rFonts w:hint="eastAsia" w:ascii="宋体" w:hAnsi="宋体" w:eastAsia="宋体" w:cs="宋体"/>
                <w:szCs w:val="21"/>
                <w:highlight w:val="none"/>
              </w:rPr>
              <w:t>万元。</w:t>
            </w:r>
          </w:p>
        </w:tc>
      </w:tr>
      <w:tr w14:paraId="5534D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52AA46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7997" w:type="dxa"/>
            <w:noWrap w:val="0"/>
            <w:vAlign w:val="center"/>
          </w:tcPr>
          <w:p w14:paraId="4E44090D">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szCs w:val="21"/>
                <w:highlight w:val="none"/>
              </w:rPr>
              <w:t>自签订工程建设监理合同之日起至缺陷责任期满</w:t>
            </w:r>
          </w:p>
        </w:tc>
      </w:tr>
      <w:tr w14:paraId="3A2CD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314DE7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招标范围</w:t>
            </w:r>
          </w:p>
        </w:tc>
        <w:tc>
          <w:tcPr>
            <w:tcW w:w="7997" w:type="dxa"/>
            <w:noWrap w:val="0"/>
            <w:vAlign w:val="center"/>
          </w:tcPr>
          <w:p w14:paraId="5750C1E6">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0" w:firstLineChars="0"/>
              <w:textAlignment w:val="auto"/>
              <w:rPr>
                <w:rFonts w:hint="eastAsia" w:ascii="宋体" w:hAnsi="宋体" w:eastAsia="宋体" w:cs="宋体"/>
                <w:color w:val="auto"/>
                <w:sz w:val="21"/>
                <w:szCs w:val="21"/>
                <w:highlight w:val="none"/>
              </w:rPr>
            </w:pPr>
            <w:r>
              <w:rPr>
                <w:rFonts w:hint="eastAsia" w:ascii="宋体" w:hAnsi="宋体" w:cs="宋体"/>
                <w:szCs w:val="21"/>
                <w:highlight w:val="none"/>
              </w:rPr>
              <w:t>本工程的施工准备阶段，协助项目单位开展上述前期工作，接受项目单位安排履行项目各项前期手续、施工阶段的质量、安全、造价控制及工期的全过程、竣工结算阶段、保修阶段（缺陷责任期）的监理服务以及国家法律法规规定的其他监理服务。</w:t>
            </w:r>
          </w:p>
        </w:tc>
      </w:tr>
      <w:tr w14:paraId="37854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6B139DE">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项目类别</w:t>
            </w:r>
          </w:p>
        </w:tc>
        <w:tc>
          <w:tcPr>
            <w:tcW w:w="7997" w:type="dxa"/>
            <w:noWrap w:val="0"/>
            <w:vAlign w:val="center"/>
          </w:tcPr>
          <w:p w14:paraId="740A62F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工程监理服务</w:t>
            </w:r>
          </w:p>
        </w:tc>
      </w:tr>
      <w:tr w14:paraId="3B30C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E8729B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其他</w:t>
            </w:r>
          </w:p>
        </w:tc>
        <w:tc>
          <w:tcPr>
            <w:tcW w:w="7997" w:type="dxa"/>
            <w:noWrap w:val="0"/>
            <w:vAlign w:val="center"/>
          </w:tcPr>
          <w:p w14:paraId="6F4E522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lang w:val="en-US" w:eastAsia="zh-CN"/>
              </w:rPr>
              <w:t>/</w:t>
            </w:r>
          </w:p>
        </w:tc>
      </w:tr>
      <w:tr w14:paraId="65673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6BF1AB2D">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投标人资格要求</w:t>
            </w:r>
          </w:p>
        </w:tc>
      </w:tr>
      <w:tr w14:paraId="68177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AA13A8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投标人资质要求</w:t>
            </w:r>
          </w:p>
        </w:tc>
        <w:tc>
          <w:tcPr>
            <w:tcW w:w="7997" w:type="dxa"/>
            <w:noWrap w:val="0"/>
            <w:vAlign w:val="center"/>
          </w:tcPr>
          <w:p w14:paraId="44B858AA">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投标人须具有建设行政主管部门颁发的工程监理综合资质</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或</w:t>
            </w:r>
            <w:r>
              <w:rPr>
                <w:rFonts w:hint="eastAsia" w:ascii="宋体" w:hAnsi="宋体" w:cs="宋体"/>
                <w:color w:val="auto"/>
                <w:szCs w:val="21"/>
                <w:highlight w:val="none"/>
                <w:lang w:val="en-US" w:eastAsia="zh-CN"/>
              </w:rPr>
              <w:t>电力</w:t>
            </w:r>
            <w:r>
              <w:rPr>
                <w:rFonts w:hint="eastAsia" w:ascii="宋体" w:hAnsi="宋体" w:eastAsia="宋体" w:cs="宋体"/>
                <w:color w:val="auto"/>
                <w:szCs w:val="21"/>
                <w:highlight w:val="none"/>
                <w:lang w:val="en-US" w:eastAsia="zh-CN"/>
              </w:rPr>
              <w:t>工程</w:t>
            </w:r>
            <w:r>
              <w:rPr>
                <w:rFonts w:hint="eastAsia" w:ascii="宋体" w:hAnsi="宋体" w:cs="宋体"/>
                <w:color w:val="auto"/>
                <w:szCs w:val="21"/>
                <w:highlight w:val="none"/>
                <w:lang w:val="en-US" w:eastAsia="zh-CN"/>
              </w:rPr>
              <w:t>或房屋建筑工程乙级及以上</w:t>
            </w:r>
            <w:r>
              <w:rPr>
                <w:rFonts w:hint="eastAsia" w:ascii="宋体" w:hAnsi="宋体" w:eastAsia="宋体" w:cs="宋体"/>
                <w:color w:val="auto"/>
                <w:szCs w:val="21"/>
                <w:highlight w:val="none"/>
                <w:lang w:val="en-US" w:eastAsia="zh-CN"/>
              </w:rPr>
              <w:t>监理资质</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w:t>
            </w:r>
          </w:p>
        </w:tc>
      </w:tr>
      <w:tr w14:paraId="1EF19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A3ACBF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bCs/>
                <w:snapToGrid w:val="0"/>
                <w:color w:val="auto"/>
                <w:kern w:val="0"/>
                <w:sz w:val="21"/>
                <w:szCs w:val="21"/>
                <w:highlight w:val="none"/>
              </w:rPr>
              <w:t>项目</w:t>
            </w:r>
            <w:r>
              <w:rPr>
                <w:rFonts w:hint="eastAsia" w:ascii="宋体" w:hAnsi="宋体" w:eastAsia="宋体" w:cs="宋体"/>
                <w:bCs/>
                <w:snapToGrid w:val="0"/>
                <w:color w:val="auto"/>
                <w:kern w:val="0"/>
                <w:sz w:val="21"/>
                <w:szCs w:val="21"/>
                <w:highlight w:val="none"/>
                <w:lang w:val="en-US" w:eastAsia="zh-CN"/>
              </w:rPr>
              <w:t>负责人</w:t>
            </w:r>
            <w:r>
              <w:rPr>
                <w:rFonts w:hint="eastAsia" w:ascii="宋体" w:hAnsi="宋体" w:eastAsia="宋体" w:cs="宋体"/>
                <w:bCs/>
                <w:snapToGrid w:val="0"/>
                <w:color w:val="auto"/>
                <w:kern w:val="0"/>
                <w:sz w:val="21"/>
                <w:szCs w:val="21"/>
                <w:highlight w:val="none"/>
              </w:rPr>
              <w:t>资格要求</w:t>
            </w:r>
          </w:p>
        </w:tc>
        <w:tc>
          <w:tcPr>
            <w:tcW w:w="7997" w:type="dxa"/>
            <w:noWrap w:val="0"/>
            <w:vAlign w:val="center"/>
          </w:tcPr>
          <w:p w14:paraId="63F1DB8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lang w:eastAsia="zh-CN"/>
              </w:rPr>
              <w:t>拟派总监理工程师必须持有在本单位注册的</w:t>
            </w:r>
            <w:r>
              <w:rPr>
                <w:rFonts w:hint="eastAsia" w:ascii="宋体" w:hAnsi="宋体" w:cs="宋体"/>
                <w:color w:val="auto"/>
                <w:szCs w:val="21"/>
                <w:highlight w:val="none"/>
                <w:lang w:val="en-US" w:eastAsia="zh-CN"/>
              </w:rPr>
              <w:t>电力工程或机电安装工程专业或</w:t>
            </w:r>
            <w:r>
              <w:rPr>
                <w:rFonts w:hint="eastAsia" w:ascii="宋体" w:hAnsi="宋体" w:eastAsia="宋体" w:cs="宋体"/>
                <w:color w:val="auto"/>
                <w:szCs w:val="21"/>
                <w:highlight w:val="none"/>
                <w:lang w:eastAsia="zh-CN"/>
              </w:rPr>
              <w:t>房屋建筑工程专业国家级注册监理工程师证书</w:t>
            </w:r>
            <w:r>
              <w:rPr>
                <w:rFonts w:hint="eastAsia" w:ascii="宋体" w:hAnsi="宋体" w:cs="宋体"/>
                <w:color w:val="auto"/>
                <w:szCs w:val="21"/>
                <w:highlight w:val="none"/>
                <w:lang w:eastAsia="zh-CN"/>
              </w:rPr>
              <w:t>。</w:t>
            </w:r>
          </w:p>
        </w:tc>
      </w:tr>
      <w:tr w14:paraId="062B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111CC5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联合体投标</w:t>
            </w:r>
          </w:p>
        </w:tc>
        <w:tc>
          <w:tcPr>
            <w:tcW w:w="7997" w:type="dxa"/>
            <w:noWrap w:val="0"/>
            <w:vAlign w:val="center"/>
          </w:tcPr>
          <w:p w14:paraId="43B27225">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本次招标不接受联合体投标。</w:t>
            </w:r>
          </w:p>
        </w:tc>
      </w:tr>
      <w:tr w14:paraId="6D934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2C0A41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多标段投标</w:t>
            </w:r>
          </w:p>
        </w:tc>
        <w:tc>
          <w:tcPr>
            <w:tcW w:w="7997" w:type="dxa"/>
            <w:noWrap w:val="0"/>
            <w:vAlign w:val="center"/>
          </w:tcPr>
          <w:p w14:paraId="5625B99D">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w:t>
            </w:r>
          </w:p>
        </w:tc>
      </w:tr>
      <w:tr w14:paraId="715CF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304A21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其他要求</w:t>
            </w:r>
          </w:p>
        </w:tc>
        <w:tc>
          <w:tcPr>
            <w:tcW w:w="7997" w:type="dxa"/>
            <w:noWrap w:val="0"/>
            <w:vAlign w:val="center"/>
          </w:tcPr>
          <w:p w14:paraId="47428588">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lang w:val="en-US" w:eastAsia="zh-CN"/>
              </w:rPr>
            </w:pPr>
            <w:r>
              <w:rPr>
                <w:rFonts w:hint="eastAsia"/>
              </w:rPr>
              <w:t>单位负责人为同一人或者存在控股、管理关系的不同单位，不得参加同一标段投标或者未划分标段的同一招标项目投标，违反上述规定的，相关单位投标均无效。</w:t>
            </w:r>
          </w:p>
        </w:tc>
      </w:tr>
      <w:tr w14:paraId="3CF4E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20DF2BF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招标文件的获取</w:t>
            </w:r>
          </w:p>
        </w:tc>
      </w:tr>
      <w:tr w14:paraId="572FB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85B914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获取时间</w:t>
            </w:r>
          </w:p>
        </w:tc>
        <w:tc>
          <w:tcPr>
            <w:tcW w:w="7997" w:type="dxa"/>
            <w:noWrap w:val="0"/>
            <w:vAlign w:val="center"/>
          </w:tcPr>
          <w:p w14:paraId="1CC4355F">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202</w:t>
            </w:r>
            <w:r>
              <w:rPr>
                <w:rFonts w:hint="eastAsia" w:ascii="宋体" w:hAnsi="宋体" w:cs="宋体"/>
                <w:bCs/>
                <w:snapToGrid w:val="0"/>
                <w:color w:val="000000"/>
                <w:kern w:val="0"/>
                <w:szCs w:val="21"/>
                <w:highlight w:val="none"/>
                <w:u w:val="single"/>
                <w:lang w:val="en-US" w:eastAsia="zh-CN"/>
              </w:rPr>
              <w:t>4</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年</w:t>
            </w:r>
            <w:r>
              <w:rPr>
                <w:rFonts w:hint="eastAsia" w:ascii="宋体" w:hAnsi="宋体" w:cs="宋体"/>
                <w:bCs/>
                <w:snapToGrid w:val="0"/>
                <w:color w:val="000000"/>
                <w:kern w:val="0"/>
                <w:szCs w:val="21"/>
                <w:highlight w:val="none"/>
                <w:u w:val="single"/>
                <w:lang w:val="en-US" w:eastAsia="zh-CN"/>
              </w:rPr>
              <w:t>9</w:t>
            </w:r>
            <w:r>
              <w:rPr>
                <w:rFonts w:hint="eastAsia" w:ascii="宋体" w:hAnsi="宋体" w:eastAsia="宋体" w:cs="宋体"/>
                <w:bCs/>
                <w:snapToGrid w:val="0"/>
                <w:color w:val="000000"/>
                <w:kern w:val="0"/>
                <w:szCs w:val="21"/>
                <w:highlight w:val="none"/>
              </w:rPr>
              <w:t>月</w:t>
            </w:r>
            <w:r>
              <w:rPr>
                <w:rFonts w:hint="eastAsia" w:ascii="宋体" w:hAnsi="宋体" w:cs="宋体"/>
                <w:bCs/>
                <w:snapToGrid w:val="0"/>
                <w:color w:val="000000"/>
                <w:kern w:val="0"/>
                <w:szCs w:val="21"/>
                <w:highlight w:val="none"/>
                <w:u w:val="single"/>
                <w:lang w:val="en-US" w:eastAsia="zh-CN"/>
              </w:rPr>
              <w:t xml:space="preserve"> 14 </w:t>
            </w:r>
            <w:r>
              <w:rPr>
                <w:rFonts w:hint="eastAsia" w:ascii="宋体" w:hAnsi="宋体" w:eastAsia="宋体" w:cs="宋体"/>
                <w:bCs/>
                <w:snapToGrid w:val="0"/>
                <w:color w:val="000000"/>
                <w:kern w:val="0"/>
                <w:szCs w:val="21"/>
                <w:highlight w:val="none"/>
              </w:rPr>
              <w:t>日</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17</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时</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00</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分至</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202</w:t>
            </w:r>
            <w:r>
              <w:rPr>
                <w:rFonts w:hint="eastAsia" w:ascii="宋体" w:hAnsi="宋体" w:cs="宋体"/>
                <w:bCs/>
                <w:snapToGrid w:val="0"/>
                <w:color w:val="000000"/>
                <w:kern w:val="0"/>
                <w:szCs w:val="21"/>
                <w:highlight w:val="none"/>
                <w:u w:val="single"/>
                <w:lang w:val="en-US" w:eastAsia="zh-CN"/>
              </w:rPr>
              <w:t>4</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年</w:t>
            </w:r>
            <w:r>
              <w:rPr>
                <w:rFonts w:hint="eastAsia" w:ascii="宋体" w:hAnsi="宋体" w:cs="宋体"/>
                <w:bCs/>
                <w:snapToGrid w:val="0"/>
                <w:color w:val="000000"/>
                <w:kern w:val="0"/>
                <w:szCs w:val="21"/>
                <w:highlight w:val="none"/>
                <w:u w:val="single"/>
                <w:lang w:val="en-US" w:eastAsia="zh-CN"/>
              </w:rPr>
              <w:t>9</w:t>
            </w:r>
            <w:r>
              <w:rPr>
                <w:rFonts w:hint="eastAsia" w:ascii="宋体" w:hAnsi="宋体" w:eastAsia="宋体" w:cs="宋体"/>
                <w:bCs/>
                <w:snapToGrid w:val="0"/>
                <w:color w:val="000000"/>
                <w:kern w:val="0"/>
                <w:szCs w:val="21"/>
                <w:highlight w:val="none"/>
              </w:rPr>
              <w:t>月</w:t>
            </w:r>
            <w:r>
              <w:rPr>
                <w:rFonts w:hint="eastAsia" w:ascii="宋体" w:hAnsi="宋体" w:cs="宋体"/>
                <w:bCs/>
                <w:snapToGrid w:val="0"/>
                <w:color w:val="000000"/>
                <w:kern w:val="0"/>
                <w:szCs w:val="21"/>
                <w:highlight w:val="none"/>
                <w:u w:val="single"/>
                <w:lang w:val="en-US" w:eastAsia="zh-CN"/>
              </w:rPr>
              <w:t xml:space="preserve"> 25 </w:t>
            </w:r>
            <w:r>
              <w:rPr>
                <w:rFonts w:hint="eastAsia" w:ascii="宋体" w:hAnsi="宋体" w:eastAsia="宋体" w:cs="宋体"/>
                <w:bCs/>
                <w:snapToGrid w:val="0"/>
                <w:color w:val="000000"/>
                <w:kern w:val="0"/>
                <w:szCs w:val="21"/>
                <w:highlight w:val="none"/>
              </w:rPr>
              <w:t>日</w:t>
            </w:r>
            <w:r>
              <w:rPr>
                <w:rFonts w:hint="eastAsia" w:ascii="宋体" w:hAnsi="宋体" w:eastAsia="宋体" w:cs="宋体"/>
                <w:bCs/>
                <w:snapToGrid w:val="0"/>
                <w:color w:val="000000"/>
                <w:kern w:val="0"/>
                <w:szCs w:val="21"/>
                <w:highlight w:val="none"/>
                <w:u w:val="single"/>
              </w:rPr>
              <w:t xml:space="preserve"> </w:t>
            </w:r>
            <w:r>
              <w:rPr>
                <w:rFonts w:hint="eastAsia" w:ascii="宋体" w:hAnsi="宋体" w:cs="宋体"/>
                <w:bCs/>
                <w:snapToGrid w:val="0"/>
                <w:color w:val="000000"/>
                <w:kern w:val="0"/>
                <w:szCs w:val="21"/>
                <w:highlight w:val="none"/>
                <w:u w:val="single"/>
                <w:lang w:val="en-US" w:eastAsia="zh-CN"/>
              </w:rPr>
              <w:t>15</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时</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u w:val="single"/>
                <w:lang w:val="en-US" w:eastAsia="zh-CN"/>
              </w:rPr>
              <w:t>00</w:t>
            </w:r>
            <w:r>
              <w:rPr>
                <w:rFonts w:hint="eastAsia" w:ascii="宋体" w:hAnsi="宋体" w:eastAsia="宋体" w:cs="宋体"/>
                <w:bCs/>
                <w:snapToGrid w:val="0"/>
                <w:color w:val="000000"/>
                <w:kern w:val="0"/>
                <w:szCs w:val="21"/>
                <w:highlight w:val="none"/>
                <w:u w:val="single"/>
              </w:rPr>
              <w:t xml:space="preserve"> </w:t>
            </w:r>
            <w:r>
              <w:rPr>
                <w:rFonts w:hint="eastAsia" w:ascii="宋体" w:hAnsi="宋体" w:eastAsia="宋体" w:cs="宋体"/>
                <w:bCs/>
                <w:snapToGrid w:val="0"/>
                <w:color w:val="000000"/>
                <w:kern w:val="0"/>
                <w:szCs w:val="21"/>
                <w:highlight w:val="none"/>
              </w:rPr>
              <w:t>分。</w:t>
            </w:r>
          </w:p>
        </w:tc>
      </w:tr>
      <w:tr w14:paraId="6C0A1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72DE3BB">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cs="宋体"/>
                <w:color w:val="000000"/>
                <w:kern w:val="0"/>
                <w:szCs w:val="21"/>
              </w:rPr>
              <w:t>获取方式</w:t>
            </w:r>
          </w:p>
        </w:tc>
        <w:tc>
          <w:tcPr>
            <w:tcW w:w="7997" w:type="dxa"/>
            <w:noWrap w:val="0"/>
            <w:vAlign w:val="center"/>
          </w:tcPr>
          <w:p w14:paraId="5AEE0120">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cs="宋体"/>
                <w:bCs/>
                <w:snapToGrid w:val="0"/>
                <w:color w:val="000000"/>
                <w:kern w:val="0"/>
                <w:szCs w:val="21"/>
              </w:rPr>
              <w:t>潜在投</w:t>
            </w:r>
            <w:r>
              <w:rPr>
                <w:rFonts w:hint="eastAsia" w:ascii="宋体" w:hAnsi="宋体" w:cs="宋体"/>
                <w:bCs/>
                <w:snapToGrid w:val="0"/>
                <w:color w:val="000000"/>
                <w:kern w:val="0"/>
                <w:szCs w:val="21"/>
                <w:highlight w:val="none"/>
              </w:rPr>
              <w:t>标人须登录</w:t>
            </w:r>
            <w:r>
              <w:rPr>
                <w:rFonts w:hint="eastAsia"/>
                <w:highlight w:val="none"/>
                <w:lang w:val="en-US" w:eastAsia="zh-CN"/>
              </w:rPr>
              <w:t>滁州扬子工业投资集团有限公司官网（https://czyzgtjt.com/）、中国扬子集团官网（http://www.yangzigroup.cn/case/jingpinzhuzhai/）</w:t>
            </w:r>
            <w:r>
              <w:rPr>
                <w:rFonts w:hint="eastAsia" w:ascii="宋体" w:hAnsi="宋体" w:cs="宋体"/>
                <w:bCs/>
                <w:snapToGrid w:val="0"/>
                <w:color w:val="000000"/>
                <w:kern w:val="0"/>
                <w:szCs w:val="21"/>
                <w:highlight w:val="none"/>
              </w:rPr>
              <w:t>查阅</w:t>
            </w:r>
            <w:r>
              <w:rPr>
                <w:rFonts w:hint="eastAsia" w:ascii="宋体" w:hAnsi="宋体" w:cs="宋体"/>
                <w:bCs/>
                <w:snapToGrid w:val="0"/>
                <w:color w:val="000000"/>
                <w:kern w:val="0"/>
                <w:szCs w:val="21"/>
              </w:rPr>
              <w:t>并下载电子招标文件。</w:t>
            </w:r>
          </w:p>
        </w:tc>
      </w:tr>
      <w:tr w14:paraId="5D5B6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F9242A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招标公告发布时间</w:t>
            </w:r>
          </w:p>
        </w:tc>
        <w:tc>
          <w:tcPr>
            <w:tcW w:w="7997" w:type="dxa"/>
            <w:noWrap w:val="0"/>
            <w:vAlign w:val="center"/>
          </w:tcPr>
          <w:p w14:paraId="5DF1AEC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eastAsia="zh-CN"/>
              </w:rPr>
              <w:t>2024年</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 xml:space="preserve"> 14 </w:t>
            </w:r>
            <w:r>
              <w:rPr>
                <w:rFonts w:hint="eastAsia" w:ascii="宋体" w:hAnsi="宋体" w:eastAsia="宋体" w:cs="宋体"/>
                <w:color w:val="auto"/>
                <w:szCs w:val="21"/>
                <w:highlight w:val="none"/>
              </w:rPr>
              <w:t>日</w:t>
            </w:r>
          </w:p>
        </w:tc>
      </w:tr>
      <w:tr w14:paraId="7E1BD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490CAB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投标文件递交的截止时间</w:t>
            </w:r>
          </w:p>
        </w:tc>
        <w:tc>
          <w:tcPr>
            <w:tcW w:w="7997" w:type="dxa"/>
            <w:noWrap w:val="0"/>
            <w:vAlign w:val="center"/>
          </w:tcPr>
          <w:p w14:paraId="1B36A0F9">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2024年9</w:t>
            </w:r>
            <w:r>
              <w:rPr>
                <w:rFonts w:hint="eastAsia" w:ascii="宋体" w:hAnsi="宋体" w:eastAsia="宋体" w:cs="宋体"/>
                <w:color w:val="auto"/>
                <w:szCs w:val="21"/>
                <w:highlight w:val="none"/>
                <w:lang w:val="en-US" w:eastAsia="zh-CN"/>
              </w:rPr>
              <w:t>月</w:t>
            </w:r>
            <w:r>
              <w:rPr>
                <w:rFonts w:hint="eastAsia" w:ascii="宋体" w:hAnsi="宋体" w:cs="宋体"/>
                <w:color w:val="auto"/>
                <w:szCs w:val="21"/>
                <w:highlight w:val="none"/>
                <w:lang w:val="en-US" w:eastAsia="zh-CN"/>
              </w:rPr>
              <w:t xml:space="preserve"> 25 </w:t>
            </w:r>
            <w:r>
              <w:rPr>
                <w:rFonts w:hint="eastAsia" w:ascii="宋体" w:hAnsi="宋体" w:eastAsia="宋体" w:cs="宋体"/>
                <w:color w:val="auto"/>
                <w:szCs w:val="21"/>
                <w:highlight w:val="none"/>
                <w:lang w:val="en-US" w:eastAsia="zh-CN"/>
              </w:rPr>
              <w:t>日</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lang w:val="en-US" w:eastAsia="zh-CN"/>
              </w:rPr>
              <w:t>时00分</w:t>
            </w:r>
          </w:p>
        </w:tc>
      </w:tr>
      <w:tr w14:paraId="32131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933" w:type="dxa"/>
            <w:noWrap w:val="0"/>
            <w:vAlign w:val="center"/>
          </w:tcPr>
          <w:p w14:paraId="69EE30B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开标时间</w:t>
            </w:r>
          </w:p>
        </w:tc>
        <w:tc>
          <w:tcPr>
            <w:tcW w:w="7997" w:type="dxa"/>
            <w:noWrap w:val="0"/>
            <w:vAlign w:val="center"/>
          </w:tcPr>
          <w:p w14:paraId="3EDEB83E">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szCs w:val="21"/>
                <w:highlight w:val="none"/>
                <w:lang w:eastAsia="zh-CN"/>
              </w:rPr>
              <w:t>2024年</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 xml:space="preserve"> 25 </w:t>
            </w:r>
            <w:r>
              <w:rPr>
                <w:rFonts w:hint="eastAsia" w:ascii="宋体" w:hAnsi="宋体" w:eastAsia="宋体" w:cs="宋体"/>
                <w:color w:val="auto"/>
                <w:szCs w:val="21"/>
                <w:highlight w:val="none"/>
              </w:rPr>
              <w:t>日</w:t>
            </w:r>
            <w:r>
              <w:rPr>
                <w:rFonts w:hint="eastAsia" w:ascii="宋体" w:hAnsi="宋体" w:cs="宋体"/>
                <w:color w:val="auto"/>
                <w:szCs w:val="21"/>
                <w:highlight w:val="none"/>
                <w:lang w:val="en-US" w:eastAsia="zh-CN"/>
              </w:rPr>
              <w:t>15</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00</w:t>
            </w:r>
            <w:r>
              <w:rPr>
                <w:rFonts w:hint="eastAsia" w:ascii="宋体" w:hAnsi="宋体" w:eastAsia="宋体" w:cs="宋体"/>
                <w:color w:val="auto"/>
                <w:szCs w:val="21"/>
                <w:highlight w:val="none"/>
              </w:rPr>
              <w:t>分</w:t>
            </w:r>
          </w:p>
        </w:tc>
      </w:tr>
      <w:tr w14:paraId="75978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933" w:type="dxa"/>
            <w:noWrap w:val="0"/>
            <w:vAlign w:val="center"/>
          </w:tcPr>
          <w:p w14:paraId="316890A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开标地点</w:t>
            </w:r>
          </w:p>
        </w:tc>
        <w:tc>
          <w:tcPr>
            <w:tcW w:w="7997" w:type="dxa"/>
            <w:noWrap w:val="0"/>
            <w:vAlign w:val="center"/>
          </w:tcPr>
          <w:p w14:paraId="6EE13EEC">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滁州市城投大厦（滁州市醉翁路与中都大道交叉口西南侧)13楼1310室</w:t>
            </w:r>
          </w:p>
        </w:tc>
      </w:tr>
      <w:tr w14:paraId="7CB42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45930E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招标文件价格</w:t>
            </w:r>
          </w:p>
        </w:tc>
        <w:tc>
          <w:tcPr>
            <w:tcW w:w="7997" w:type="dxa"/>
            <w:noWrap w:val="0"/>
            <w:vAlign w:val="center"/>
          </w:tcPr>
          <w:p w14:paraId="3F838210">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0元</w:t>
            </w:r>
          </w:p>
        </w:tc>
      </w:tr>
      <w:tr w14:paraId="20385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42F58F3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tc>
        <w:tc>
          <w:tcPr>
            <w:tcW w:w="7997" w:type="dxa"/>
            <w:noWrap w:val="0"/>
            <w:vAlign w:val="center"/>
          </w:tcPr>
          <w:p w14:paraId="747FAD2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滁州扬子工业投资集团有限公司官网（https://czyzgtjt.com/）、中国扬子集团官网（http://www.yangzigroup.cn/case/jingpinzhuzhai/）</w:t>
            </w:r>
          </w:p>
        </w:tc>
      </w:tr>
      <w:tr w14:paraId="5A5DB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57CE3882">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sz w:val="21"/>
                <w:szCs w:val="21"/>
                <w:highlight w:val="none"/>
              </w:rPr>
              <w:t>投标保证金收取</w:t>
            </w:r>
          </w:p>
        </w:tc>
      </w:tr>
      <w:tr w14:paraId="66F73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8E8FB53">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保证金收取</w:t>
            </w:r>
          </w:p>
        </w:tc>
        <w:tc>
          <w:tcPr>
            <w:tcW w:w="7997" w:type="dxa"/>
            <w:noWrap w:val="0"/>
            <w:vAlign w:val="center"/>
          </w:tcPr>
          <w:p w14:paraId="343C2933">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olor w:val="auto"/>
                <w:szCs w:val="21"/>
                <w:highlight w:val="none"/>
              </w:rPr>
              <w:t>不要求投标人提交投标保证金。</w:t>
            </w:r>
          </w:p>
        </w:tc>
      </w:tr>
      <w:tr w14:paraId="7B4AD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center"/>
          </w:tcPr>
          <w:p w14:paraId="11D74DD5">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联系方式</w:t>
            </w:r>
          </w:p>
        </w:tc>
      </w:tr>
      <w:tr w14:paraId="1A85A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11634F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招标人名称</w:t>
            </w:r>
          </w:p>
        </w:tc>
        <w:tc>
          <w:tcPr>
            <w:tcW w:w="7997" w:type="dxa"/>
            <w:noWrap w:val="0"/>
            <w:vAlign w:val="center"/>
          </w:tcPr>
          <w:p w14:paraId="1C6E2D4E">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滁州工投新能源开发有限公司</w:t>
            </w:r>
            <w:r>
              <w:rPr>
                <w:rFonts w:hint="eastAsia" w:ascii="宋体" w:hAnsi="宋体" w:eastAsia="宋体" w:cs="宋体"/>
                <w:color w:val="auto"/>
                <w:kern w:val="0"/>
                <w:sz w:val="21"/>
                <w:szCs w:val="21"/>
                <w:highlight w:val="none"/>
                <w:lang w:eastAsia="zh-CN"/>
              </w:rPr>
              <w:t xml:space="preserve"> </w:t>
            </w:r>
          </w:p>
        </w:tc>
      </w:tr>
      <w:tr w14:paraId="519AA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15D1BEF">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招标人地址</w:t>
            </w:r>
          </w:p>
        </w:tc>
        <w:tc>
          <w:tcPr>
            <w:tcW w:w="7997" w:type="dxa"/>
            <w:noWrap w:val="0"/>
            <w:vAlign w:val="center"/>
          </w:tcPr>
          <w:p w14:paraId="6D49FD6D">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Cs w:val="21"/>
                <w:highlight w:val="none"/>
                <w:shd w:val="clear" w:color="auto" w:fill="FFFFFF"/>
                <w:lang w:val="en-US" w:eastAsia="zh-CN"/>
              </w:rPr>
              <w:t>滁州市中都大道城投大厦13楼</w:t>
            </w:r>
          </w:p>
        </w:tc>
      </w:tr>
      <w:tr w14:paraId="4F46D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65BB4109">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招标人联系人</w:t>
            </w:r>
          </w:p>
        </w:tc>
        <w:tc>
          <w:tcPr>
            <w:tcW w:w="7997" w:type="dxa"/>
            <w:noWrap w:val="0"/>
            <w:vAlign w:val="center"/>
          </w:tcPr>
          <w:p w14:paraId="50DBAC5D">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val="en-US" w:eastAsia="zh-CN"/>
              </w:rPr>
              <w:t>王律</w:t>
            </w:r>
          </w:p>
        </w:tc>
      </w:tr>
      <w:tr w14:paraId="69F4A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5BEB76B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招标人电话</w:t>
            </w:r>
          </w:p>
        </w:tc>
        <w:tc>
          <w:tcPr>
            <w:tcW w:w="7997" w:type="dxa"/>
            <w:noWrap w:val="0"/>
            <w:vAlign w:val="center"/>
          </w:tcPr>
          <w:p w14:paraId="79ECAC40">
            <w:pPr>
              <w:keepNext w:val="0"/>
              <w:keepLines w:val="0"/>
              <w:pageBreakBefore w:val="0"/>
              <w:widowControl/>
              <w:shd w:val="clear" w:color="auto" w:fill="auto"/>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szCs w:val="21"/>
                <w:highlight w:val="none"/>
                <w:shd w:val="clear" w:color="auto" w:fill="FFFFFF"/>
                <w:lang w:val="en-US" w:eastAsia="zh-CN"/>
              </w:rPr>
              <w:t>0550-3018125</w:t>
            </w:r>
            <w:r>
              <w:rPr>
                <w:rFonts w:hint="eastAsia" w:ascii="宋体" w:hAnsi="宋体" w:cs="宋体"/>
                <w:color w:val="auto"/>
                <w:szCs w:val="21"/>
                <w:highlight w:val="none"/>
                <w:shd w:val="clear" w:color="auto" w:fill="FFFFFF"/>
                <w:lang w:val="en-US" w:eastAsia="zh-CN"/>
              </w:rPr>
              <w:t>、17625932920</w:t>
            </w:r>
          </w:p>
        </w:tc>
      </w:tr>
      <w:tr w14:paraId="0A55B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BEF4684">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招标代理机构名称</w:t>
            </w:r>
          </w:p>
        </w:tc>
        <w:tc>
          <w:tcPr>
            <w:tcW w:w="7997" w:type="dxa"/>
            <w:noWrap w:val="0"/>
            <w:vAlign w:val="center"/>
          </w:tcPr>
          <w:p w14:paraId="1180ED01">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sz w:val="21"/>
                <w:szCs w:val="21"/>
                <w:highlight w:val="none"/>
              </w:rPr>
              <w:t>滁州市城投工程咨询管理有限公司</w:t>
            </w:r>
          </w:p>
        </w:tc>
      </w:tr>
      <w:tr w14:paraId="12751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0D08BC88">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招标代理机构地址</w:t>
            </w:r>
          </w:p>
        </w:tc>
        <w:tc>
          <w:tcPr>
            <w:tcW w:w="7997" w:type="dxa"/>
            <w:noWrap w:val="0"/>
            <w:vAlign w:val="center"/>
          </w:tcPr>
          <w:p w14:paraId="59DA1366">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Cs w:val="21"/>
                <w:highlight w:val="none"/>
                <w:shd w:val="clear" w:color="auto" w:fill="FFFFFF"/>
                <w:lang w:val="en-US" w:eastAsia="zh-CN"/>
              </w:rPr>
              <w:t>滁州市龙蟠大道109号房产大厦六楼</w:t>
            </w:r>
          </w:p>
        </w:tc>
      </w:tr>
      <w:tr w14:paraId="29D8C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1E6F3B3A">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招标代理机构    联系人</w:t>
            </w:r>
          </w:p>
        </w:tc>
        <w:tc>
          <w:tcPr>
            <w:tcW w:w="7997" w:type="dxa"/>
            <w:noWrap w:val="0"/>
            <w:vAlign w:val="center"/>
          </w:tcPr>
          <w:p w14:paraId="3713466C">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周蓓蕾</w:t>
            </w:r>
          </w:p>
        </w:tc>
      </w:tr>
      <w:tr w14:paraId="1D82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343B4FE0">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bCs/>
                <w:color w:val="auto"/>
                <w:spacing w:val="-6"/>
                <w:sz w:val="21"/>
                <w:szCs w:val="21"/>
                <w:highlight w:val="none"/>
              </w:rPr>
              <w:t>代理机构电话</w:t>
            </w:r>
          </w:p>
        </w:tc>
        <w:tc>
          <w:tcPr>
            <w:tcW w:w="7997" w:type="dxa"/>
            <w:noWrap w:val="0"/>
            <w:vAlign w:val="center"/>
          </w:tcPr>
          <w:p w14:paraId="5738B97A">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highlight w:val="none"/>
                <w:lang w:eastAsia="zh-CN"/>
              </w:rPr>
              <w:t>0550-3519519</w:t>
            </w:r>
            <w:r>
              <w:rPr>
                <w:rFonts w:hint="eastAsia" w:ascii="宋体" w:hAnsi="宋体" w:eastAsia="宋体" w:cs="宋体"/>
                <w:color w:val="auto"/>
                <w:sz w:val="21"/>
                <w:szCs w:val="21"/>
                <w:highlight w:val="none"/>
                <w:lang w:val="en-US" w:eastAsia="zh-CN"/>
              </w:rPr>
              <w:t>、18005505728</w:t>
            </w:r>
          </w:p>
        </w:tc>
      </w:tr>
      <w:tr w14:paraId="39A55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33" w:type="dxa"/>
            <w:noWrap w:val="0"/>
            <w:vAlign w:val="center"/>
          </w:tcPr>
          <w:p w14:paraId="702648D6">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auto"/>
                <w:spacing w:val="-6"/>
                <w:sz w:val="21"/>
                <w:szCs w:val="21"/>
                <w:highlight w:val="none"/>
              </w:rPr>
            </w:pPr>
            <w:r>
              <w:rPr>
                <w:rFonts w:hint="eastAsia" w:ascii="宋体" w:hAnsi="宋体" w:eastAsia="宋体" w:cs="宋体"/>
                <w:color w:val="auto"/>
                <w:szCs w:val="21"/>
                <w:highlight w:val="none"/>
                <w:shd w:val="clear" w:color="auto" w:fill="FFFFFF"/>
                <w:lang w:val="en-US" w:eastAsia="zh-CN"/>
              </w:rPr>
              <w:t>监督电话</w:t>
            </w:r>
          </w:p>
        </w:tc>
        <w:tc>
          <w:tcPr>
            <w:tcW w:w="7997" w:type="dxa"/>
            <w:noWrap w:val="0"/>
            <w:vAlign w:val="center"/>
          </w:tcPr>
          <w:p w14:paraId="56BD34A6">
            <w:pPr>
              <w:keepNext w:val="0"/>
              <w:keepLines w:val="0"/>
              <w:pageBreakBefore w:val="0"/>
              <w:widowControl/>
              <w:kinsoku/>
              <w:wordWrap w:val="0"/>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Cs w:val="21"/>
                <w:highlight w:val="none"/>
                <w:shd w:val="clear" w:color="auto" w:fill="FFFFFF"/>
                <w:lang w:val="en-US" w:eastAsia="zh-CN"/>
              </w:rPr>
              <w:t>0550-3017855</w:t>
            </w:r>
          </w:p>
        </w:tc>
      </w:tr>
    </w:tbl>
    <w:p w14:paraId="3B482541">
      <w:pPr>
        <w:jc w:val="left"/>
        <w:rPr>
          <w:highlight w:val="none"/>
        </w:rPr>
      </w:pPr>
    </w:p>
    <w:p w14:paraId="5ACB1F4D">
      <w:pPr>
        <w:pStyle w:val="44"/>
        <w:spacing w:beforeLines="50" w:afterLines="50" w:line="440" w:lineRule="exact"/>
        <w:rPr>
          <w:bCs/>
          <w:szCs w:val="32"/>
          <w:highlight w:val="none"/>
        </w:rPr>
      </w:pPr>
      <w:bookmarkStart w:id="29" w:name="_Toc78803321"/>
      <w:r>
        <w:rPr>
          <w:rFonts w:hint="eastAsia"/>
          <w:bCs/>
          <w:szCs w:val="32"/>
          <w:highlight w:val="none"/>
        </w:rPr>
        <w:br w:type="page"/>
      </w:r>
      <w:r>
        <w:rPr>
          <w:rFonts w:hint="eastAsia"/>
          <w:bCs/>
          <w:szCs w:val="32"/>
          <w:highlight w:val="none"/>
        </w:rPr>
        <w:t>第一章  投标人须知</w:t>
      </w:r>
      <w:bookmarkEnd w:id="17"/>
      <w:bookmarkEnd w:id="18"/>
      <w:bookmarkEnd w:id="19"/>
      <w:bookmarkEnd w:id="20"/>
      <w:bookmarkEnd w:id="21"/>
      <w:bookmarkEnd w:id="22"/>
      <w:bookmarkEnd w:id="23"/>
      <w:bookmarkEnd w:id="24"/>
      <w:bookmarkEnd w:id="25"/>
      <w:bookmarkEnd w:id="26"/>
      <w:bookmarkEnd w:id="27"/>
      <w:bookmarkEnd w:id="28"/>
      <w:bookmarkEnd w:id="29"/>
    </w:p>
    <w:p w14:paraId="37CE6F7F">
      <w:pPr>
        <w:spacing w:beforeLines="50" w:afterLines="50" w:line="440" w:lineRule="exact"/>
        <w:jc w:val="center"/>
        <w:rPr>
          <w:b/>
          <w:bCs/>
          <w:sz w:val="28"/>
          <w:szCs w:val="28"/>
          <w:highlight w:val="none"/>
        </w:rPr>
      </w:pPr>
      <w:bookmarkStart w:id="30" w:name="_Toc15058845"/>
      <w:bookmarkStart w:id="31" w:name="_Toc144974496"/>
      <w:bookmarkStart w:id="32" w:name="_Toc246996917"/>
      <w:bookmarkStart w:id="33" w:name="_Toc246996174"/>
      <w:bookmarkStart w:id="34" w:name="_Toc35425051"/>
      <w:bookmarkStart w:id="35" w:name="_Toc152045528"/>
      <w:bookmarkStart w:id="36" w:name="_Toc506107268"/>
      <w:bookmarkStart w:id="37" w:name="_Toc152042304"/>
      <w:bookmarkStart w:id="38" w:name="_Toc247085688"/>
      <w:bookmarkStart w:id="39" w:name="_Toc324404814"/>
      <w:bookmarkStart w:id="40" w:name="_Toc179632545"/>
      <w:bookmarkStart w:id="41" w:name="_Toc35424884"/>
      <w:r>
        <w:rPr>
          <w:rFonts w:hint="eastAsia"/>
          <w:b/>
          <w:bCs/>
          <w:sz w:val="28"/>
          <w:szCs w:val="28"/>
          <w:highlight w:val="none"/>
        </w:rPr>
        <w:t>投标人须知前附表</w:t>
      </w:r>
      <w:bookmarkEnd w:id="30"/>
      <w:bookmarkEnd w:id="31"/>
      <w:bookmarkEnd w:id="32"/>
      <w:bookmarkEnd w:id="33"/>
      <w:bookmarkEnd w:id="34"/>
      <w:bookmarkEnd w:id="35"/>
      <w:bookmarkEnd w:id="36"/>
      <w:bookmarkEnd w:id="37"/>
      <w:bookmarkEnd w:id="38"/>
      <w:bookmarkEnd w:id="39"/>
      <w:bookmarkEnd w:id="40"/>
      <w:bookmarkEnd w:id="41"/>
    </w:p>
    <w:tbl>
      <w:tblPr>
        <w:tblStyle w:val="47"/>
        <w:tblW w:w="10328" w:type="dxa"/>
        <w:jc w:val="center"/>
        <w:tblLayout w:type="fixed"/>
        <w:tblCellMar>
          <w:top w:w="0" w:type="dxa"/>
          <w:left w:w="108" w:type="dxa"/>
          <w:bottom w:w="0" w:type="dxa"/>
          <w:right w:w="108" w:type="dxa"/>
        </w:tblCellMar>
      </w:tblPr>
      <w:tblGrid>
        <w:gridCol w:w="868"/>
        <w:gridCol w:w="910"/>
        <w:gridCol w:w="1299"/>
        <w:gridCol w:w="7251"/>
      </w:tblGrid>
      <w:tr w14:paraId="6D01B77F">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93BFE1C">
            <w:pPr>
              <w:keepNext w:val="0"/>
              <w:keepLines w:val="0"/>
              <w:pageBreakBefore w:val="0"/>
              <w:kinsoku/>
              <w:wordWrap/>
              <w:overflowPunct/>
              <w:autoSpaceDN/>
              <w:bidi w:val="0"/>
              <w:spacing w:line="440" w:lineRule="exact"/>
              <w:jc w:val="center"/>
              <w:textAlignment w:val="auto"/>
              <w:rPr>
                <w:rFonts w:ascii="宋体" w:hAnsi="宋体" w:cs="宋体"/>
                <w:b/>
                <w:szCs w:val="21"/>
                <w:highlight w:val="none"/>
              </w:rPr>
            </w:pPr>
            <w:bookmarkStart w:id="42" w:name="_Toc152042305"/>
            <w:bookmarkStart w:id="43" w:name="_Toc506107269"/>
            <w:bookmarkStart w:id="44" w:name="_Toc246996918"/>
            <w:bookmarkStart w:id="45" w:name="_Toc152045529"/>
            <w:bookmarkStart w:id="46" w:name="_Toc179632546"/>
            <w:bookmarkStart w:id="47" w:name="_Toc144974497"/>
            <w:bookmarkStart w:id="48" w:name="_Toc246996175"/>
            <w:bookmarkStart w:id="49" w:name="_Toc247085689"/>
            <w:bookmarkStart w:id="50" w:name="_Toc324404815"/>
            <w:r>
              <w:rPr>
                <w:rFonts w:hint="eastAsia" w:ascii="宋体" w:hAnsi="宋体" w:cs="宋体"/>
                <w:b/>
                <w:szCs w:val="21"/>
                <w:highlight w:val="none"/>
              </w:rPr>
              <w:t>序号</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1E90708">
            <w:pPr>
              <w:keepNext w:val="0"/>
              <w:keepLines w:val="0"/>
              <w:pageBreakBefore w:val="0"/>
              <w:kinsoku/>
              <w:wordWrap/>
              <w:overflowPunct/>
              <w:autoSpaceDN/>
              <w:bidi w:val="0"/>
              <w:spacing w:line="440" w:lineRule="exact"/>
              <w:jc w:val="center"/>
              <w:textAlignment w:val="auto"/>
              <w:rPr>
                <w:rFonts w:ascii="宋体" w:hAnsi="宋体" w:cs="宋体"/>
                <w:b/>
                <w:szCs w:val="21"/>
                <w:highlight w:val="none"/>
              </w:rPr>
            </w:pPr>
            <w:r>
              <w:rPr>
                <w:rFonts w:hint="eastAsia" w:ascii="宋体" w:hAnsi="宋体" w:cs="宋体"/>
                <w:b/>
                <w:szCs w:val="21"/>
                <w:highlight w:val="none"/>
              </w:rPr>
              <w:t>条  款  名  称</w:t>
            </w:r>
          </w:p>
        </w:tc>
        <w:tc>
          <w:tcPr>
            <w:tcW w:w="7251" w:type="dxa"/>
            <w:tcBorders>
              <w:top w:val="single" w:color="auto" w:sz="4" w:space="0"/>
              <w:left w:val="single" w:color="auto" w:sz="4" w:space="0"/>
              <w:bottom w:val="single" w:color="auto" w:sz="4" w:space="0"/>
              <w:right w:val="single" w:color="auto" w:sz="4" w:space="0"/>
            </w:tcBorders>
            <w:noWrap/>
            <w:vAlign w:val="center"/>
          </w:tcPr>
          <w:p w14:paraId="6FE6D630">
            <w:pPr>
              <w:keepNext w:val="0"/>
              <w:keepLines w:val="0"/>
              <w:pageBreakBefore w:val="0"/>
              <w:kinsoku/>
              <w:wordWrap/>
              <w:overflowPunct/>
              <w:autoSpaceDN/>
              <w:bidi w:val="0"/>
              <w:spacing w:line="440" w:lineRule="exact"/>
              <w:jc w:val="center"/>
              <w:textAlignment w:val="auto"/>
              <w:rPr>
                <w:rFonts w:ascii="宋体" w:hAnsi="宋体" w:cs="宋体"/>
                <w:b/>
                <w:szCs w:val="21"/>
                <w:highlight w:val="none"/>
              </w:rPr>
            </w:pPr>
            <w:r>
              <w:rPr>
                <w:rFonts w:hint="eastAsia" w:ascii="宋体" w:hAnsi="宋体" w:cs="宋体"/>
                <w:b/>
                <w:szCs w:val="21"/>
                <w:highlight w:val="none"/>
              </w:rPr>
              <w:t>编  列  内  容</w:t>
            </w:r>
          </w:p>
        </w:tc>
      </w:tr>
      <w:tr w14:paraId="0A504F5A">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F0DA17F">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D88BAB4">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招标人</w:t>
            </w:r>
          </w:p>
        </w:tc>
        <w:tc>
          <w:tcPr>
            <w:tcW w:w="7251" w:type="dxa"/>
            <w:tcBorders>
              <w:top w:val="single" w:color="auto" w:sz="4" w:space="0"/>
              <w:left w:val="single" w:color="auto" w:sz="4" w:space="0"/>
              <w:bottom w:val="single" w:color="auto" w:sz="4" w:space="0"/>
              <w:right w:val="single" w:color="auto" w:sz="4" w:space="0"/>
            </w:tcBorders>
            <w:noWrap/>
            <w:vAlign w:val="center"/>
          </w:tcPr>
          <w:p w14:paraId="1D6F3302">
            <w:pPr>
              <w:pStyle w:val="93"/>
              <w:keepNext w:val="0"/>
              <w:keepLines w:val="0"/>
              <w:pageBreakBefore w:val="0"/>
              <w:kinsoku/>
              <w:wordWrap/>
              <w:overflowPunct/>
              <w:autoSpaceDN/>
              <w:bidi w:val="0"/>
              <w:adjustRightInd w:val="0"/>
              <w:snapToGrid w:val="0"/>
              <w:spacing w:line="440" w:lineRule="exact"/>
              <w:jc w:val="left"/>
              <w:textAlignment w:val="auto"/>
              <w:rPr>
                <w:rFonts w:hint="eastAsia" w:eastAsia="宋体"/>
                <w:kern w:val="2"/>
                <w:sz w:val="21"/>
                <w:szCs w:val="21"/>
                <w:highlight w:val="none"/>
                <w:lang w:eastAsia="zh-CN"/>
              </w:rPr>
            </w:pPr>
            <w:r>
              <w:rPr>
                <w:rFonts w:hint="eastAsia" w:ascii="宋体" w:hAnsi="宋体" w:cs="宋体"/>
                <w:color w:val="auto"/>
                <w:sz w:val="21"/>
                <w:szCs w:val="21"/>
                <w:highlight w:val="none"/>
              </w:rPr>
              <w:t>见招标公告</w:t>
            </w:r>
          </w:p>
        </w:tc>
      </w:tr>
      <w:tr w14:paraId="5A7CE666">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2814028">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1659248">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招标代理机构</w:t>
            </w:r>
          </w:p>
        </w:tc>
        <w:tc>
          <w:tcPr>
            <w:tcW w:w="7251" w:type="dxa"/>
            <w:tcBorders>
              <w:top w:val="single" w:color="auto" w:sz="4" w:space="0"/>
              <w:left w:val="single" w:color="auto" w:sz="4" w:space="0"/>
              <w:bottom w:val="single" w:color="auto" w:sz="4" w:space="0"/>
              <w:right w:val="single" w:color="auto" w:sz="4" w:space="0"/>
            </w:tcBorders>
            <w:noWrap/>
            <w:vAlign w:val="center"/>
          </w:tcPr>
          <w:p w14:paraId="56671BB9">
            <w:pPr>
              <w:keepNext w:val="0"/>
              <w:keepLines w:val="0"/>
              <w:pageBreakBefore w:val="0"/>
              <w:kinsoku/>
              <w:wordWrap/>
              <w:overflowPunct/>
              <w:autoSpaceDN/>
              <w:bidi w:val="0"/>
              <w:adjustRightInd w:val="0"/>
              <w:snapToGrid w:val="0"/>
              <w:spacing w:line="440" w:lineRule="exact"/>
              <w:textAlignment w:val="auto"/>
              <w:rPr>
                <w:rFonts w:hint="default" w:ascii="宋体" w:hAnsi="宋体" w:eastAsia="宋体" w:cs="宋体"/>
                <w:szCs w:val="21"/>
                <w:highlight w:val="none"/>
                <w:lang w:val="en-US" w:eastAsia="zh-CN"/>
              </w:rPr>
            </w:pPr>
            <w:r>
              <w:rPr>
                <w:rFonts w:hint="eastAsia" w:ascii="宋体" w:hAnsi="宋体" w:cs="宋体"/>
                <w:color w:val="auto"/>
                <w:sz w:val="21"/>
                <w:szCs w:val="21"/>
                <w:highlight w:val="none"/>
              </w:rPr>
              <w:t>见招标公告</w:t>
            </w:r>
          </w:p>
        </w:tc>
      </w:tr>
      <w:tr w14:paraId="67D62B4A">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6DCB022A">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8676589">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项目名称</w:t>
            </w:r>
          </w:p>
        </w:tc>
        <w:tc>
          <w:tcPr>
            <w:tcW w:w="7251" w:type="dxa"/>
            <w:tcBorders>
              <w:top w:val="single" w:color="auto" w:sz="4" w:space="0"/>
              <w:left w:val="single" w:color="auto" w:sz="4" w:space="0"/>
              <w:bottom w:val="single" w:color="auto" w:sz="4" w:space="0"/>
              <w:right w:val="single" w:color="auto" w:sz="4" w:space="0"/>
            </w:tcBorders>
            <w:noWrap/>
            <w:vAlign w:val="center"/>
          </w:tcPr>
          <w:p w14:paraId="2202877B">
            <w:pPr>
              <w:keepNext w:val="0"/>
              <w:keepLines w:val="0"/>
              <w:pageBreakBefore w:val="0"/>
              <w:kinsoku/>
              <w:wordWrap/>
              <w:overflowPunct/>
              <w:autoSpaceDN/>
              <w:bidi w:val="0"/>
              <w:adjustRightInd w:val="0"/>
              <w:snapToGrid w:val="0"/>
              <w:spacing w:line="440" w:lineRule="exact"/>
              <w:textAlignment w:val="auto"/>
              <w:rPr>
                <w:rFonts w:hint="eastAsia" w:ascii="宋体" w:hAnsi="宋体" w:eastAsia="宋体" w:cs="宋体"/>
                <w:szCs w:val="21"/>
                <w:highlight w:val="none"/>
                <w:lang w:eastAsia="zh-CN"/>
              </w:rPr>
            </w:pPr>
            <w:r>
              <w:rPr>
                <w:rFonts w:hint="eastAsia" w:ascii="宋体" w:hAnsi="宋体" w:cs="宋体"/>
                <w:color w:val="auto"/>
                <w:sz w:val="21"/>
                <w:szCs w:val="21"/>
                <w:highlight w:val="none"/>
              </w:rPr>
              <w:t>见招标公告</w:t>
            </w:r>
          </w:p>
        </w:tc>
      </w:tr>
      <w:tr w14:paraId="10906DF7">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39D7154">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89A35D3">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建设地点</w:t>
            </w:r>
          </w:p>
        </w:tc>
        <w:tc>
          <w:tcPr>
            <w:tcW w:w="7251" w:type="dxa"/>
            <w:tcBorders>
              <w:top w:val="single" w:color="auto" w:sz="4" w:space="0"/>
              <w:left w:val="single" w:color="auto" w:sz="4" w:space="0"/>
              <w:bottom w:val="single" w:color="auto" w:sz="4" w:space="0"/>
              <w:right w:val="single" w:color="auto" w:sz="4" w:space="0"/>
            </w:tcBorders>
            <w:noWrap/>
            <w:vAlign w:val="center"/>
          </w:tcPr>
          <w:p w14:paraId="06F1C886">
            <w:pPr>
              <w:keepNext w:val="0"/>
              <w:keepLines w:val="0"/>
              <w:pageBreakBefore w:val="0"/>
              <w:kinsoku/>
              <w:wordWrap/>
              <w:overflowPunct/>
              <w:autoSpaceDN/>
              <w:bidi w:val="0"/>
              <w:adjustRightInd w:val="0"/>
              <w:snapToGrid w:val="0"/>
              <w:spacing w:line="440" w:lineRule="exact"/>
              <w:textAlignment w:val="auto"/>
              <w:rPr>
                <w:rFonts w:ascii="宋体" w:hAnsi="宋体" w:cs="宋体"/>
                <w:szCs w:val="21"/>
                <w:highlight w:val="none"/>
              </w:rPr>
            </w:pPr>
            <w:r>
              <w:rPr>
                <w:rFonts w:hint="eastAsia" w:ascii="宋体" w:hAnsi="宋体" w:cs="宋体"/>
                <w:color w:val="auto"/>
                <w:sz w:val="21"/>
                <w:szCs w:val="21"/>
                <w:highlight w:val="none"/>
              </w:rPr>
              <w:t>见招标公告</w:t>
            </w:r>
          </w:p>
        </w:tc>
      </w:tr>
      <w:tr w14:paraId="4315C088">
        <w:tblPrEx>
          <w:tblCellMar>
            <w:top w:w="0" w:type="dxa"/>
            <w:left w:w="108" w:type="dxa"/>
            <w:bottom w:w="0" w:type="dxa"/>
            <w:right w:w="108" w:type="dxa"/>
          </w:tblCellMar>
        </w:tblPrEx>
        <w:trPr>
          <w:trHeight w:val="555"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2FCA374">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654FF71">
            <w:pPr>
              <w:keepNext w:val="0"/>
              <w:keepLines w:val="0"/>
              <w:pageBreakBefore w:val="0"/>
              <w:kinsoku/>
              <w:wordWrap/>
              <w:overflowPunct/>
              <w:autoSpaceDN/>
              <w:bidi w:val="0"/>
              <w:adjustRightInd w:val="0"/>
              <w:snapToGrid w:val="0"/>
              <w:spacing w:line="440" w:lineRule="exact"/>
              <w:jc w:val="center"/>
              <w:textAlignment w:val="auto"/>
              <w:rPr>
                <w:rFonts w:ascii="宋体" w:hAnsi="宋体" w:cs="宋体"/>
                <w:szCs w:val="21"/>
                <w:highlight w:val="none"/>
              </w:rPr>
            </w:pPr>
            <w:r>
              <w:rPr>
                <w:rFonts w:hint="eastAsia" w:ascii="宋体" w:hAnsi="宋体" w:cs="宋体"/>
                <w:color w:val="auto"/>
                <w:sz w:val="21"/>
                <w:szCs w:val="21"/>
                <w:highlight w:val="none"/>
              </w:rPr>
              <w:t>资金落实情况</w:t>
            </w:r>
          </w:p>
        </w:tc>
        <w:tc>
          <w:tcPr>
            <w:tcW w:w="7251" w:type="dxa"/>
            <w:tcBorders>
              <w:top w:val="single" w:color="auto" w:sz="4" w:space="0"/>
              <w:left w:val="single" w:color="auto" w:sz="4" w:space="0"/>
              <w:bottom w:val="single" w:color="auto" w:sz="4" w:space="0"/>
              <w:right w:val="single" w:color="auto" w:sz="4" w:space="0"/>
            </w:tcBorders>
            <w:noWrap/>
            <w:vAlign w:val="center"/>
          </w:tcPr>
          <w:p w14:paraId="6E138E14">
            <w:pPr>
              <w:keepNext w:val="0"/>
              <w:keepLines w:val="0"/>
              <w:pageBreakBefore w:val="0"/>
              <w:kinsoku/>
              <w:wordWrap/>
              <w:overflowPunct/>
              <w:autoSpaceDN/>
              <w:bidi w:val="0"/>
              <w:adjustRightInd w:val="0"/>
              <w:snapToGrid w:val="0"/>
              <w:spacing w:line="440" w:lineRule="exact"/>
              <w:textAlignment w:val="auto"/>
              <w:rPr>
                <w:rFonts w:ascii="宋体" w:hAnsi="宋体" w:cs="宋体"/>
                <w:szCs w:val="21"/>
                <w:highlight w:val="none"/>
              </w:rPr>
            </w:pPr>
            <w:r>
              <w:rPr>
                <w:rFonts w:hint="eastAsia" w:ascii="宋体" w:hAnsi="宋体" w:cs="宋体"/>
                <w:color w:val="auto"/>
                <w:sz w:val="21"/>
                <w:szCs w:val="21"/>
                <w:highlight w:val="none"/>
                <w:lang w:val="en-US" w:eastAsia="zh-CN"/>
              </w:rPr>
              <w:t>已落实</w:t>
            </w:r>
          </w:p>
        </w:tc>
      </w:tr>
      <w:tr w14:paraId="78949575">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BC0B4BE">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A39F5D9">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招标范围</w:t>
            </w:r>
          </w:p>
        </w:tc>
        <w:tc>
          <w:tcPr>
            <w:tcW w:w="7251" w:type="dxa"/>
            <w:tcBorders>
              <w:top w:val="single" w:color="auto" w:sz="4" w:space="0"/>
              <w:left w:val="single" w:color="auto" w:sz="4" w:space="0"/>
              <w:bottom w:val="single" w:color="auto" w:sz="4" w:space="0"/>
              <w:right w:val="single" w:color="auto" w:sz="4" w:space="0"/>
            </w:tcBorders>
            <w:noWrap/>
            <w:vAlign w:val="center"/>
          </w:tcPr>
          <w:p w14:paraId="7DB7395A">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color w:val="000000"/>
                <w:szCs w:val="21"/>
                <w:highlight w:val="none"/>
              </w:rPr>
              <w:t>详见招标公告</w:t>
            </w:r>
          </w:p>
        </w:tc>
      </w:tr>
      <w:tr w14:paraId="389FD3EA">
        <w:tblPrEx>
          <w:tblCellMar>
            <w:top w:w="0" w:type="dxa"/>
            <w:left w:w="108" w:type="dxa"/>
            <w:bottom w:w="0" w:type="dxa"/>
            <w:right w:w="108" w:type="dxa"/>
          </w:tblCellMar>
        </w:tblPrEx>
        <w:trPr>
          <w:trHeight w:val="496"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8C4C797">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AFA24F3">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评标办法</w:t>
            </w:r>
          </w:p>
        </w:tc>
        <w:tc>
          <w:tcPr>
            <w:tcW w:w="7251" w:type="dxa"/>
            <w:tcBorders>
              <w:top w:val="single" w:color="auto" w:sz="4" w:space="0"/>
              <w:left w:val="single" w:color="auto" w:sz="4" w:space="0"/>
              <w:bottom w:val="single" w:color="auto" w:sz="4" w:space="0"/>
              <w:right w:val="single" w:color="auto" w:sz="4" w:space="0"/>
            </w:tcBorders>
            <w:noWrap/>
            <w:vAlign w:val="center"/>
          </w:tcPr>
          <w:p w14:paraId="77D4423B">
            <w:pPr>
              <w:keepNext w:val="0"/>
              <w:keepLines w:val="0"/>
              <w:pageBreakBefore w:val="0"/>
              <w:kinsoku/>
              <w:wordWrap/>
              <w:overflowPunct/>
              <w:autoSpaceDN/>
              <w:bidi w:val="0"/>
              <w:spacing w:line="440" w:lineRule="exact"/>
              <w:textAlignment w:val="auto"/>
              <w:rPr>
                <w:rFonts w:ascii="宋体" w:hAnsi="宋体" w:cs="宋体"/>
                <w:highlight w:val="none"/>
              </w:rPr>
            </w:pPr>
            <w:r>
              <w:rPr>
                <w:rFonts w:hint="eastAsia" w:ascii="宋体" w:hAnsi="宋体" w:cs="宋体"/>
                <w:color w:val="auto"/>
                <w:sz w:val="21"/>
                <w:szCs w:val="21"/>
                <w:highlight w:val="none"/>
              </w:rPr>
              <w:t>见招标公告</w:t>
            </w:r>
          </w:p>
        </w:tc>
      </w:tr>
      <w:tr w14:paraId="14F3754E">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3AC56F1">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BE0DCD0">
            <w:pPr>
              <w:keepNext w:val="0"/>
              <w:keepLines w:val="0"/>
              <w:pageBreakBefore w:val="0"/>
              <w:kinsoku/>
              <w:wordWrap/>
              <w:overflowPunct/>
              <w:autoSpaceDN/>
              <w:bidi w:val="0"/>
              <w:spacing w:line="44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监理服务期限</w:t>
            </w:r>
          </w:p>
        </w:tc>
        <w:tc>
          <w:tcPr>
            <w:tcW w:w="7251" w:type="dxa"/>
            <w:tcBorders>
              <w:top w:val="single" w:color="auto" w:sz="4" w:space="0"/>
              <w:left w:val="single" w:color="auto" w:sz="4" w:space="0"/>
              <w:bottom w:val="single" w:color="auto" w:sz="4" w:space="0"/>
              <w:right w:val="single" w:color="auto" w:sz="4" w:space="0"/>
            </w:tcBorders>
            <w:noWrap/>
            <w:vAlign w:val="center"/>
          </w:tcPr>
          <w:p w14:paraId="74BD3FD2">
            <w:pPr>
              <w:keepNext w:val="0"/>
              <w:keepLines w:val="0"/>
              <w:pageBreakBefore w:val="0"/>
              <w:kinsoku/>
              <w:wordWrap/>
              <w:overflowPunct/>
              <w:autoSpaceDN/>
              <w:bidi w:val="0"/>
              <w:spacing w:line="440" w:lineRule="exact"/>
              <w:textAlignment w:val="auto"/>
              <w:rPr>
                <w:rFonts w:ascii="宋体" w:hAnsi="宋体" w:cs="宋体"/>
                <w:color w:val="auto"/>
                <w:szCs w:val="21"/>
                <w:highlight w:val="none"/>
              </w:rPr>
            </w:pPr>
            <w:r>
              <w:rPr>
                <w:rFonts w:hint="eastAsia" w:ascii="宋体" w:hAnsi="宋体" w:cs="宋体"/>
                <w:color w:val="auto"/>
                <w:sz w:val="21"/>
                <w:szCs w:val="21"/>
                <w:highlight w:val="none"/>
              </w:rPr>
              <w:t>见招标公告</w:t>
            </w:r>
          </w:p>
        </w:tc>
      </w:tr>
      <w:tr w14:paraId="5B42F273">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658D6D1">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84D1EDA">
            <w:pPr>
              <w:keepNext w:val="0"/>
              <w:keepLines w:val="0"/>
              <w:pageBreakBefore w:val="0"/>
              <w:kinsoku/>
              <w:wordWrap/>
              <w:overflowPunct/>
              <w:autoSpaceDN/>
              <w:bidi w:val="0"/>
              <w:spacing w:line="440" w:lineRule="exact"/>
              <w:jc w:val="center"/>
              <w:textAlignment w:val="auto"/>
              <w:rPr>
                <w:rFonts w:ascii="宋体" w:hAnsi="宋体" w:cs="宋体"/>
                <w:color w:val="FF0000"/>
                <w:szCs w:val="21"/>
                <w:highlight w:val="none"/>
              </w:rPr>
            </w:pPr>
            <w:r>
              <w:rPr>
                <w:rFonts w:hint="eastAsia" w:ascii="宋体" w:hAnsi="宋体" w:cs="宋体"/>
                <w:szCs w:val="21"/>
                <w:highlight w:val="none"/>
              </w:rPr>
              <w:t>质量要求</w:t>
            </w:r>
          </w:p>
        </w:tc>
        <w:tc>
          <w:tcPr>
            <w:tcW w:w="7251" w:type="dxa"/>
            <w:tcBorders>
              <w:top w:val="single" w:color="auto" w:sz="4" w:space="0"/>
              <w:left w:val="single" w:color="auto" w:sz="4" w:space="0"/>
              <w:bottom w:val="single" w:color="auto" w:sz="4" w:space="0"/>
              <w:right w:val="single" w:color="auto" w:sz="4" w:space="0"/>
            </w:tcBorders>
            <w:noWrap/>
            <w:vAlign w:val="center"/>
          </w:tcPr>
          <w:p w14:paraId="7C577D4C">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kern w:val="0"/>
                <w:szCs w:val="21"/>
              </w:rPr>
              <w:t>必须达到国家工程施工质量验收</w:t>
            </w:r>
            <w:r>
              <w:rPr>
                <w:rFonts w:hint="eastAsia" w:ascii="宋体" w:hAnsi="宋体" w:cs="宋体"/>
                <w:kern w:val="0"/>
                <w:szCs w:val="21"/>
                <w:u w:val="single"/>
              </w:rPr>
              <w:t xml:space="preserve"> 合格 </w:t>
            </w:r>
            <w:r>
              <w:rPr>
                <w:rFonts w:hint="eastAsia" w:ascii="宋体" w:hAnsi="宋体" w:cs="宋体"/>
                <w:kern w:val="0"/>
                <w:szCs w:val="21"/>
              </w:rPr>
              <w:t>标准</w:t>
            </w:r>
            <w:r>
              <w:rPr>
                <w:rFonts w:hint="eastAsia" w:ascii="宋体" w:hAnsi="宋体" w:cs="宋体"/>
                <w:szCs w:val="21"/>
              </w:rPr>
              <w:t xml:space="preserve">。 </w:t>
            </w:r>
          </w:p>
        </w:tc>
      </w:tr>
      <w:tr w14:paraId="05304B03">
        <w:tblPrEx>
          <w:tblCellMar>
            <w:top w:w="0" w:type="dxa"/>
            <w:left w:w="108" w:type="dxa"/>
            <w:bottom w:w="0" w:type="dxa"/>
            <w:right w:w="108" w:type="dxa"/>
          </w:tblCellMar>
        </w:tblPrEx>
        <w:trPr>
          <w:trHeight w:val="90" w:hRule="atLeast"/>
          <w:jc w:val="center"/>
        </w:trPr>
        <w:tc>
          <w:tcPr>
            <w:tcW w:w="868" w:type="dxa"/>
            <w:vMerge w:val="restart"/>
            <w:tcBorders>
              <w:top w:val="single" w:color="auto" w:sz="4" w:space="0"/>
              <w:left w:val="single" w:color="auto" w:sz="4" w:space="0"/>
              <w:bottom w:val="single" w:color="auto" w:sz="4" w:space="0"/>
              <w:right w:val="single" w:color="auto" w:sz="4" w:space="0"/>
            </w:tcBorders>
            <w:noWrap/>
            <w:vAlign w:val="center"/>
          </w:tcPr>
          <w:p w14:paraId="227E4194">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3446F5E">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投标人资质条件、能力和信誉</w:t>
            </w:r>
          </w:p>
        </w:tc>
        <w:tc>
          <w:tcPr>
            <w:tcW w:w="7251" w:type="dxa"/>
            <w:tcBorders>
              <w:top w:val="single" w:color="auto" w:sz="4" w:space="0"/>
              <w:left w:val="single" w:color="auto" w:sz="4" w:space="0"/>
              <w:bottom w:val="single" w:color="auto" w:sz="4" w:space="0"/>
              <w:right w:val="single" w:color="auto" w:sz="4" w:space="0"/>
            </w:tcBorders>
            <w:noWrap/>
            <w:vAlign w:val="center"/>
          </w:tcPr>
          <w:p w14:paraId="102689F3">
            <w:pPr>
              <w:pStyle w:val="2"/>
              <w:keepNext w:val="0"/>
              <w:keepLines w:val="0"/>
              <w:pageBreakBefore w:val="0"/>
              <w:kinsoku/>
              <w:wordWrap/>
              <w:overflowPunct/>
              <w:autoSpaceDN/>
              <w:bidi w:val="0"/>
              <w:spacing w:line="440" w:lineRule="exact"/>
              <w:ind w:left="0" w:leftChars="0" w:firstLine="0" w:firstLineChars="0"/>
              <w:jc w:val="left"/>
              <w:textAlignment w:val="auto"/>
              <w:rPr>
                <w:rFonts w:hAnsi="宋体" w:cs="宋体"/>
                <w:szCs w:val="21"/>
                <w:highlight w:val="none"/>
                <w:u w:val="single"/>
              </w:rPr>
            </w:pPr>
            <w:r>
              <w:rPr>
                <w:rFonts w:hint="eastAsia" w:hAnsi="宋体" w:cs="宋体"/>
                <w:szCs w:val="21"/>
                <w:highlight w:val="none"/>
                <w:u w:val="single"/>
              </w:rPr>
              <w:t>详见招标公告信息</w:t>
            </w:r>
          </w:p>
        </w:tc>
      </w:tr>
      <w:tr w14:paraId="255A3AF5">
        <w:tblPrEx>
          <w:tblCellMar>
            <w:top w:w="0" w:type="dxa"/>
            <w:left w:w="108" w:type="dxa"/>
            <w:bottom w:w="0" w:type="dxa"/>
            <w:right w:w="108" w:type="dxa"/>
          </w:tblCellMar>
        </w:tblPrEx>
        <w:trPr>
          <w:trHeight w:val="575" w:hRule="atLeast"/>
          <w:jc w:val="center"/>
        </w:trPr>
        <w:tc>
          <w:tcPr>
            <w:tcW w:w="868" w:type="dxa"/>
            <w:vMerge w:val="continue"/>
            <w:tcBorders>
              <w:top w:val="single" w:color="auto" w:sz="4" w:space="0"/>
              <w:left w:val="single" w:color="auto" w:sz="4" w:space="0"/>
              <w:bottom w:val="single" w:color="auto" w:sz="4" w:space="0"/>
              <w:right w:val="single" w:color="auto" w:sz="4" w:space="0"/>
            </w:tcBorders>
            <w:noWrap/>
            <w:vAlign w:val="center"/>
          </w:tcPr>
          <w:p w14:paraId="34F87B17">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21759DD">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招标文件发布时间：</w:t>
            </w:r>
          </w:p>
        </w:tc>
        <w:tc>
          <w:tcPr>
            <w:tcW w:w="7251" w:type="dxa"/>
            <w:tcBorders>
              <w:top w:val="single" w:color="auto" w:sz="4" w:space="0"/>
              <w:left w:val="single" w:color="auto" w:sz="4" w:space="0"/>
              <w:bottom w:val="single" w:color="auto" w:sz="4" w:space="0"/>
              <w:right w:val="single" w:color="auto" w:sz="4" w:space="0"/>
            </w:tcBorders>
            <w:noWrap/>
            <w:vAlign w:val="center"/>
          </w:tcPr>
          <w:p w14:paraId="2B1F3FAD">
            <w:pPr>
              <w:keepNext w:val="0"/>
              <w:keepLines w:val="0"/>
              <w:pageBreakBefore w:val="0"/>
              <w:kinsoku/>
              <w:wordWrap/>
              <w:overflowPunct/>
              <w:autoSpaceDN/>
              <w:bidi w:val="0"/>
              <w:spacing w:line="440" w:lineRule="exact"/>
              <w:textAlignment w:val="auto"/>
              <w:rPr>
                <w:rFonts w:ascii="宋体" w:hAnsi="宋体" w:cs="宋体"/>
                <w:kern w:val="0"/>
                <w:szCs w:val="21"/>
                <w:highlight w:val="none"/>
              </w:rPr>
            </w:pPr>
            <w:r>
              <w:rPr>
                <w:rFonts w:hint="eastAsia" w:ascii="宋体" w:hAnsi="宋体" w:cs="宋体"/>
                <w:kern w:val="0"/>
                <w:szCs w:val="21"/>
                <w:highlight w:val="none"/>
              </w:rPr>
              <w:t>详见招标公告信息</w:t>
            </w:r>
          </w:p>
        </w:tc>
      </w:tr>
      <w:tr w14:paraId="67FB65C4">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2D8E8C4">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0D4170F">
            <w:pPr>
              <w:keepNext w:val="0"/>
              <w:keepLines w:val="0"/>
              <w:pageBreakBefore w:val="0"/>
              <w:kinsoku/>
              <w:wordWrap/>
              <w:overflowPunct/>
              <w:autoSpaceDN/>
              <w:bidi w:val="0"/>
              <w:spacing w:line="440" w:lineRule="exact"/>
              <w:jc w:val="center"/>
              <w:textAlignment w:val="auto"/>
              <w:rPr>
                <w:rFonts w:ascii="宋体" w:hAnsi="宋体" w:cs="宋体"/>
                <w:spacing w:val="-4"/>
                <w:kern w:val="0"/>
                <w:szCs w:val="21"/>
                <w:highlight w:val="none"/>
              </w:rPr>
            </w:pPr>
            <w:r>
              <w:rPr>
                <w:rFonts w:hint="eastAsia" w:ascii="宋体" w:hAnsi="宋体" w:cs="宋体"/>
                <w:spacing w:val="-4"/>
                <w:kern w:val="0"/>
                <w:szCs w:val="21"/>
                <w:highlight w:val="none"/>
              </w:rPr>
              <w:t>踏勘现场</w:t>
            </w:r>
          </w:p>
        </w:tc>
        <w:tc>
          <w:tcPr>
            <w:tcW w:w="7251" w:type="dxa"/>
            <w:tcBorders>
              <w:top w:val="single" w:color="auto" w:sz="4" w:space="0"/>
              <w:left w:val="single" w:color="auto" w:sz="4" w:space="0"/>
              <w:bottom w:val="single" w:color="auto" w:sz="4" w:space="0"/>
              <w:right w:val="single" w:color="auto" w:sz="4" w:space="0"/>
            </w:tcBorders>
            <w:noWrap/>
            <w:vAlign w:val="center"/>
          </w:tcPr>
          <w:p w14:paraId="35C4A18D">
            <w:pPr>
              <w:pStyle w:val="19"/>
              <w:keepNext w:val="0"/>
              <w:keepLines w:val="0"/>
              <w:pageBreakBefore w:val="0"/>
              <w:kinsoku/>
              <w:wordWrap/>
              <w:overflowPunct/>
              <w:topLinePunct/>
              <w:autoSpaceDN/>
              <w:bidi w:val="0"/>
              <w:spacing w:line="440" w:lineRule="exact"/>
              <w:textAlignment w:val="auto"/>
              <w:rPr>
                <w:rFonts w:hAnsi="宋体" w:cs="宋体"/>
                <w:spacing w:val="-4"/>
                <w:kern w:val="0"/>
                <w:sz w:val="21"/>
                <w:szCs w:val="21"/>
                <w:highlight w:val="none"/>
              </w:rPr>
            </w:pPr>
            <w:r>
              <w:rPr>
                <w:rFonts w:hint="eastAsia" w:hAnsi="宋体" w:cs="宋体"/>
                <w:sz w:val="21"/>
                <w:szCs w:val="21"/>
                <w:highlight w:val="none"/>
              </w:rPr>
              <w:t>☑</w:t>
            </w:r>
            <w:r>
              <w:rPr>
                <w:rFonts w:hint="eastAsia" w:hAnsi="宋体" w:cs="宋体"/>
                <w:spacing w:val="-4"/>
                <w:kern w:val="0"/>
                <w:sz w:val="21"/>
                <w:szCs w:val="21"/>
                <w:highlight w:val="none"/>
              </w:rPr>
              <w:t>不组织，投标人自行组织踏勘现场</w:t>
            </w:r>
            <w:r>
              <w:rPr>
                <w:rFonts w:hint="eastAsia" w:hAnsi="宋体" w:cs="宋体"/>
                <w:sz w:val="21"/>
                <w:szCs w:val="21"/>
                <w:highlight w:val="none"/>
              </w:rPr>
              <w:t>；□组织</w:t>
            </w:r>
          </w:p>
        </w:tc>
      </w:tr>
      <w:tr w14:paraId="6C65530D">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94816D6">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4531745">
            <w:pPr>
              <w:keepNext w:val="0"/>
              <w:keepLines w:val="0"/>
              <w:pageBreakBefore w:val="0"/>
              <w:kinsoku/>
              <w:wordWrap/>
              <w:overflowPunct/>
              <w:autoSpaceDN/>
              <w:bidi w:val="0"/>
              <w:spacing w:line="440" w:lineRule="exact"/>
              <w:jc w:val="center"/>
              <w:textAlignment w:val="auto"/>
              <w:rPr>
                <w:rFonts w:ascii="宋体" w:hAnsi="宋体" w:cs="宋体"/>
                <w:spacing w:val="-4"/>
                <w:kern w:val="0"/>
                <w:szCs w:val="21"/>
                <w:highlight w:val="none"/>
              </w:rPr>
            </w:pPr>
            <w:r>
              <w:rPr>
                <w:rFonts w:hint="eastAsia" w:ascii="宋体" w:hAnsi="宋体" w:cs="宋体"/>
                <w:spacing w:val="-4"/>
                <w:kern w:val="0"/>
                <w:szCs w:val="21"/>
                <w:highlight w:val="none"/>
              </w:rPr>
              <w:t>投标预备会</w:t>
            </w:r>
          </w:p>
        </w:tc>
        <w:tc>
          <w:tcPr>
            <w:tcW w:w="7251" w:type="dxa"/>
            <w:tcBorders>
              <w:top w:val="single" w:color="auto" w:sz="4" w:space="0"/>
              <w:left w:val="single" w:color="auto" w:sz="4" w:space="0"/>
              <w:bottom w:val="single" w:color="auto" w:sz="4" w:space="0"/>
              <w:right w:val="single" w:color="auto" w:sz="4" w:space="0"/>
            </w:tcBorders>
            <w:noWrap/>
            <w:vAlign w:val="center"/>
          </w:tcPr>
          <w:p w14:paraId="0E25BE77">
            <w:pPr>
              <w:pStyle w:val="19"/>
              <w:keepNext w:val="0"/>
              <w:keepLines w:val="0"/>
              <w:pageBreakBefore w:val="0"/>
              <w:kinsoku/>
              <w:wordWrap/>
              <w:overflowPunct/>
              <w:topLinePunct/>
              <w:autoSpaceDN/>
              <w:bidi w:val="0"/>
              <w:spacing w:line="440" w:lineRule="exact"/>
              <w:textAlignment w:val="auto"/>
              <w:rPr>
                <w:rFonts w:hAnsi="宋体" w:cs="宋体"/>
                <w:spacing w:val="-4"/>
                <w:kern w:val="0"/>
                <w:sz w:val="21"/>
                <w:szCs w:val="21"/>
                <w:highlight w:val="none"/>
              </w:rPr>
            </w:pPr>
            <w:r>
              <w:rPr>
                <w:rFonts w:hint="eastAsia" w:hAnsi="宋体" w:cs="宋体"/>
                <w:sz w:val="21"/>
                <w:szCs w:val="21"/>
                <w:highlight w:val="none"/>
              </w:rPr>
              <w:t>☑</w:t>
            </w:r>
            <w:r>
              <w:rPr>
                <w:rFonts w:hint="eastAsia" w:hAnsi="宋体" w:cs="宋体"/>
                <w:spacing w:val="-4"/>
                <w:kern w:val="0"/>
                <w:sz w:val="21"/>
                <w:szCs w:val="21"/>
                <w:highlight w:val="none"/>
              </w:rPr>
              <w:t>不召开</w:t>
            </w:r>
            <w:r>
              <w:rPr>
                <w:rFonts w:hint="eastAsia" w:hAnsi="宋体" w:cs="宋体"/>
                <w:sz w:val="21"/>
                <w:szCs w:val="21"/>
                <w:highlight w:val="none"/>
              </w:rPr>
              <w:t>；□召开</w:t>
            </w:r>
          </w:p>
        </w:tc>
      </w:tr>
      <w:tr w14:paraId="4813D1FB">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871E8AA">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25DC3467">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投标人提出问题的截止时间及方式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3CA1642F">
            <w:pPr>
              <w:pStyle w:val="24"/>
              <w:keepNext w:val="0"/>
              <w:keepLines w:val="0"/>
              <w:pageBreakBefore w:val="0"/>
              <w:kinsoku/>
              <w:wordWrap/>
              <w:overflowPunct/>
              <w:autoSpaceDN/>
              <w:bidi w:val="0"/>
              <w:spacing w:line="440" w:lineRule="exact"/>
              <w:textAlignment w:val="auto"/>
              <w:rPr>
                <w:rFonts w:hAnsi="宋体" w:cs="宋体"/>
                <w:szCs w:val="21"/>
                <w:highlight w:val="none"/>
              </w:rPr>
            </w:pPr>
            <w:r>
              <w:rPr>
                <w:rFonts w:hint="eastAsia" w:ascii="宋体" w:hAnsi="宋体" w:cs="宋体"/>
                <w:kern w:val="0"/>
                <w:szCs w:val="21"/>
                <w:highlight w:val="none"/>
              </w:rPr>
              <w:t>如投标人对招标文件有疑问，请于</w:t>
            </w:r>
            <w:r>
              <w:rPr>
                <w:rFonts w:hint="eastAsia" w:ascii="宋体" w:hAnsi="宋体" w:cs="宋体"/>
                <w:b w:val="0"/>
                <w:bCs/>
                <w:szCs w:val="21"/>
                <w:highlight w:val="none"/>
                <w:lang w:eastAsia="zh-CN"/>
              </w:rPr>
              <w:t>2024年</w:t>
            </w:r>
            <w:r>
              <w:rPr>
                <w:rFonts w:hint="eastAsia" w:ascii="宋体" w:hAnsi="宋体" w:cs="宋体"/>
                <w:b w:val="0"/>
                <w:bCs/>
                <w:szCs w:val="21"/>
                <w:highlight w:val="none"/>
                <w:lang w:val="en-US" w:eastAsia="zh-CN"/>
              </w:rPr>
              <w:t xml:space="preserve">9 </w:t>
            </w:r>
            <w:r>
              <w:rPr>
                <w:rFonts w:hint="eastAsia" w:ascii="宋体" w:hAnsi="宋体" w:cs="宋体"/>
                <w:b w:val="0"/>
                <w:bCs/>
                <w:szCs w:val="21"/>
                <w:highlight w:val="none"/>
              </w:rPr>
              <w:t>月</w:t>
            </w:r>
            <w:r>
              <w:rPr>
                <w:rFonts w:hint="eastAsia" w:ascii="宋体" w:hAnsi="宋体" w:cs="宋体"/>
                <w:b w:val="0"/>
                <w:bCs/>
                <w:szCs w:val="21"/>
                <w:highlight w:val="none"/>
                <w:lang w:val="en-US" w:eastAsia="zh-CN"/>
              </w:rPr>
              <w:t>18</w:t>
            </w:r>
            <w:r>
              <w:rPr>
                <w:rFonts w:hint="eastAsia" w:ascii="宋体" w:hAnsi="宋体" w:cs="宋体"/>
                <w:b w:val="0"/>
                <w:bCs/>
                <w:szCs w:val="21"/>
                <w:highlight w:val="none"/>
              </w:rPr>
              <w:t>日17时</w:t>
            </w:r>
            <w:r>
              <w:rPr>
                <w:rFonts w:hint="eastAsia" w:ascii="宋体" w:hAnsi="宋体" w:cs="宋体"/>
                <w:kern w:val="0"/>
                <w:szCs w:val="21"/>
                <w:highlight w:val="none"/>
              </w:rPr>
              <w:t>前将疑问内容以电子邮件形式发送至czsctzx@163.com（滁州市城投工程咨询管理有限公司邮箱）</w:t>
            </w:r>
          </w:p>
        </w:tc>
      </w:tr>
      <w:tr w14:paraId="78D33FA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9E16DBC">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CB6CF19">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招标人澄清的时间及方式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04B5D6C9">
            <w:pPr>
              <w:keepNext w:val="0"/>
              <w:keepLines w:val="0"/>
              <w:pageBreakBefore w:val="0"/>
              <w:kinsoku/>
              <w:wordWrap/>
              <w:overflowPunct/>
              <w:autoSpaceDN/>
              <w:bidi w:val="0"/>
              <w:spacing w:line="440" w:lineRule="exact"/>
              <w:textAlignment w:val="auto"/>
              <w:rPr>
                <w:rFonts w:hint="default" w:ascii="宋体" w:hAnsi="宋体" w:cs="宋体"/>
                <w:szCs w:val="21"/>
                <w:highlight w:val="none"/>
                <w:lang w:val="en-US"/>
              </w:rPr>
            </w:pPr>
            <w:r>
              <w:rPr>
                <w:rFonts w:hint="eastAsia" w:ascii="宋体" w:hAnsi="宋体" w:eastAsia="宋体" w:cs="宋体"/>
                <w:b w:val="0"/>
                <w:bCs w:val="0"/>
                <w:color w:val="000000"/>
                <w:kern w:val="2"/>
                <w:sz w:val="21"/>
                <w:szCs w:val="21"/>
                <w:highlight w:val="none"/>
                <w:u w:color="000000"/>
                <w:lang w:val="en-US" w:eastAsia="zh-CN" w:bidi="ar"/>
              </w:rPr>
              <w:t>招标人将在</w:t>
            </w:r>
            <w:r>
              <w:rPr>
                <w:rFonts w:hint="eastAsia" w:ascii="宋体" w:hAnsi="宋体" w:cs="宋体"/>
                <w:b w:val="0"/>
                <w:bCs w:val="0"/>
                <w:color w:val="000000"/>
                <w:kern w:val="2"/>
                <w:sz w:val="21"/>
                <w:szCs w:val="21"/>
                <w:highlight w:val="none"/>
                <w:u w:color="000000"/>
                <w:lang w:val="en-US" w:eastAsia="zh-CN" w:bidi="ar"/>
              </w:rPr>
              <w:t>2024年9</w:t>
            </w:r>
            <w:r>
              <w:rPr>
                <w:rFonts w:hint="eastAsia" w:ascii="宋体" w:hAnsi="宋体" w:eastAsia="宋体" w:cs="宋体"/>
                <w:b w:val="0"/>
                <w:bCs w:val="0"/>
                <w:color w:val="000000"/>
                <w:kern w:val="2"/>
                <w:sz w:val="21"/>
                <w:szCs w:val="21"/>
                <w:highlight w:val="none"/>
                <w:u w:color="000000"/>
                <w:lang w:val="en-US" w:eastAsia="zh-CN" w:bidi="ar"/>
              </w:rPr>
              <w:t>月</w:t>
            </w:r>
            <w:r>
              <w:rPr>
                <w:rFonts w:hint="eastAsia" w:ascii="宋体" w:hAnsi="宋体" w:cs="宋体"/>
                <w:b w:val="0"/>
                <w:bCs w:val="0"/>
                <w:color w:val="000000"/>
                <w:kern w:val="2"/>
                <w:sz w:val="21"/>
                <w:szCs w:val="21"/>
                <w:highlight w:val="none"/>
                <w:u w:color="000000"/>
                <w:lang w:val="en-US" w:eastAsia="zh-CN" w:bidi="ar"/>
              </w:rPr>
              <w:t>19</w:t>
            </w:r>
            <w:r>
              <w:rPr>
                <w:rFonts w:hint="eastAsia" w:ascii="宋体" w:hAnsi="宋体" w:eastAsia="宋体" w:cs="宋体"/>
                <w:b w:val="0"/>
                <w:bCs w:val="0"/>
                <w:color w:val="000000"/>
                <w:kern w:val="2"/>
                <w:sz w:val="21"/>
                <w:szCs w:val="21"/>
                <w:highlight w:val="none"/>
                <w:u w:color="000000"/>
                <w:lang w:val="en-US" w:eastAsia="zh-CN" w:bidi="ar"/>
              </w:rPr>
              <w:t>日17时后以澄清公告形式在</w:t>
            </w:r>
            <w:r>
              <w:rPr>
                <w:rFonts w:hint="eastAsia" w:ascii="宋体" w:hAnsi="宋体" w:cs="宋体"/>
                <w:b w:val="0"/>
                <w:bCs w:val="0"/>
                <w:color w:val="000000"/>
                <w:kern w:val="2"/>
                <w:sz w:val="21"/>
                <w:szCs w:val="21"/>
                <w:highlight w:val="none"/>
                <w:u w:color="000000"/>
                <w:lang w:val="en-US" w:eastAsia="zh-CN" w:bidi="ar"/>
              </w:rPr>
              <w:t>滁州扬子工业投资集团有限公司官网（https://czyzgtjt.com/）、中国扬子集团官网（http://www.yangzigroup.cn/case/jingpinzhuzhai/）发布</w:t>
            </w:r>
          </w:p>
        </w:tc>
      </w:tr>
      <w:tr w14:paraId="4EECF365">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351CC78">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7B9EF07">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偏离</w:t>
            </w:r>
          </w:p>
        </w:tc>
        <w:tc>
          <w:tcPr>
            <w:tcW w:w="7251" w:type="dxa"/>
            <w:tcBorders>
              <w:top w:val="single" w:color="auto" w:sz="4" w:space="0"/>
              <w:left w:val="single" w:color="auto" w:sz="4" w:space="0"/>
              <w:bottom w:val="single" w:color="auto" w:sz="4" w:space="0"/>
              <w:right w:val="single" w:color="auto" w:sz="4" w:space="0"/>
            </w:tcBorders>
            <w:noWrap/>
            <w:vAlign w:val="center"/>
          </w:tcPr>
          <w:p w14:paraId="561A16DA">
            <w:pPr>
              <w:pStyle w:val="19"/>
              <w:keepNext w:val="0"/>
              <w:keepLines w:val="0"/>
              <w:pageBreakBefore w:val="0"/>
              <w:kinsoku/>
              <w:wordWrap/>
              <w:overflowPunct/>
              <w:topLinePunct/>
              <w:autoSpaceDN/>
              <w:bidi w:val="0"/>
              <w:spacing w:line="440" w:lineRule="exact"/>
              <w:textAlignment w:val="auto"/>
              <w:rPr>
                <w:rFonts w:hAnsi="宋体" w:cs="宋体"/>
                <w:sz w:val="21"/>
                <w:szCs w:val="21"/>
                <w:highlight w:val="none"/>
              </w:rPr>
            </w:pPr>
            <w:r>
              <w:rPr>
                <w:rFonts w:hint="eastAsia"/>
                <w:highlight w:val="none"/>
              </w:rPr>
              <w:t>☑</w:t>
            </w:r>
            <w:r>
              <w:rPr>
                <w:rFonts w:hint="eastAsia" w:hAnsi="宋体" w:cs="宋体"/>
                <w:sz w:val="21"/>
                <w:szCs w:val="21"/>
                <w:highlight w:val="none"/>
              </w:rPr>
              <w:t>不允许；□允许</w:t>
            </w:r>
          </w:p>
        </w:tc>
      </w:tr>
      <w:tr w14:paraId="0EB6BEA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D391346">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E20ACCF">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构成招标文件的其他材料</w:t>
            </w:r>
          </w:p>
        </w:tc>
        <w:tc>
          <w:tcPr>
            <w:tcW w:w="7251" w:type="dxa"/>
            <w:tcBorders>
              <w:top w:val="single" w:color="auto" w:sz="4" w:space="0"/>
              <w:left w:val="single" w:color="auto" w:sz="4" w:space="0"/>
              <w:bottom w:val="single" w:color="auto" w:sz="4" w:space="0"/>
              <w:right w:val="single" w:color="auto" w:sz="4" w:space="0"/>
            </w:tcBorders>
            <w:noWrap/>
            <w:vAlign w:val="center"/>
          </w:tcPr>
          <w:p w14:paraId="7E05654C">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szCs w:val="21"/>
                <w:highlight w:val="none"/>
              </w:rPr>
              <w:t>招标澄清答疑文件等。</w:t>
            </w:r>
          </w:p>
        </w:tc>
      </w:tr>
      <w:tr w14:paraId="174B4049">
        <w:tblPrEx>
          <w:tblCellMar>
            <w:top w:w="0" w:type="dxa"/>
            <w:left w:w="108" w:type="dxa"/>
            <w:bottom w:w="0" w:type="dxa"/>
            <w:right w:w="108" w:type="dxa"/>
          </w:tblCellMar>
        </w:tblPrEx>
        <w:trPr>
          <w:trHeight w:val="404"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3396989">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295559D">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投标人要求澄清招标文件的截止时间及方式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7A2AF4D4">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szCs w:val="21"/>
                <w:highlight w:val="none"/>
              </w:rPr>
              <w:t>同本表第13条</w:t>
            </w:r>
          </w:p>
        </w:tc>
      </w:tr>
      <w:tr w14:paraId="582E0F78">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F09E622">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63E654A">
            <w:pPr>
              <w:keepNext w:val="0"/>
              <w:keepLines w:val="0"/>
              <w:pageBreakBefore w:val="0"/>
              <w:kinsoku/>
              <w:wordWrap/>
              <w:overflowPunct/>
              <w:autoSpaceDN/>
              <w:bidi w:val="0"/>
              <w:spacing w:line="44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最高限价（费率）</w:t>
            </w:r>
          </w:p>
        </w:tc>
        <w:tc>
          <w:tcPr>
            <w:tcW w:w="7251" w:type="dxa"/>
            <w:tcBorders>
              <w:top w:val="single" w:color="auto" w:sz="4" w:space="0"/>
              <w:left w:val="single" w:color="auto" w:sz="4" w:space="0"/>
              <w:bottom w:val="single" w:color="auto" w:sz="4" w:space="0"/>
              <w:right w:val="single" w:color="auto" w:sz="4" w:space="0"/>
            </w:tcBorders>
            <w:noWrap/>
            <w:vAlign w:val="center"/>
          </w:tcPr>
          <w:p w14:paraId="46B4BE91">
            <w:pPr>
              <w:keepNext w:val="0"/>
              <w:keepLines w:val="0"/>
              <w:pageBreakBefore w:val="0"/>
              <w:numPr>
                <w:ilvl w:val="0"/>
                <w:numId w:val="1"/>
              </w:numPr>
              <w:kinsoku/>
              <w:wordWrap/>
              <w:overflowPunct/>
              <w:autoSpaceDN/>
              <w:bidi w:val="0"/>
              <w:spacing w:line="440" w:lineRule="exact"/>
              <w:textAlignment w:val="auto"/>
              <w:rPr>
                <w:rFonts w:hint="eastAsia" w:ascii="宋体" w:hAnsi="宋体" w:cs="宋体"/>
                <w:b/>
                <w:bCs/>
                <w:highlight w:val="none"/>
              </w:rPr>
            </w:pPr>
            <w:r>
              <w:rPr>
                <w:rFonts w:hint="eastAsia" w:ascii="宋体" w:hAnsi="宋体" w:cs="宋体"/>
                <w:b/>
                <w:bCs/>
                <w:highlight w:val="none"/>
              </w:rPr>
              <w:t>监理费率：</w:t>
            </w:r>
            <w:r>
              <w:rPr>
                <w:rFonts w:hint="eastAsia" w:ascii="宋体" w:hAnsi="宋体" w:cs="宋体"/>
                <w:b/>
                <w:bCs/>
                <w:highlight w:val="none"/>
                <w:lang w:val="en-US" w:eastAsia="zh-CN"/>
              </w:rPr>
              <w:t>1.0</w:t>
            </w:r>
            <w:r>
              <w:rPr>
                <w:rFonts w:hint="eastAsia" w:ascii="宋体" w:hAnsi="宋体" w:cs="宋体"/>
                <w:b/>
                <w:bCs/>
                <w:highlight w:val="none"/>
              </w:rPr>
              <w:t>%。中标人监理费=工程结算总造价×</w:t>
            </w:r>
            <w:r>
              <w:rPr>
                <w:rFonts w:hint="eastAsia" w:ascii="宋体" w:hAnsi="宋体" w:cs="宋体"/>
                <w:b/>
                <w:bCs/>
                <w:highlight w:val="none"/>
                <w:lang w:val="en-US" w:eastAsia="zh-CN"/>
              </w:rPr>
              <w:t>中标费率</w:t>
            </w:r>
            <w:r>
              <w:rPr>
                <w:rFonts w:hint="eastAsia" w:ascii="宋体" w:hAnsi="宋体" w:cs="宋体"/>
                <w:b/>
                <w:bCs/>
                <w:highlight w:val="none"/>
              </w:rPr>
              <w:t>，中标后的监理费率不做调整</w:t>
            </w:r>
            <w:r>
              <w:rPr>
                <w:rFonts w:hint="eastAsia" w:ascii="宋体" w:hAnsi="宋体" w:cs="宋体"/>
                <w:b/>
                <w:bCs/>
                <w:highlight w:val="none"/>
                <w:lang w:eastAsia="zh-CN"/>
              </w:rPr>
              <w:t>，</w:t>
            </w:r>
            <w:r>
              <w:rPr>
                <w:rFonts w:hint="eastAsia" w:ascii="宋体" w:hAnsi="宋体" w:cs="宋体"/>
                <w:b/>
                <w:bCs/>
                <w:highlight w:val="none"/>
                <w:lang w:val="en-US" w:eastAsia="zh-CN"/>
              </w:rPr>
              <w:t>报价保留两位小数，第三位四舍五入</w:t>
            </w:r>
            <w:r>
              <w:rPr>
                <w:rFonts w:hint="eastAsia" w:ascii="宋体" w:hAnsi="宋体" w:cs="宋体"/>
                <w:b/>
                <w:bCs/>
                <w:highlight w:val="none"/>
              </w:rPr>
              <w:t>。</w:t>
            </w:r>
          </w:p>
          <w:p w14:paraId="61DE04EF">
            <w:pPr>
              <w:keepNext w:val="0"/>
              <w:keepLines w:val="0"/>
              <w:pageBreakBefore w:val="0"/>
              <w:numPr>
                <w:ilvl w:val="0"/>
                <w:numId w:val="1"/>
              </w:numPr>
              <w:kinsoku/>
              <w:wordWrap/>
              <w:overflowPunct/>
              <w:autoSpaceDN/>
              <w:bidi w:val="0"/>
              <w:spacing w:line="440" w:lineRule="exact"/>
              <w:ind w:left="0" w:leftChars="0" w:firstLine="0" w:firstLineChars="0"/>
              <w:textAlignment w:val="auto"/>
              <w:rPr>
                <w:rFonts w:hint="eastAsia" w:ascii="宋体" w:hAnsi="宋体" w:cs="宋体"/>
                <w:b/>
                <w:bCs/>
                <w:highlight w:val="none"/>
              </w:rPr>
            </w:pPr>
            <w:r>
              <w:rPr>
                <w:rFonts w:hint="eastAsia" w:ascii="宋体" w:hAnsi="宋体" w:cs="宋体"/>
                <w:b/>
                <w:bCs/>
                <w:highlight w:val="none"/>
                <w:lang w:val="en-US" w:eastAsia="zh-CN"/>
              </w:rPr>
              <w:t>超过</w:t>
            </w:r>
            <w:r>
              <w:rPr>
                <w:rFonts w:hint="eastAsia" w:ascii="宋体" w:hAnsi="宋体" w:cs="宋体"/>
                <w:b/>
                <w:bCs/>
                <w:highlight w:val="none"/>
              </w:rPr>
              <w:t>最高限价的为无效报价，作无效标处理否则。</w:t>
            </w:r>
          </w:p>
          <w:p w14:paraId="3780B7B8">
            <w:pPr>
              <w:keepNext w:val="0"/>
              <w:keepLines w:val="0"/>
              <w:pageBreakBefore w:val="0"/>
              <w:kinsoku/>
              <w:wordWrap/>
              <w:overflowPunct/>
              <w:autoSpaceDE/>
              <w:autoSpaceDN/>
              <w:bidi w:val="0"/>
              <w:spacing w:line="440" w:lineRule="exact"/>
              <w:ind w:left="15" w:hanging="15" w:hangingChars="7"/>
              <w:textAlignment w:val="auto"/>
              <w:rPr>
                <w:rFonts w:hint="eastAsia" w:ascii="宋体" w:hAnsi="宋体" w:cs="宋体"/>
                <w:b/>
                <w:bCs/>
                <w:color w:val="auto"/>
                <w:sz w:val="21"/>
                <w:szCs w:val="21"/>
                <w:highlight w:val="none"/>
              </w:rPr>
            </w:pPr>
            <w:r>
              <w:rPr>
                <w:rFonts w:hint="eastAsia" w:ascii="宋体" w:hAnsi="宋体" w:cs="宋体"/>
                <w:b/>
                <w:bCs/>
                <w:color w:val="auto"/>
                <w:sz w:val="21"/>
                <w:szCs w:val="21"/>
                <w:highlight w:val="none"/>
              </w:rPr>
              <w:t>注：投标报价费率要求精确到小数点后第二位，</w:t>
            </w:r>
            <w:r>
              <w:rPr>
                <w:rFonts w:hint="eastAsia" w:ascii="宋体" w:hAnsi="宋体" w:cs="宋体"/>
                <w:b/>
                <w:color w:val="auto"/>
                <w:sz w:val="21"/>
                <w:szCs w:val="21"/>
                <w:highlight w:val="none"/>
              </w:rPr>
              <w:t>如填报多位小数的，按小数点后第3位四舍五入修正投标报价费率（如：某投标报价费率为0.785%，则修正为0.79%；某投标报价费率为</w:t>
            </w:r>
            <w:r>
              <w:rPr>
                <w:rFonts w:hint="eastAsia" w:ascii="宋体" w:hAnsi="宋体" w:cs="宋体"/>
                <w:b/>
                <w:color w:val="auto"/>
                <w:sz w:val="21"/>
                <w:szCs w:val="21"/>
                <w:highlight w:val="none"/>
                <w:lang w:val="en-US" w:eastAsia="zh-CN"/>
              </w:rPr>
              <w:t>0</w:t>
            </w:r>
            <w:r>
              <w:rPr>
                <w:rFonts w:hint="eastAsia" w:ascii="宋体" w:hAnsi="宋体" w:cs="宋体"/>
                <w:b/>
                <w:color w:val="auto"/>
                <w:sz w:val="21"/>
                <w:szCs w:val="21"/>
                <w:highlight w:val="none"/>
              </w:rPr>
              <w:t>.784%，则修正为</w:t>
            </w:r>
            <w:r>
              <w:rPr>
                <w:rFonts w:hint="eastAsia" w:ascii="宋体" w:hAnsi="宋体" w:cs="宋体"/>
                <w:b/>
                <w:color w:val="auto"/>
                <w:sz w:val="21"/>
                <w:szCs w:val="21"/>
                <w:highlight w:val="none"/>
                <w:lang w:val="en-US" w:eastAsia="zh-CN"/>
              </w:rPr>
              <w:t>0</w:t>
            </w:r>
            <w:r>
              <w:rPr>
                <w:rFonts w:hint="eastAsia" w:ascii="宋体" w:hAnsi="宋体" w:cs="宋体"/>
                <w:b/>
                <w:color w:val="auto"/>
                <w:sz w:val="21"/>
                <w:szCs w:val="21"/>
                <w:highlight w:val="none"/>
              </w:rPr>
              <w:t>.78%）</w:t>
            </w:r>
            <w:r>
              <w:rPr>
                <w:rFonts w:hint="eastAsia" w:ascii="宋体" w:hAnsi="宋体" w:cs="宋体"/>
                <w:b/>
                <w:color w:val="auto"/>
                <w:sz w:val="21"/>
                <w:szCs w:val="21"/>
                <w:highlight w:val="none"/>
                <w:lang w:eastAsia="zh-CN"/>
              </w:rPr>
              <w:t>。</w:t>
            </w:r>
          </w:p>
          <w:p w14:paraId="7F599EF5">
            <w:pPr>
              <w:pStyle w:val="7"/>
              <w:pageBreakBefore w:val="0"/>
              <w:numPr>
                <w:ilvl w:val="0"/>
                <w:numId w:val="1"/>
              </w:numPr>
              <w:kinsoku/>
              <w:wordWrap/>
              <w:overflowPunct/>
              <w:autoSpaceDN/>
              <w:bidi w:val="0"/>
              <w:spacing w:line="440" w:lineRule="exact"/>
              <w:ind w:left="0" w:leftChars="0" w:firstLine="0" w:firstLineChars="0"/>
              <w:textAlignment w:val="auto"/>
              <w:rPr>
                <w:rFonts w:hint="eastAsia" w:ascii="宋体" w:hAnsi="宋体" w:eastAsia="宋体" w:cs="宋体"/>
                <w:b/>
                <w:bCs/>
                <w:kern w:val="2"/>
                <w:sz w:val="21"/>
                <w:szCs w:val="21"/>
                <w:highlight w:val="none"/>
                <w:lang w:val="en-US" w:eastAsia="zh-CN" w:bidi="ar-SA"/>
              </w:rPr>
            </w:pPr>
            <w:r>
              <w:rPr>
                <w:rFonts w:hint="eastAsia" w:ascii="宋体" w:hAnsi="宋体" w:eastAsia="宋体" w:cs="宋体"/>
                <w:b/>
                <w:bCs/>
                <w:kern w:val="2"/>
                <w:sz w:val="21"/>
                <w:szCs w:val="21"/>
                <w:highlight w:val="none"/>
                <w:lang w:val="en-US" w:eastAsia="zh-CN" w:bidi="ar-SA"/>
              </w:rPr>
              <w:t>本项目采用固定费率报价，不因任何原因（含不可抗力）作任何调整（税率调整除外）。报酬中含监理和服务该工程而发生的一切税费。</w:t>
            </w:r>
          </w:p>
          <w:p w14:paraId="7BC70076">
            <w:pPr>
              <w:numPr>
                <w:ilvl w:val="0"/>
                <w:numId w:val="1"/>
              </w:numPr>
              <w:ind w:left="0" w:leftChars="0" w:firstLine="0" w:firstLineChars="0"/>
              <w:rPr>
                <w:rFonts w:hint="eastAsia"/>
                <w:lang w:eastAsia="zh-CN"/>
              </w:rPr>
            </w:pPr>
            <w:r>
              <w:rPr>
                <w:rFonts w:hint="eastAsia" w:ascii="宋体" w:hAnsi="宋体" w:eastAsia="宋体" w:cs="宋体"/>
                <w:b/>
                <w:bCs/>
                <w:kern w:val="2"/>
                <w:sz w:val="21"/>
                <w:szCs w:val="21"/>
                <w:highlight w:val="none"/>
                <w:lang w:val="en-US" w:eastAsia="zh-CN" w:bidi="ar-SA"/>
              </w:rPr>
              <w:t>本项目需开具增值税专用发票</w:t>
            </w:r>
            <w:r>
              <w:rPr>
                <w:rFonts w:hint="eastAsia" w:ascii="宋体" w:hAnsi="宋体" w:cs="宋体"/>
                <w:b/>
                <w:bCs/>
                <w:kern w:val="2"/>
                <w:sz w:val="21"/>
                <w:szCs w:val="21"/>
                <w:highlight w:val="none"/>
                <w:lang w:val="en-US" w:eastAsia="zh-CN" w:bidi="ar-SA"/>
              </w:rPr>
              <w:t>。</w:t>
            </w:r>
          </w:p>
        </w:tc>
      </w:tr>
      <w:tr w14:paraId="01B0D0E1">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5645EA0">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19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775676E">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投标有效期</w:t>
            </w:r>
          </w:p>
        </w:tc>
        <w:tc>
          <w:tcPr>
            <w:tcW w:w="7251" w:type="dxa"/>
            <w:tcBorders>
              <w:top w:val="single" w:color="auto" w:sz="4" w:space="0"/>
              <w:left w:val="single" w:color="auto" w:sz="4" w:space="0"/>
              <w:bottom w:val="single" w:color="auto" w:sz="4" w:space="0"/>
              <w:right w:val="single" w:color="auto" w:sz="4" w:space="0"/>
            </w:tcBorders>
            <w:noWrap/>
            <w:vAlign w:val="center"/>
          </w:tcPr>
          <w:p w14:paraId="00189671">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szCs w:val="21"/>
                <w:highlight w:val="none"/>
              </w:rPr>
              <w:t>投标有效期为</w:t>
            </w:r>
            <w:r>
              <w:rPr>
                <w:rFonts w:hint="eastAsia" w:ascii="宋体" w:hAnsi="宋体" w:cs="宋体"/>
                <w:szCs w:val="21"/>
                <w:highlight w:val="none"/>
                <w:u w:val="single"/>
              </w:rPr>
              <w:t>90</w:t>
            </w:r>
            <w:r>
              <w:rPr>
                <w:rFonts w:hint="eastAsia" w:ascii="宋体" w:hAnsi="宋体" w:cs="宋体"/>
                <w:szCs w:val="21"/>
                <w:highlight w:val="none"/>
              </w:rPr>
              <w:t>日历天（从投标截止之日算起）。在此期限内，凡符合本招标文件要求的投标文件均保持有效。</w:t>
            </w:r>
          </w:p>
        </w:tc>
      </w:tr>
      <w:tr w14:paraId="48F93017">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3419775">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20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D0238D7">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投标保证金</w:t>
            </w:r>
          </w:p>
        </w:tc>
        <w:tc>
          <w:tcPr>
            <w:tcW w:w="7251" w:type="dxa"/>
            <w:tcBorders>
              <w:top w:val="single" w:color="auto" w:sz="4" w:space="0"/>
              <w:left w:val="single" w:color="auto" w:sz="4" w:space="0"/>
              <w:bottom w:val="single" w:color="auto" w:sz="4" w:space="0"/>
              <w:right w:val="single" w:color="auto" w:sz="4" w:space="0"/>
            </w:tcBorders>
            <w:noWrap/>
            <w:vAlign w:val="center"/>
          </w:tcPr>
          <w:p w14:paraId="3BC92227">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szCs w:val="21"/>
                <w:highlight w:val="none"/>
              </w:rPr>
              <w:t>详见招标公告信息</w:t>
            </w:r>
          </w:p>
        </w:tc>
      </w:tr>
      <w:tr w14:paraId="5F587FB5">
        <w:tblPrEx>
          <w:tblCellMar>
            <w:top w:w="0" w:type="dxa"/>
            <w:left w:w="108" w:type="dxa"/>
            <w:bottom w:w="0" w:type="dxa"/>
            <w:right w:w="108" w:type="dxa"/>
          </w:tblCellMar>
        </w:tblPrEx>
        <w:trPr>
          <w:trHeight w:val="52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1F31FDB3">
            <w:pPr>
              <w:keepNext w:val="0"/>
              <w:keepLines w:val="0"/>
              <w:pageBreakBefore w:val="0"/>
              <w:kinsoku/>
              <w:wordWrap/>
              <w:overflowPunct/>
              <w:autoSpaceDN/>
              <w:bidi w:val="0"/>
              <w:spacing w:line="44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C9D1F8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Theme="majorEastAsia" w:hAnsiTheme="majorEastAsia" w:eastAsiaTheme="majorEastAsia" w:cstheme="majorEastAsia"/>
                <w:color w:val="auto"/>
                <w:szCs w:val="21"/>
                <w:highlight w:val="none"/>
              </w:rPr>
              <w:t>投标文件</w:t>
            </w:r>
            <w:r>
              <w:rPr>
                <w:rFonts w:hint="eastAsia" w:asciiTheme="majorEastAsia" w:hAnsiTheme="majorEastAsia" w:eastAsiaTheme="majorEastAsia" w:cstheme="majorEastAsia"/>
                <w:color w:val="auto"/>
                <w:szCs w:val="21"/>
                <w:highlight w:val="none"/>
                <w:lang w:val="en-US" w:eastAsia="zh-CN"/>
              </w:rPr>
              <w:t>份数</w:t>
            </w:r>
          </w:p>
        </w:tc>
        <w:tc>
          <w:tcPr>
            <w:tcW w:w="7251" w:type="dxa"/>
            <w:tcBorders>
              <w:top w:val="single" w:color="auto" w:sz="4" w:space="0"/>
              <w:left w:val="single" w:color="auto" w:sz="4" w:space="0"/>
              <w:bottom w:val="single" w:color="auto" w:sz="4" w:space="0"/>
              <w:right w:val="single" w:color="auto" w:sz="4" w:space="0"/>
            </w:tcBorders>
            <w:noWrap/>
            <w:vAlign w:val="center"/>
          </w:tcPr>
          <w:p w14:paraId="28C4256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left"/>
              <w:textAlignment w:val="auto"/>
              <w:rPr>
                <w:rFonts w:hint="eastAsia" w:ascii="宋体" w:hAnsi="宋体" w:cs="宋体"/>
                <w:szCs w:val="21"/>
                <w:highlight w:val="none"/>
              </w:rPr>
            </w:pPr>
            <w:r>
              <w:rPr>
                <w:rFonts w:hint="eastAsia" w:asciiTheme="majorEastAsia" w:hAnsiTheme="majorEastAsia" w:eastAsiaTheme="majorEastAsia" w:cstheme="majorEastAsia"/>
                <w:color w:val="auto"/>
                <w:szCs w:val="21"/>
                <w:highlight w:val="none"/>
              </w:rPr>
              <w:t>正本一份，副本二份。密封后递交。</w:t>
            </w:r>
          </w:p>
        </w:tc>
      </w:tr>
      <w:tr w14:paraId="754B5730">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9110AB6">
            <w:pPr>
              <w:keepNext w:val="0"/>
              <w:keepLines w:val="0"/>
              <w:pageBreakBefore w:val="0"/>
              <w:kinsoku/>
              <w:wordWrap/>
              <w:overflowPunct/>
              <w:autoSpaceDN/>
              <w:bidi w:val="0"/>
              <w:spacing w:line="44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85232E3">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签字或盖章要求</w:t>
            </w:r>
          </w:p>
        </w:tc>
        <w:tc>
          <w:tcPr>
            <w:tcW w:w="7251" w:type="dxa"/>
            <w:tcBorders>
              <w:top w:val="single" w:color="auto" w:sz="4" w:space="0"/>
              <w:left w:val="single" w:color="auto" w:sz="4" w:space="0"/>
              <w:bottom w:val="single" w:color="auto" w:sz="4" w:space="0"/>
              <w:right w:val="single" w:color="auto" w:sz="4" w:space="0"/>
            </w:tcBorders>
            <w:noWrap/>
            <w:vAlign w:val="center"/>
          </w:tcPr>
          <w:p w14:paraId="4C07FB03">
            <w:pPr>
              <w:keepNext w:val="0"/>
              <w:keepLines w:val="0"/>
              <w:pageBreakBefore w:val="0"/>
              <w:kinsoku/>
              <w:wordWrap/>
              <w:overflowPunct/>
              <w:autoSpaceDN/>
              <w:bidi w:val="0"/>
              <w:spacing w:line="440" w:lineRule="exact"/>
              <w:textAlignment w:val="auto"/>
              <w:rPr>
                <w:rFonts w:ascii="宋体" w:hAnsi="宋体" w:cs="宋体"/>
                <w:szCs w:val="21"/>
                <w:highlight w:val="none"/>
              </w:rPr>
            </w:pPr>
            <w:r>
              <w:rPr>
                <w:rFonts w:hint="eastAsia" w:ascii="宋体" w:hAnsi="宋体" w:cs="宋体"/>
                <w:szCs w:val="21"/>
              </w:rPr>
              <w:t>投标文件须按格式文件要求签字或盖章。否则经评委会一致认定后，按照无效投标处理。</w:t>
            </w:r>
          </w:p>
        </w:tc>
      </w:tr>
      <w:tr w14:paraId="3C553889">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4E2EBE6">
            <w:pPr>
              <w:keepNext w:val="0"/>
              <w:keepLines w:val="0"/>
              <w:pageBreakBefore w:val="0"/>
              <w:kinsoku/>
              <w:wordWrap/>
              <w:overflowPunct/>
              <w:autoSpaceDN/>
              <w:bidi w:val="0"/>
              <w:spacing w:line="440" w:lineRule="exact"/>
              <w:jc w:val="center"/>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23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7C95EFE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Theme="majorEastAsia" w:hAnsiTheme="majorEastAsia" w:eastAsiaTheme="majorEastAsia" w:cstheme="majorEastAsia"/>
                <w:color w:val="auto"/>
                <w:szCs w:val="21"/>
                <w:highlight w:val="none"/>
              </w:rPr>
              <w:t>投标文件封套上应载明的信息</w:t>
            </w:r>
          </w:p>
        </w:tc>
        <w:tc>
          <w:tcPr>
            <w:tcW w:w="7251" w:type="dxa"/>
            <w:tcBorders>
              <w:top w:val="single" w:color="auto" w:sz="4" w:space="0"/>
              <w:left w:val="single" w:color="auto" w:sz="4" w:space="0"/>
              <w:bottom w:val="single" w:color="auto" w:sz="4" w:space="0"/>
              <w:right w:val="single" w:color="auto" w:sz="4" w:space="0"/>
            </w:tcBorders>
            <w:noWrap/>
            <w:vAlign w:val="center"/>
          </w:tcPr>
          <w:p w14:paraId="28F2AC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投标人地址：</w:t>
            </w:r>
          </w:p>
          <w:p w14:paraId="23E908C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投标人名称：</w:t>
            </w:r>
          </w:p>
          <w:p w14:paraId="54255B4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u w:val="single"/>
              </w:rPr>
              <w:t xml:space="preserve">                   </w:t>
            </w:r>
            <w:r>
              <w:rPr>
                <w:rFonts w:hint="eastAsia" w:asciiTheme="majorEastAsia" w:hAnsiTheme="majorEastAsia" w:eastAsiaTheme="majorEastAsia" w:cstheme="majorEastAsia"/>
                <w:color w:val="auto"/>
                <w:szCs w:val="21"/>
                <w:highlight w:val="none"/>
              </w:rPr>
              <w:t>（项目名称）投标文件</w:t>
            </w:r>
          </w:p>
          <w:p w14:paraId="54337B2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textAlignment w:val="auto"/>
              <w:rPr>
                <w:rFonts w:hint="eastAsia" w:ascii="宋体" w:hAnsi="宋体" w:cs="宋体"/>
                <w:szCs w:val="21"/>
              </w:rPr>
            </w:pPr>
            <w:r>
              <w:rPr>
                <w:rFonts w:hint="eastAsia" w:asciiTheme="majorEastAsia" w:hAnsiTheme="majorEastAsia" w:eastAsiaTheme="majorEastAsia" w:cstheme="majorEastAsia"/>
                <w:color w:val="auto"/>
                <w:szCs w:val="21"/>
                <w:highlight w:val="none"/>
              </w:rPr>
              <w:t>在</w:t>
            </w:r>
            <w:r>
              <w:rPr>
                <w:rFonts w:hint="eastAsia" w:asciiTheme="majorEastAsia" w:hAnsiTheme="majorEastAsia" w:eastAsiaTheme="majorEastAsia" w:cstheme="majorEastAsia"/>
                <w:color w:val="auto"/>
                <w:szCs w:val="21"/>
                <w:highlight w:val="none"/>
                <w:u w:val="single"/>
              </w:rPr>
              <w:t xml:space="preserve"> </w:t>
            </w:r>
            <w:r>
              <w:rPr>
                <w:rFonts w:hint="eastAsia" w:asciiTheme="majorEastAsia" w:hAnsiTheme="majorEastAsia" w:eastAsiaTheme="majorEastAsia" w:cstheme="majorEastAsia"/>
                <w:color w:val="auto"/>
                <w:szCs w:val="21"/>
                <w:highlight w:val="none"/>
                <w:u w:val="single"/>
                <w:lang w:eastAsia="zh-CN"/>
              </w:rPr>
              <w:t>2024年</w:t>
            </w:r>
            <w:r>
              <w:rPr>
                <w:rFonts w:hint="eastAsia" w:asciiTheme="majorEastAsia" w:hAnsiTheme="majorEastAsia" w:eastAsiaTheme="majorEastAsia" w:cstheme="majorEastAsia"/>
                <w:color w:val="auto"/>
                <w:szCs w:val="21"/>
                <w:highlight w:val="none"/>
                <w:u w:val="single"/>
                <w:lang w:val="en-US" w:eastAsia="zh-CN"/>
              </w:rPr>
              <w:t xml:space="preserve"> 9 </w:t>
            </w:r>
            <w:r>
              <w:rPr>
                <w:rFonts w:hint="eastAsia" w:asciiTheme="majorEastAsia" w:hAnsiTheme="majorEastAsia" w:eastAsiaTheme="majorEastAsia" w:cstheme="majorEastAsia"/>
                <w:color w:val="auto"/>
                <w:szCs w:val="21"/>
                <w:highlight w:val="none"/>
                <w:u w:val="single"/>
                <w:lang w:eastAsia="zh-CN"/>
              </w:rPr>
              <w:t>月</w:t>
            </w:r>
            <w:r>
              <w:rPr>
                <w:rFonts w:hint="eastAsia" w:asciiTheme="majorEastAsia" w:hAnsiTheme="majorEastAsia" w:eastAsiaTheme="majorEastAsia" w:cstheme="majorEastAsia"/>
                <w:color w:val="auto"/>
                <w:szCs w:val="21"/>
                <w:highlight w:val="none"/>
                <w:u w:val="single"/>
                <w:lang w:val="en-US" w:eastAsia="zh-CN"/>
              </w:rPr>
              <w:t xml:space="preserve"> 25 </w:t>
            </w:r>
            <w:r>
              <w:rPr>
                <w:rFonts w:hint="eastAsia" w:asciiTheme="majorEastAsia" w:hAnsiTheme="majorEastAsia" w:eastAsiaTheme="majorEastAsia" w:cstheme="majorEastAsia"/>
                <w:color w:val="auto"/>
                <w:szCs w:val="21"/>
                <w:highlight w:val="none"/>
                <w:u w:val="single"/>
                <w:lang w:eastAsia="zh-CN"/>
              </w:rPr>
              <w:t>日</w:t>
            </w:r>
            <w:r>
              <w:rPr>
                <w:rFonts w:hint="eastAsia" w:asciiTheme="majorEastAsia" w:hAnsiTheme="majorEastAsia" w:eastAsiaTheme="majorEastAsia" w:cstheme="majorEastAsia"/>
                <w:color w:val="auto"/>
                <w:szCs w:val="21"/>
                <w:highlight w:val="none"/>
                <w:u w:val="single"/>
                <w:lang w:val="en-US" w:eastAsia="zh-CN"/>
              </w:rPr>
              <w:t>15</w:t>
            </w:r>
            <w:r>
              <w:rPr>
                <w:rFonts w:hint="eastAsia" w:asciiTheme="majorEastAsia" w:hAnsiTheme="majorEastAsia" w:eastAsiaTheme="majorEastAsia" w:cstheme="majorEastAsia"/>
                <w:color w:val="auto"/>
                <w:szCs w:val="21"/>
                <w:highlight w:val="none"/>
                <w:u w:val="single"/>
              </w:rPr>
              <w:t>时</w:t>
            </w:r>
            <w:r>
              <w:rPr>
                <w:rFonts w:hint="eastAsia" w:asciiTheme="majorEastAsia" w:hAnsiTheme="majorEastAsia" w:eastAsiaTheme="majorEastAsia" w:cstheme="majorEastAsia"/>
                <w:color w:val="auto"/>
                <w:szCs w:val="21"/>
                <w:highlight w:val="none"/>
                <w:u w:val="single"/>
                <w:lang w:val="en-US" w:eastAsia="zh-CN"/>
              </w:rPr>
              <w:t>00</w:t>
            </w:r>
            <w:r>
              <w:rPr>
                <w:rFonts w:hint="eastAsia" w:asciiTheme="majorEastAsia" w:hAnsiTheme="majorEastAsia" w:eastAsiaTheme="majorEastAsia" w:cstheme="majorEastAsia"/>
                <w:color w:val="auto"/>
                <w:szCs w:val="21"/>
                <w:highlight w:val="none"/>
                <w:u w:val="single"/>
              </w:rPr>
              <w:t>分</w:t>
            </w:r>
            <w:r>
              <w:rPr>
                <w:rFonts w:hint="eastAsia" w:asciiTheme="majorEastAsia" w:hAnsiTheme="majorEastAsia" w:eastAsiaTheme="majorEastAsia" w:cstheme="majorEastAsia"/>
                <w:color w:val="auto"/>
                <w:szCs w:val="21"/>
                <w:highlight w:val="none"/>
              </w:rPr>
              <w:t>前不得开启</w:t>
            </w:r>
          </w:p>
        </w:tc>
      </w:tr>
      <w:tr w14:paraId="3D1B0C17">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2879C20">
            <w:pPr>
              <w:keepNext w:val="0"/>
              <w:keepLines w:val="0"/>
              <w:pageBreakBefore w:val="0"/>
              <w:kinsoku/>
              <w:wordWrap/>
              <w:overflowPunct/>
              <w:autoSpaceDN/>
              <w:bidi w:val="0"/>
              <w:spacing w:line="440" w:lineRule="exact"/>
              <w:jc w:val="center"/>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24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FE738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Theme="majorEastAsia" w:hAnsiTheme="majorEastAsia" w:eastAsiaTheme="majorEastAsia" w:cstheme="majorEastAsia"/>
                <w:color w:val="auto"/>
                <w:sz w:val="21"/>
                <w:szCs w:val="21"/>
                <w:highlight w:val="none"/>
              </w:rPr>
              <w:t>投标文件提交截止时间</w:t>
            </w:r>
          </w:p>
        </w:tc>
        <w:tc>
          <w:tcPr>
            <w:tcW w:w="7251" w:type="dxa"/>
            <w:tcBorders>
              <w:top w:val="single" w:color="auto" w:sz="4" w:space="0"/>
              <w:left w:val="single" w:color="auto" w:sz="4" w:space="0"/>
              <w:bottom w:val="single" w:color="auto" w:sz="4" w:space="0"/>
              <w:right w:val="single" w:color="auto" w:sz="4" w:space="0"/>
            </w:tcBorders>
            <w:noWrap/>
            <w:vAlign w:val="center"/>
          </w:tcPr>
          <w:p w14:paraId="448A1FB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firstLine="18" w:firstLineChars="9"/>
              <w:textAlignment w:val="auto"/>
              <w:rPr>
                <w:rFonts w:hint="eastAsia" w:ascii="宋体" w:hAnsi="宋体" w:cs="宋体"/>
                <w:szCs w:val="21"/>
              </w:rPr>
            </w:pPr>
            <w:r>
              <w:rPr>
                <w:rFonts w:hint="eastAsia" w:asciiTheme="majorEastAsia" w:hAnsiTheme="majorEastAsia" w:eastAsiaTheme="majorEastAsia" w:cstheme="majorEastAsia"/>
                <w:color w:val="auto"/>
                <w:szCs w:val="21"/>
                <w:highlight w:val="none"/>
              </w:rPr>
              <w:t>在</w:t>
            </w:r>
            <w:r>
              <w:rPr>
                <w:rFonts w:hint="eastAsia" w:asciiTheme="majorEastAsia" w:hAnsiTheme="majorEastAsia" w:eastAsiaTheme="majorEastAsia" w:cstheme="majorEastAsia"/>
                <w:color w:val="auto"/>
                <w:szCs w:val="21"/>
                <w:highlight w:val="none"/>
                <w:u w:val="single"/>
              </w:rPr>
              <w:t xml:space="preserve"> </w:t>
            </w:r>
            <w:r>
              <w:rPr>
                <w:rFonts w:hint="eastAsia" w:asciiTheme="majorEastAsia" w:hAnsiTheme="majorEastAsia" w:eastAsiaTheme="majorEastAsia" w:cstheme="majorEastAsia"/>
                <w:color w:val="auto"/>
                <w:szCs w:val="21"/>
                <w:highlight w:val="none"/>
                <w:u w:val="single"/>
                <w:lang w:eastAsia="zh-CN"/>
              </w:rPr>
              <w:t>2024年</w:t>
            </w:r>
            <w:r>
              <w:rPr>
                <w:rFonts w:hint="eastAsia" w:asciiTheme="majorEastAsia" w:hAnsiTheme="majorEastAsia" w:eastAsiaTheme="majorEastAsia" w:cstheme="majorEastAsia"/>
                <w:color w:val="auto"/>
                <w:szCs w:val="21"/>
                <w:highlight w:val="none"/>
                <w:u w:val="single"/>
                <w:lang w:val="en-US" w:eastAsia="zh-CN"/>
              </w:rPr>
              <w:t xml:space="preserve"> 9 </w:t>
            </w:r>
            <w:r>
              <w:rPr>
                <w:rFonts w:hint="eastAsia" w:asciiTheme="majorEastAsia" w:hAnsiTheme="majorEastAsia" w:eastAsiaTheme="majorEastAsia" w:cstheme="majorEastAsia"/>
                <w:color w:val="auto"/>
                <w:szCs w:val="21"/>
                <w:highlight w:val="none"/>
                <w:u w:val="single"/>
                <w:lang w:eastAsia="zh-CN"/>
              </w:rPr>
              <w:t>月</w:t>
            </w:r>
            <w:r>
              <w:rPr>
                <w:rFonts w:hint="eastAsia" w:asciiTheme="majorEastAsia" w:hAnsiTheme="majorEastAsia" w:eastAsiaTheme="majorEastAsia" w:cstheme="majorEastAsia"/>
                <w:color w:val="auto"/>
                <w:szCs w:val="21"/>
                <w:highlight w:val="none"/>
                <w:u w:val="single"/>
                <w:lang w:val="en-US" w:eastAsia="zh-CN"/>
              </w:rPr>
              <w:t xml:space="preserve"> 25 </w:t>
            </w:r>
            <w:r>
              <w:rPr>
                <w:rFonts w:hint="eastAsia" w:asciiTheme="majorEastAsia" w:hAnsiTheme="majorEastAsia" w:eastAsiaTheme="majorEastAsia" w:cstheme="majorEastAsia"/>
                <w:color w:val="auto"/>
                <w:szCs w:val="21"/>
                <w:highlight w:val="none"/>
                <w:u w:val="single"/>
                <w:lang w:eastAsia="zh-CN"/>
              </w:rPr>
              <w:t>日</w:t>
            </w:r>
            <w:r>
              <w:rPr>
                <w:rFonts w:hint="eastAsia" w:asciiTheme="majorEastAsia" w:hAnsiTheme="majorEastAsia" w:eastAsiaTheme="majorEastAsia" w:cstheme="majorEastAsia"/>
                <w:color w:val="auto"/>
                <w:szCs w:val="21"/>
                <w:highlight w:val="none"/>
                <w:u w:val="single"/>
                <w:lang w:val="en-US" w:eastAsia="zh-CN"/>
              </w:rPr>
              <w:t>15</w:t>
            </w:r>
            <w:r>
              <w:rPr>
                <w:rFonts w:hint="eastAsia" w:asciiTheme="majorEastAsia" w:hAnsiTheme="majorEastAsia" w:eastAsiaTheme="majorEastAsia" w:cstheme="majorEastAsia"/>
                <w:color w:val="auto"/>
                <w:szCs w:val="21"/>
                <w:highlight w:val="none"/>
                <w:u w:val="single"/>
              </w:rPr>
              <w:t>时00分</w:t>
            </w:r>
            <w:r>
              <w:rPr>
                <w:rFonts w:hint="eastAsia" w:asciiTheme="majorEastAsia" w:hAnsiTheme="majorEastAsia" w:eastAsiaTheme="majorEastAsia" w:cstheme="majorEastAsia"/>
                <w:bCs/>
                <w:color w:val="auto"/>
                <w:spacing w:val="-4"/>
                <w:kern w:val="0"/>
                <w:szCs w:val="21"/>
                <w:highlight w:val="none"/>
              </w:rPr>
              <w:t>（北京时间）</w:t>
            </w:r>
          </w:p>
        </w:tc>
      </w:tr>
      <w:tr w14:paraId="72A93358">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6F211C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szCs w:val="21"/>
                <w:highlight w:val="none"/>
                <w:lang w:val="en-US"/>
              </w:rPr>
            </w:pPr>
            <w:r>
              <w:rPr>
                <w:rFonts w:hint="eastAsia" w:ascii="宋体" w:hAnsi="宋体" w:cs="宋体"/>
                <w:kern w:val="2"/>
                <w:highlight w:val="none"/>
                <w:lang w:val="en-US" w:eastAsia="zh-CN"/>
              </w:rPr>
              <w:t>25</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3F8054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Theme="majorEastAsia" w:hAnsiTheme="majorEastAsia" w:eastAsiaTheme="majorEastAsia" w:cstheme="majorEastAsia"/>
                <w:color w:val="auto"/>
                <w:szCs w:val="21"/>
                <w:highlight w:val="none"/>
              </w:rPr>
              <w:t>递交投标文件地点</w:t>
            </w:r>
          </w:p>
        </w:tc>
        <w:tc>
          <w:tcPr>
            <w:tcW w:w="7251" w:type="dxa"/>
            <w:tcBorders>
              <w:top w:val="single" w:color="auto" w:sz="4" w:space="0"/>
              <w:left w:val="single" w:color="auto" w:sz="4" w:space="0"/>
              <w:bottom w:val="single" w:color="auto" w:sz="4" w:space="0"/>
              <w:right w:val="single" w:color="auto" w:sz="4" w:space="0"/>
            </w:tcBorders>
            <w:noWrap/>
            <w:vAlign w:val="center"/>
          </w:tcPr>
          <w:p w14:paraId="4E78234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Cs w:val="21"/>
                <w:highlight w:val="none"/>
                <w:lang w:val="en-US" w:eastAsia="zh-CN"/>
              </w:rPr>
              <w:t>滁州市城投大厦（滁州市醉翁路与中都大道交叉口西南侧)13楼1310室</w:t>
            </w:r>
          </w:p>
        </w:tc>
      </w:tr>
      <w:tr w14:paraId="598966B0">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45E2397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szCs w:val="21"/>
                <w:highlight w:val="none"/>
                <w:lang w:val="en-US"/>
              </w:rPr>
            </w:pPr>
            <w:r>
              <w:rPr>
                <w:rFonts w:hint="eastAsia" w:ascii="宋体" w:hAnsi="宋体" w:cs="宋体"/>
                <w:kern w:val="2"/>
                <w:highlight w:val="none"/>
                <w:lang w:val="en-US" w:eastAsia="zh-CN"/>
              </w:rPr>
              <w:t>26</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D368CD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7251" w:type="dxa"/>
            <w:tcBorders>
              <w:top w:val="single" w:color="auto" w:sz="4" w:space="0"/>
              <w:left w:val="single" w:color="auto" w:sz="4" w:space="0"/>
              <w:bottom w:val="single" w:color="auto" w:sz="4" w:space="0"/>
              <w:right w:val="single" w:color="auto" w:sz="4" w:space="0"/>
            </w:tcBorders>
            <w:noWrap/>
            <w:vAlign w:val="center"/>
          </w:tcPr>
          <w:p w14:paraId="15FA6EB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000000"/>
                <w:kern w:val="2"/>
                <w:sz w:val="21"/>
                <w:szCs w:val="21"/>
                <w:highlight w:val="none"/>
                <w:u w:color="000000"/>
                <w:lang w:val="en-US" w:eastAsia="zh-CN" w:bidi="ar"/>
              </w:rPr>
              <w:t>否</w:t>
            </w:r>
          </w:p>
        </w:tc>
      </w:tr>
      <w:tr w14:paraId="548E799D">
        <w:tblPrEx>
          <w:tblCellMar>
            <w:top w:w="0" w:type="dxa"/>
            <w:left w:w="108" w:type="dxa"/>
            <w:bottom w:w="0" w:type="dxa"/>
            <w:right w:w="108" w:type="dxa"/>
          </w:tblCellMar>
        </w:tblPrEx>
        <w:trPr>
          <w:trHeight w:val="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2E161CE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default" w:ascii="宋体" w:hAnsi="宋体" w:cs="宋体"/>
                <w:szCs w:val="21"/>
                <w:highlight w:val="none"/>
                <w:lang w:val="en-US"/>
              </w:rPr>
            </w:pPr>
            <w:r>
              <w:rPr>
                <w:rFonts w:hint="eastAsia" w:ascii="宋体" w:hAnsi="宋体" w:cs="宋体"/>
                <w:kern w:val="2"/>
                <w:highlight w:val="none"/>
                <w:lang w:val="en-US" w:eastAsia="zh-CN"/>
              </w:rPr>
              <w:t>27</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6975BC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center"/>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开标程序</w:t>
            </w:r>
          </w:p>
        </w:tc>
        <w:tc>
          <w:tcPr>
            <w:tcW w:w="7251" w:type="dxa"/>
            <w:tcBorders>
              <w:top w:val="single" w:color="auto" w:sz="4" w:space="0"/>
              <w:left w:val="single" w:color="auto" w:sz="4" w:space="0"/>
              <w:bottom w:val="single" w:color="auto" w:sz="4" w:space="0"/>
              <w:right w:val="single" w:color="auto" w:sz="4" w:space="0"/>
            </w:tcBorders>
            <w:noWrap/>
            <w:vAlign w:val="center"/>
          </w:tcPr>
          <w:p w14:paraId="10F9B05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40" w:lineRule="exact"/>
              <w:ind w:left="0" w:leftChars="0" w:right="0" w:rightChars="0"/>
              <w:jc w:val="both"/>
              <w:textAlignment w:val="auto"/>
              <w:rPr>
                <w:rFonts w:hint="eastAsia" w:ascii="宋体" w:hAnsi="宋体" w:eastAsia="宋体" w:cs="宋体"/>
                <w:color w:val="auto"/>
                <w:sz w:val="21"/>
                <w:szCs w:val="21"/>
                <w:highlight w:val="none"/>
                <w:lang w:val="en-US" w:eastAsia="zh-CN"/>
              </w:rPr>
            </w:pPr>
            <w:r>
              <w:rPr>
                <w:rFonts w:hint="eastAsia" w:asciiTheme="majorEastAsia" w:hAnsiTheme="majorEastAsia" w:eastAsiaTheme="majorEastAsia" w:cstheme="majorEastAsia"/>
                <w:color w:val="auto"/>
                <w:kern w:val="2"/>
                <w:sz w:val="21"/>
                <w:szCs w:val="21"/>
                <w:highlight w:val="none"/>
                <w:u w:color="000000"/>
                <w:lang w:val="en-US" w:eastAsia="zh-CN" w:bidi="ar"/>
              </w:rPr>
              <w:t>先资格审查、后进行价格评审。</w:t>
            </w:r>
          </w:p>
        </w:tc>
      </w:tr>
      <w:tr w14:paraId="7AA71637">
        <w:tblPrEx>
          <w:tblCellMar>
            <w:top w:w="0" w:type="dxa"/>
            <w:left w:w="108" w:type="dxa"/>
            <w:bottom w:w="0" w:type="dxa"/>
            <w:right w:w="108" w:type="dxa"/>
          </w:tblCellMar>
        </w:tblPrEx>
        <w:trPr>
          <w:trHeight w:val="488"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0617399">
            <w:pPr>
              <w:keepNext w:val="0"/>
              <w:keepLines w:val="0"/>
              <w:pageBreakBefore w:val="0"/>
              <w:kinsoku/>
              <w:wordWrap/>
              <w:overflowPunct/>
              <w:autoSpaceDN/>
              <w:bidi w:val="0"/>
              <w:spacing w:line="44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28</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17B0D593">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评标委员会的组建</w:t>
            </w:r>
          </w:p>
        </w:tc>
        <w:tc>
          <w:tcPr>
            <w:tcW w:w="7251" w:type="dxa"/>
            <w:tcBorders>
              <w:top w:val="single" w:color="auto" w:sz="4" w:space="0"/>
              <w:left w:val="single" w:color="auto" w:sz="4" w:space="0"/>
              <w:bottom w:val="single" w:color="auto" w:sz="4" w:space="0"/>
              <w:right w:val="single" w:color="auto" w:sz="4" w:space="0"/>
            </w:tcBorders>
            <w:noWrap/>
            <w:vAlign w:val="center"/>
          </w:tcPr>
          <w:p w14:paraId="724B81BF">
            <w:pPr>
              <w:keepNext w:val="0"/>
              <w:keepLines w:val="0"/>
              <w:pageBreakBefore w:val="0"/>
              <w:kinsoku/>
              <w:wordWrap/>
              <w:overflowPunct/>
              <w:autoSpaceDE/>
              <w:autoSpaceDN/>
              <w:bidi w:val="0"/>
              <w:spacing w:line="440" w:lineRule="exact"/>
              <w:textAlignment w:val="auto"/>
              <w:rPr>
                <w:rFonts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48C0457B">
        <w:tblPrEx>
          <w:tblCellMar>
            <w:top w:w="0" w:type="dxa"/>
            <w:left w:w="108" w:type="dxa"/>
            <w:bottom w:w="0" w:type="dxa"/>
            <w:right w:w="108" w:type="dxa"/>
          </w:tblCellMar>
        </w:tblPrEx>
        <w:trPr>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691AB32">
            <w:pPr>
              <w:keepNext w:val="0"/>
              <w:keepLines w:val="0"/>
              <w:pageBreakBefore w:val="0"/>
              <w:kinsoku/>
              <w:wordWrap/>
              <w:overflowPunct/>
              <w:autoSpaceDN/>
              <w:bidi w:val="0"/>
              <w:spacing w:line="440" w:lineRule="exact"/>
              <w:jc w:val="center"/>
              <w:textAlignment w:val="auto"/>
              <w:rPr>
                <w:rFonts w:hint="default" w:ascii="宋体" w:hAnsi="宋体" w:eastAsia="宋体" w:cs="宋体"/>
                <w:b/>
                <w:bCs/>
                <w:szCs w:val="21"/>
                <w:highlight w:val="none"/>
                <w:lang w:val="en-US" w:eastAsia="zh-CN"/>
              </w:rPr>
            </w:pPr>
            <w:r>
              <w:rPr>
                <w:rFonts w:hint="eastAsia" w:ascii="宋体" w:hAnsi="宋体" w:cs="宋体"/>
                <w:szCs w:val="21"/>
                <w:highlight w:val="none"/>
                <w:lang w:val="en-US" w:eastAsia="zh-CN"/>
              </w:rPr>
              <w:t>29</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5C8D211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jc w:val="center"/>
              <w:textAlignment w:val="auto"/>
              <w:rPr>
                <w:rFonts w:ascii="宋体" w:hAnsi="宋体" w:cs="宋体"/>
                <w:bCs/>
                <w:color w:val="auto"/>
                <w:szCs w:val="21"/>
                <w:highlight w:val="none"/>
              </w:rPr>
            </w:pPr>
            <w:r>
              <w:rPr>
                <w:rFonts w:hint="eastAsia" w:ascii="宋体" w:hAnsi="宋体" w:eastAsia="宋体" w:cs="宋体"/>
                <w:b w:val="0"/>
                <w:bCs w:val="0"/>
                <w:color w:val="auto"/>
                <w:sz w:val="21"/>
                <w:szCs w:val="21"/>
                <w:highlight w:val="none"/>
              </w:rPr>
              <w:t>评标委员会确定中标候选人的人数</w:t>
            </w:r>
          </w:p>
        </w:tc>
        <w:tc>
          <w:tcPr>
            <w:tcW w:w="7251" w:type="dxa"/>
            <w:tcBorders>
              <w:top w:val="single" w:color="auto" w:sz="4" w:space="0"/>
              <w:left w:val="single" w:color="auto" w:sz="4" w:space="0"/>
              <w:bottom w:val="single" w:color="auto" w:sz="4" w:space="0"/>
              <w:right w:val="single" w:color="auto" w:sz="4" w:space="0"/>
            </w:tcBorders>
            <w:noWrap/>
            <w:vAlign w:val="center"/>
          </w:tcPr>
          <w:p w14:paraId="3396C00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leftChars="0" w:right="0" w:rightChars="0"/>
              <w:textAlignment w:val="auto"/>
              <w:rPr>
                <w:rFonts w:ascii="宋体" w:hAnsi="宋体" w:cs="宋体"/>
                <w:bCs/>
                <w:color w:val="auto"/>
                <w:szCs w:val="21"/>
                <w:highlight w:val="none"/>
              </w:rPr>
            </w:pP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名，并标明排序。</w:t>
            </w:r>
          </w:p>
        </w:tc>
      </w:tr>
      <w:tr w14:paraId="3CEDAB70">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9410970">
            <w:pPr>
              <w:keepNext w:val="0"/>
              <w:keepLines w:val="0"/>
              <w:pageBreakBefore w:val="0"/>
              <w:kinsoku/>
              <w:wordWrap/>
              <w:overflowPunct/>
              <w:autoSpaceDN/>
              <w:bidi w:val="0"/>
              <w:spacing w:line="440" w:lineRule="exact"/>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szCs w:val="21"/>
                <w:highlight w:val="none"/>
                <w:lang w:val="en-US" w:eastAsia="zh-CN"/>
              </w:rPr>
              <w:t>30</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07052E72">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中标候选人公示媒介</w:t>
            </w:r>
          </w:p>
        </w:tc>
        <w:tc>
          <w:tcPr>
            <w:tcW w:w="7251" w:type="dxa"/>
            <w:tcBorders>
              <w:top w:val="single" w:color="auto" w:sz="4" w:space="0"/>
              <w:left w:val="single" w:color="auto" w:sz="4" w:space="0"/>
              <w:bottom w:val="single" w:color="auto" w:sz="4" w:space="0"/>
              <w:right w:val="single" w:color="auto" w:sz="4" w:space="0"/>
            </w:tcBorders>
            <w:noWrap/>
            <w:vAlign w:val="center"/>
          </w:tcPr>
          <w:p w14:paraId="0F71657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1500AAE1">
            <w:pPr>
              <w:keepNext w:val="0"/>
              <w:keepLines w:val="0"/>
              <w:pageBreakBefore w:val="0"/>
              <w:kinsoku/>
              <w:wordWrap/>
              <w:overflowPunct/>
              <w:autoSpaceDE/>
              <w:autoSpaceDN/>
              <w:bidi w:val="0"/>
              <w:spacing w:line="440" w:lineRule="exact"/>
              <w:textAlignment w:val="auto"/>
              <w:rPr>
                <w:rFonts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21E0916">
        <w:tblPrEx>
          <w:tblCellMar>
            <w:top w:w="0" w:type="dxa"/>
            <w:left w:w="108" w:type="dxa"/>
            <w:bottom w:w="0" w:type="dxa"/>
            <w:right w:w="108" w:type="dxa"/>
          </w:tblCellMar>
        </w:tblPrEx>
        <w:trPr>
          <w:trHeight w:val="50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39830AAC">
            <w:pPr>
              <w:keepNext w:val="0"/>
              <w:keepLines w:val="0"/>
              <w:pageBreakBefore w:val="0"/>
              <w:kinsoku/>
              <w:wordWrap/>
              <w:overflowPunct/>
              <w:autoSpaceDN/>
              <w:bidi w:val="0"/>
              <w:spacing w:line="440" w:lineRule="exact"/>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szCs w:val="21"/>
                <w:highlight w:val="none"/>
                <w:lang w:val="en-US" w:eastAsia="zh-CN"/>
              </w:rPr>
              <w:t>31</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723C84C">
            <w:pPr>
              <w:keepNext w:val="0"/>
              <w:keepLines w:val="0"/>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000000"/>
                <w:kern w:val="2"/>
                <w:sz w:val="21"/>
                <w:szCs w:val="21"/>
                <w:highlight w:val="none"/>
                <w:lang w:val="en-US" w:eastAsia="zh-CN" w:bidi="ar-SA"/>
              </w:rPr>
            </w:pPr>
            <w:r>
              <w:rPr>
                <w:rFonts w:hint="eastAsia"/>
                <w:sz w:val="21"/>
                <w:szCs w:val="21"/>
                <w:highlight w:val="none"/>
              </w:rPr>
              <w:t>中标通知书发出形式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23278BDC">
            <w:pPr>
              <w:keepNext w:val="0"/>
              <w:keepLines w:val="0"/>
              <w:pageBreakBefore w:val="0"/>
              <w:widowControl/>
              <w:kinsoku/>
              <w:wordWrap/>
              <w:overflowPunct/>
              <w:autoSpaceDE/>
              <w:autoSpaceDN/>
              <w:bidi w:val="0"/>
              <w:adjustRightInd w:val="0"/>
              <w:snapToGrid w:val="0"/>
              <w:spacing w:line="440" w:lineRule="exact"/>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中标通知书须加盖招标人、招标代理公司公章后方可发出。</w:t>
            </w:r>
          </w:p>
        </w:tc>
      </w:tr>
      <w:tr w14:paraId="199DB678">
        <w:tblPrEx>
          <w:tblCellMar>
            <w:top w:w="0" w:type="dxa"/>
            <w:left w:w="108" w:type="dxa"/>
            <w:bottom w:w="0" w:type="dxa"/>
            <w:right w:w="108" w:type="dxa"/>
          </w:tblCellMar>
        </w:tblPrEx>
        <w:trPr>
          <w:trHeight w:val="97"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777E9DB6">
            <w:pPr>
              <w:keepNext w:val="0"/>
              <w:keepLines w:val="0"/>
              <w:pageBreakBefore w:val="0"/>
              <w:kinsoku/>
              <w:wordWrap/>
              <w:overflowPunct/>
              <w:autoSpaceDN/>
              <w:bidi w:val="0"/>
              <w:spacing w:line="44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32</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69252C77">
            <w:pPr>
              <w:keepNext w:val="0"/>
              <w:keepLines w:val="0"/>
              <w:pageBreakBefore w:val="0"/>
              <w:kinsoku/>
              <w:wordWrap/>
              <w:overflowPunct/>
              <w:autoSpaceDN/>
              <w:bidi w:val="0"/>
              <w:spacing w:line="440" w:lineRule="exact"/>
              <w:jc w:val="center"/>
              <w:textAlignment w:val="auto"/>
              <w:rPr>
                <w:rFonts w:ascii="宋体" w:hAnsi="宋体" w:cs="宋体"/>
                <w:color w:val="auto"/>
                <w:szCs w:val="21"/>
                <w:highlight w:val="none"/>
              </w:rPr>
            </w:pPr>
            <w:r>
              <w:rPr>
                <w:rFonts w:hint="eastAsia" w:ascii="宋体" w:hAnsi="宋体" w:cs="宋体"/>
                <w:color w:val="auto"/>
                <w:szCs w:val="21"/>
                <w:highlight w:val="none"/>
              </w:rPr>
              <w:t>履约担保</w:t>
            </w:r>
          </w:p>
        </w:tc>
        <w:tc>
          <w:tcPr>
            <w:tcW w:w="7251" w:type="dxa"/>
            <w:tcBorders>
              <w:top w:val="single" w:color="auto" w:sz="4" w:space="0"/>
              <w:left w:val="single" w:color="auto" w:sz="4" w:space="0"/>
              <w:bottom w:val="single" w:color="auto" w:sz="4" w:space="0"/>
              <w:right w:val="single" w:color="auto" w:sz="4" w:space="0"/>
            </w:tcBorders>
            <w:noWrap/>
            <w:vAlign w:val="center"/>
          </w:tcPr>
          <w:p w14:paraId="0D6EE0C3">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lang w:eastAsia="zh-CN"/>
              </w:rPr>
              <w:t>□</w:t>
            </w:r>
            <w:r>
              <w:rPr>
                <w:rFonts w:hint="eastAsia" w:ascii="宋体" w:hAnsi="宋体" w:cs="宋体"/>
                <w:highlight w:val="none"/>
              </w:rPr>
              <w:t>不要求中标人提交履约保证金。</w:t>
            </w:r>
          </w:p>
          <w:p w14:paraId="1E3CB73A">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lang w:eastAsia="zh-CN"/>
              </w:rPr>
              <w:t>☑</w:t>
            </w:r>
            <w:r>
              <w:rPr>
                <w:rFonts w:hint="eastAsia" w:ascii="宋体" w:hAnsi="宋体" w:cs="宋体"/>
                <w:highlight w:val="none"/>
              </w:rPr>
              <w:t>要求中标人提交履约保证金。</w:t>
            </w:r>
          </w:p>
          <w:p w14:paraId="47363B51">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形式：支持银行转账、银行电汇、银行保函使用。</w:t>
            </w:r>
          </w:p>
          <w:p w14:paraId="536EA96E">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金额：</w:t>
            </w:r>
            <w:r>
              <w:rPr>
                <w:rFonts w:hint="eastAsia"/>
                <w:highlight w:val="none"/>
              </w:rPr>
              <w:t>中标合同金额×</w:t>
            </w:r>
            <w:r>
              <w:rPr>
                <w:rFonts w:hint="eastAsia"/>
                <w:highlight w:val="none"/>
                <w:lang w:val="en-US" w:eastAsia="zh-CN"/>
              </w:rPr>
              <w:t>2</w:t>
            </w:r>
            <w:r>
              <w:rPr>
                <w:rFonts w:hint="eastAsia"/>
                <w:highlight w:val="none"/>
              </w:rPr>
              <w:t>%，取整到千位</w:t>
            </w:r>
            <w:r>
              <w:rPr>
                <w:rFonts w:hint="eastAsia" w:ascii="宋体" w:hAnsi="宋体" w:cs="宋体"/>
                <w:highlight w:val="none"/>
              </w:rPr>
              <w:t>；</w:t>
            </w:r>
          </w:p>
          <w:p w14:paraId="059FB48F">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 xml:space="preserve">收款单位：另行通知                  </w:t>
            </w:r>
          </w:p>
          <w:p w14:paraId="6D537115">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 xml:space="preserve">开户银行：另行通知                 </w:t>
            </w:r>
          </w:p>
          <w:p w14:paraId="1CD544B1">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color w:val="auto"/>
                <w:highlight w:val="none"/>
              </w:rPr>
            </w:pPr>
            <w:r>
              <w:rPr>
                <w:rFonts w:hint="eastAsia" w:ascii="宋体" w:hAnsi="宋体" w:cs="宋体"/>
                <w:color w:val="auto"/>
                <w:highlight w:val="none"/>
              </w:rPr>
              <w:t xml:space="preserve">银行账号：另行通知  </w:t>
            </w:r>
          </w:p>
          <w:p w14:paraId="0BB3AFB5">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color w:val="auto"/>
                <w:highlight w:val="none"/>
              </w:rPr>
            </w:pPr>
            <w:r>
              <w:rPr>
                <w:rFonts w:hint="eastAsia" w:ascii="宋体" w:hAnsi="宋体" w:cs="宋体"/>
                <w:color w:val="auto"/>
                <w:highlight w:val="none"/>
              </w:rPr>
              <w:t xml:space="preserve">缴纳时限：中标人须在中标通知书发出后30日内完成履约保证金缴纳及合同签订，如未按期交齐履约保证金或未按期签订合同的，视同放弃中标资格，招标人将扣除投标保证金。履约保证金按要求缴纳的，自合同签订之日起5个工作日内退还中标人的投标保证金。 </w:t>
            </w:r>
          </w:p>
          <w:p w14:paraId="161214B3">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退还时限：</w:t>
            </w:r>
            <w:r>
              <w:rPr>
                <w:rFonts w:hint="eastAsia" w:ascii="宋体" w:hAnsi="宋体" w:cs="宋体"/>
                <w:szCs w:val="21"/>
                <w:highlight w:val="none"/>
              </w:rPr>
              <w:t>验收合格后，一次性无息退还。</w:t>
            </w:r>
          </w:p>
          <w:p w14:paraId="08BE4255">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其他相关要求：</w:t>
            </w:r>
          </w:p>
          <w:p w14:paraId="5B76C3DA">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1、采用银行保函的具体要求</w:t>
            </w:r>
          </w:p>
          <w:p w14:paraId="301CD420">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①保函形式须为见索即付型（无条件保函）；</w:t>
            </w:r>
          </w:p>
          <w:p w14:paraId="07D4D71E">
            <w:pPr>
              <w:keepNext w:val="0"/>
              <w:keepLines w:val="0"/>
              <w:pageBreakBefore w:val="0"/>
              <w:tabs>
                <w:tab w:val="left" w:pos="5034"/>
              </w:tabs>
              <w:kinsoku/>
              <w:wordWrap/>
              <w:overflowPunct/>
              <w:topLinePunct w:val="0"/>
              <w:autoSpaceDE/>
              <w:autoSpaceDN/>
              <w:bidi w:val="0"/>
              <w:adjustRightInd/>
              <w:snapToGrid/>
              <w:spacing w:line="440" w:lineRule="exact"/>
              <w:textAlignment w:val="auto"/>
              <w:rPr>
                <w:rFonts w:hint="eastAsia" w:ascii="宋体" w:hAnsi="宋体" w:cs="宋体"/>
                <w:highlight w:val="none"/>
              </w:rPr>
            </w:pPr>
            <w:r>
              <w:rPr>
                <w:rFonts w:hint="eastAsia" w:ascii="宋体" w:hAnsi="宋体" w:cs="宋体"/>
                <w:highlight w:val="none"/>
              </w:rPr>
              <w:t>②须经招标人认可。</w:t>
            </w:r>
          </w:p>
          <w:p w14:paraId="2677776C">
            <w:pPr>
              <w:keepNext w:val="0"/>
              <w:keepLines w:val="0"/>
              <w:pageBreakBefore w:val="0"/>
              <w:kinsoku/>
              <w:wordWrap/>
              <w:overflowPunct/>
              <w:autoSpaceDE/>
              <w:autoSpaceDN/>
              <w:bidi w:val="0"/>
              <w:spacing w:line="440" w:lineRule="exact"/>
              <w:textAlignment w:val="auto"/>
              <w:rPr>
                <w:rFonts w:ascii="宋体" w:hAnsi="宋体" w:cs="宋体"/>
                <w:color w:val="auto"/>
                <w:szCs w:val="21"/>
                <w:highlight w:val="none"/>
              </w:rPr>
            </w:pPr>
            <w:r>
              <w:rPr>
                <w:rFonts w:hint="eastAsia" w:ascii="宋体" w:hAnsi="宋体" w:cs="宋体"/>
                <w:highlight w:val="none"/>
              </w:rPr>
              <w:t>2、采用担保保函的具体要求：须经招标人认可，须为见索即付型（无条件保函）。</w:t>
            </w:r>
          </w:p>
        </w:tc>
      </w:tr>
      <w:tr w14:paraId="3547DE29">
        <w:tblPrEx>
          <w:tblCellMar>
            <w:top w:w="0" w:type="dxa"/>
            <w:left w:w="108" w:type="dxa"/>
            <w:bottom w:w="0" w:type="dxa"/>
            <w:right w:w="108" w:type="dxa"/>
          </w:tblCellMar>
        </w:tblPrEx>
        <w:trPr>
          <w:trHeight w:val="9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5F63E4CD">
            <w:pPr>
              <w:keepNext w:val="0"/>
              <w:keepLines w:val="0"/>
              <w:pageBreakBefore w:val="0"/>
              <w:kinsoku/>
              <w:wordWrap/>
              <w:overflowPunct/>
              <w:autoSpaceDN/>
              <w:bidi w:val="0"/>
              <w:spacing w:line="440" w:lineRule="exact"/>
              <w:jc w:val="center"/>
              <w:textAlignment w:val="auto"/>
              <w:rPr>
                <w:rFonts w:hint="default" w:ascii="宋体" w:hAnsi="宋体" w:cs="宋体"/>
                <w:szCs w:val="21"/>
                <w:highlight w:val="none"/>
                <w:lang w:val="en-US" w:eastAsia="zh-CN"/>
              </w:rPr>
            </w:pPr>
            <w:r>
              <w:rPr>
                <w:rFonts w:hint="eastAsia" w:ascii="宋体" w:hAnsi="宋体" w:cs="宋体"/>
                <w:szCs w:val="21"/>
                <w:highlight w:val="none"/>
                <w:lang w:val="en-US" w:eastAsia="zh-CN"/>
              </w:rPr>
              <w:t>33</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4BB615AB">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本项目重点难点</w:t>
            </w:r>
          </w:p>
        </w:tc>
        <w:tc>
          <w:tcPr>
            <w:tcW w:w="7251" w:type="dxa"/>
            <w:tcBorders>
              <w:top w:val="single" w:color="auto" w:sz="4" w:space="0"/>
              <w:left w:val="single" w:color="auto" w:sz="4" w:space="0"/>
              <w:bottom w:val="single" w:color="auto" w:sz="4" w:space="0"/>
              <w:right w:val="single" w:color="auto" w:sz="4" w:space="0"/>
            </w:tcBorders>
            <w:noWrap/>
            <w:vAlign w:val="center"/>
          </w:tcPr>
          <w:p w14:paraId="01B51157">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highlight w:val="none"/>
                <w:lang w:val="en-US" w:eastAsia="zh-CN"/>
              </w:rPr>
              <w:t>监理项目</w:t>
            </w:r>
            <w:r>
              <w:rPr>
                <w:rFonts w:hint="eastAsia" w:ascii="宋体" w:hAnsi="宋体" w:eastAsia="宋体" w:cs="宋体"/>
                <w:b/>
                <w:bCs/>
                <w:highlight w:val="none"/>
                <w:lang w:eastAsia="zh-CN"/>
              </w:rPr>
              <w:t>分散在滁州市琅琊区、经开区、南谯区、</w:t>
            </w:r>
            <w:r>
              <w:rPr>
                <w:rFonts w:hint="eastAsia" w:ascii="宋体" w:hAnsi="宋体" w:eastAsia="宋体" w:cs="宋体"/>
                <w:b/>
                <w:bCs/>
                <w:highlight w:val="none"/>
                <w:lang w:val="en-US" w:eastAsia="zh-CN"/>
              </w:rPr>
              <w:t>中新苏滁高新技术产业开发区等范围内各</w:t>
            </w:r>
            <w:r>
              <w:rPr>
                <w:rFonts w:hint="eastAsia" w:ascii="宋体" w:hAnsi="宋体" w:eastAsia="宋体" w:cs="宋体"/>
                <w:b/>
                <w:bCs/>
                <w:highlight w:val="none"/>
                <w:lang w:eastAsia="zh-CN"/>
              </w:rPr>
              <w:t>小区</w:t>
            </w:r>
            <w:r>
              <w:rPr>
                <w:rFonts w:hint="eastAsia" w:ascii="宋体" w:hAnsi="宋体" w:eastAsia="宋体" w:cs="宋体"/>
                <w:b/>
                <w:bCs/>
                <w:highlight w:val="none"/>
                <w:lang w:val="en-US" w:eastAsia="zh-CN"/>
              </w:rPr>
              <w:t>，投标人需针对点位分散、人员管理、人员安全、材料配送、工作协调等方面</w:t>
            </w:r>
            <w:r>
              <w:rPr>
                <w:b/>
                <w:bCs/>
                <w:spacing w:val="-1"/>
                <w:highlight w:val="none"/>
              </w:rPr>
              <w:t>全面重点阐述</w:t>
            </w:r>
            <w:r>
              <w:rPr>
                <w:rFonts w:hint="eastAsia"/>
                <w:b/>
                <w:bCs/>
                <w:spacing w:val="-1"/>
                <w:highlight w:val="none"/>
                <w:lang w:eastAsia="zh-CN"/>
              </w:rPr>
              <w:t>。</w:t>
            </w:r>
          </w:p>
        </w:tc>
      </w:tr>
      <w:tr w14:paraId="31A1C7EF">
        <w:tblPrEx>
          <w:tblCellMar>
            <w:top w:w="0" w:type="dxa"/>
            <w:left w:w="108" w:type="dxa"/>
            <w:bottom w:w="0" w:type="dxa"/>
            <w:right w:w="108" w:type="dxa"/>
          </w:tblCellMar>
        </w:tblPrEx>
        <w:trPr>
          <w:trHeight w:val="90" w:hRule="atLeast"/>
          <w:jc w:val="center"/>
        </w:trPr>
        <w:tc>
          <w:tcPr>
            <w:tcW w:w="868" w:type="dxa"/>
            <w:tcBorders>
              <w:top w:val="single" w:color="auto" w:sz="4" w:space="0"/>
              <w:left w:val="single" w:color="auto" w:sz="4" w:space="0"/>
              <w:bottom w:val="single" w:color="auto" w:sz="4" w:space="0"/>
              <w:right w:val="single" w:color="auto" w:sz="4" w:space="0"/>
            </w:tcBorders>
            <w:noWrap/>
            <w:vAlign w:val="center"/>
          </w:tcPr>
          <w:p w14:paraId="00F92F34">
            <w:pPr>
              <w:keepNext w:val="0"/>
              <w:keepLines w:val="0"/>
              <w:pageBreakBefore w:val="0"/>
              <w:kinsoku/>
              <w:wordWrap/>
              <w:overflowPunct/>
              <w:autoSpaceDN/>
              <w:bidi w:val="0"/>
              <w:spacing w:line="440" w:lineRule="exact"/>
              <w:jc w:val="center"/>
              <w:textAlignment w:val="auto"/>
              <w:rPr>
                <w:rFonts w:hint="default" w:ascii="宋体" w:hAnsi="宋体" w:eastAsia="宋体" w:cs="宋体"/>
                <w:szCs w:val="21"/>
                <w:highlight w:val="none"/>
                <w:lang w:val="en-US" w:eastAsia="zh-CN"/>
              </w:rPr>
            </w:pPr>
            <w:r>
              <w:rPr>
                <w:rFonts w:hint="eastAsia" w:ascii="宋体" w:hAnsi="宋体" w:cs="宋体"/>
                <w:szCs w:val="21"/>
                <w:highlight w:val="none"/>
                <w:lang w:val="en-US" w:eastAsia="zh-CN"/>
              </w:rPr>
              <w:t>34</w:t>
            </w:r>
          </w:p>
        </w:tc>
        <w:tc>
          <w:tcPr>
            <w:tcW w:w="2209" w:type="dxa"/>
            <w:gridSpan w:val="2"/>
            <w:tcBorders>
              <w:top w:val="single" w:color="auto" w:sz="4" w:space="0"/>
              <w:left w:val="single" w:color="auto" w:sz="4" w:space="0"/>
              <w:bottom w:val="single" w:color="auto" w:sz="4" w:space="0"/>
              <w:right w:val="single" w:color="auto" w:sz="4" w:space="0"/>
            </w:tcBorders>
            <w:noWrap/>
            <w:vAlign w:val="center"/>
          </w:tcPr>
          <w:p w14:paraId="3EE8AEF2">
            <w:pPr>
              <w:keepNext w:val="0"/>
              <w:keepLines w:val="0"/>
              <w:pageBreakBefore w:val="0"/>
              <w:kinsoku/>
              <w:wordWrap/>
              <w:overflowPunct/>
              <w:topLinePunct w:val="0"/>
              <w:autoSpaceDE/>
              <w:autoSpaceDN/>
              <w:bidi w:val="0"/>
              <w:adjustRightInd/>
              <w:snapToGrid/>
              <w:spacing w:line="440" w:lineRule="exact"/>
              <w:jc w:val="center"/>
              <w:textAlignment w:val="auto"/>
              <w:rPr>
                <w:rFonts w:ascii="宋体" w:hAnsi="宋体" w:cs="宋体"/>
                <w:color w:val="auto"/>
                <w:szCs w:val="21"/>
                <w:highlight w:val="none"/>
              </w:rPr>
            </w:pPr>
            <w:r>
              <w:rPr>
                <w:rFonts w:hint="eastAsia" w:ascii="宋体" w:hAnsi="宋体" w:eastAsia="宋体" w:cs="宋体"/>
                <w:b/>
                <w:bCs/>
                <w:color w:val="auto"/>
                <w:sz w:val="21"/>
                <w:szCs w:val="21"/>
                <w:highlight w:val="none"/>
              </w:rPr>
              <w:t>付款方式</w:t>
            </w:r>
          </w:p>
        </w:tc>
        <w:tc>
          <w:tcPr>
            <w:tcW w:w="7251" w:type="dxa"/>
            <w:tcBorders>
              <w:top w:val="single" w:color="auto" w:sz="4" w:space="0"/>
              <w:left w:val="single" w:color="auto" w:sz="4" w:space="0"/>
              <w:bottom w:val="single" w:color="auto" w:sz="4" w:space="0"/>
              <w:right w:val="single" w:color="auto" w:sz="4" w:space="0"/>
            </w:tcBorders>
            <w:noWrap/>
            <w:vAlign w:val="center"/>
          </w:tcPr>
          <w:p w14:paraId="314F1C33">
            <w:pPr>
              <w:keepNext w:val="0"/>
              <w:keepLines w:val="0"/>
              <w:pageBreakBefore w:val="0"/>
              <w:widowControl w:val="0"/>
              <w:kinsoku/>
              <w:wordWrap/>
              <w:overflowPunct/>
              <w:topLinePunct w:val="0"/>
              <w:autoSpaceDE/>
              <w:autoSpaceDN/>
              <w:bidi w:val="0"/>
              <w:adjustRightInd/>
              <w:snapToGrid/>
              <w:spacing w:beforeAutospacing="0" w:afterAutospacing="0" w:line="440" w:lineRule="exact"/>
              <w:jc w:val="left"/>
              <w:textAlignment w:val="auto"/>
              <w:rPr>
                <w:rFonts w:ascii="宋体" w:hAnsi="宋体" w:cs="宋体"/>
                <w:color w:val="auto"/>
                <w:szCs w:val="21"/>
                <w:highlight w:val="none"/>
              </w:rPr>
            </w:pPr>
            <w:r>
              <w:rPr>
                <w:rFonts w:hint="eastAsia" w:ascii="宋体" w:hAnsi="宋体" w:cs="宋体"/>
                <w:b/>
                <w:bCs/>
                <w:color w:val="auto"/>
                <w:szCs w:val="21"/>
                <w:highlight w:val="none"/>
              </w:rPr>
              <w:t>根据施工请款资料，于次月按照完成合格工程量的</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0%支付监理费，累计支付至监理范围内全部合格工程量的</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0%，停止拨付，</w:t>
            </w:r>
            <w:r>
              <w:rPr>
                <w:rFonts w:hint="eastAsia" w:ascii="宋体" w:hAnsi="宋体" w:cs="宋体"/>
                <w:b/>
                <w:bCs/>
                <w:color w:val="auto"/>
                <w:szCs w:val="21"/>
                <w:highlight w:val="none"/>
                <w:lang w:val="en-US" w:eastAsia="zh-CN"/>
              </w:rPr>
              <w:t>整体项目</w:t>
            </w:r>
            <w:r>
              <w:rPr>
                <w:rFonts w:hint="eastAsia" w:ascii="宋体" w:hAnsi="宋体" w:cs="宋体"/>
                <w:b/>
                <w:bCs/>
                <w:color w:val="auto"/>
                <w:szCs w:val="21"/>
                <w:highlight w:val="none"/>
              </w:rPr>
              <w:t>竣工验收合格、施工结算、资料归档及审计结束后付至结算总价的</w:t>
            </w:r>
            <w:r>
              <w:rPr>
                <w:rFonts w:hint="eastAsia" w:ascii="宋体" w:hAnsi="宋体" w:cs="宋体"/>
                <w:b/>
                <w:bCs/>
                <w:color w:val="auto"/>
                <w:szCs w:val="21"/>
                <w:highlight w:val="none"/>
                <w:lang w:val="en-US" w:eastAsia="zh-CN"/>
              </w:rPr>
              <w:t>97</w:t>
            </w:r>
            <w:r>
              <w:rPr>
                <w:rFonts w:hint="eastAsia" w:ascii="宋体" w:hAnsi="宋体" w:cs="宋体"/>
                <w:b/>
                <w:bCs/>
                <w:color w:val="auto"/>
                <w:szCs w:val="21"/>
                <w:highlight w:val="none"/>
              </w:rPr>
              <w:t>%，剩余</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%经工程质保期满</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两年</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回访合格后支付完毕（无息）。</w:t>
            </w:r>
          </w:p>
        </w:tc>
      </w:tr>
      <w:tr w14:paraId="5D015F19">
        <w:tblPrEx>
          <w:tblCellMar>
            <w:top w:w="0" w:type="dxa"/>
            <w:left w:w="108" w:type="dxa"/>
            <w:bottom w:w="0" w:type="dxa"/>
            <w:right w:w="108" w:type="dxa"/>
          </w:tblCellMar>
        </w:tblPrEx>
        <w:trPr>
          <w:trHeight w:val="90" w:hRule="atLeast"/>
          <w:jc w:val="center"/>
        </w:trPr>
        <w:tc>
          <w:tcPr>
            <w:tcW w:w="10328" w:type="dxa"/>
            <w:gridSpan w:val="4"/>
            <w:tcBorders>
              <w:top w:val="single" w:color="auto" w:sz="4" w:space="0"/>
              <w:left w:val="single" w:color="auto" w:sz="4" w:space="0"/>
              <w:bottom w:val="single" w:color="auto" w:sz="4" w:space="0"/>
              <w:right w:val="single" w:color="auto" w:sz="4" w:space="0"/>
            </w:tcBorders>
            <w:noWrap/>
            <w:vAlign w:val="center"/>
          </w:tcPr>
          <w:p w14:paraId="0461DCD0">
            <w:pPr>
              <w:keepNext w:val="0"/>
              <w:keepLines w:val="0"/>
              <w:pageBreakBefore w:val="0"/>
              <w:kinsoku/>
              <w:wordWrap/>
              <w:overflowPunct/>
              <w:autoSpaceDN/>
              <w:bidi w:val="0"/>
              <w:spacing w:line="440" w:lineRule="exact"/>
              <w:jc w:val="center"/>
              <w:textAlignment w:val="auto"/>
              <w:rPr>
                <w:rFonts w:ascii="宋体" w:hAnsi="宋体" w:cs="宋体"/>
                <w:szCs w:val="21"/>
                <w:highlight w:val="none"/>
              </w:rPr>
            </w:pPr>
            <w:r>
              <w:rPr>
                <w:rFonts w:hint="eastAsia" w:ascii="宋体" w:hAnsi="宋体" w:cs="宋体"/>
                <w:szCs w:val="21"/>
                <w:highlight w:val="none"/>
              </w:rPr>
              <w:t>需要补充的其他内容</w:t>
            </w:r>
          </w:p>
        </w:tc>
      </w:tr>
      <w:tr w14:paraId="6085D866">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5FC3EB8A">
            <w:pPr>
              <w:keepNext w:val="0"/>
              <w:keepLines w:val="0"/>
              <w:pageBreakBefore w:val="0"/>
              <w:kinsoku/>
              <w:wordWrap/>
              <w:overflowPunct/>
              <w:autoSpaceDN/>
              <w:bidi w:val="0"/>
              <w:adjustRightInd w:val="0"/>
              <w:snapToGrid w:val="0"/>
              <w:spacing w:line="440" w:lineRule="exact"/>
              <w:jc w:val="center"/>
              <w:textAlignment w:val="auto"/>
              <w:rPr>
                <w:rFonts w:ascii="宋体" w:hAnsi="宋体" w:cs="宋体"/>
                <w:szCs w:val="21"/>
                <w:highlight w:val="none"/>
              </w:rPr>
            </w:pPr>
            <w:r>
              <w:rPr>
                <w:rFonts w:hint="eastAsia" w:ascii="宋体" w:hAnsi="宋体" w:cs="宋体"/>
                <w:color w:val="auto"/>
                <w:sz w:val="21"/>
                <w:szCs w:val="21"/>
                <w:highlight w:val="none"/>
              </w:rPr>
              <w:t>招标代理服务费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0AB4CE5D">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kern w:val="0"/>
                <w:szCs w:val="21"/>
                <w:highlight w:val="none"/>
              </w:rPr>
            </w:pPr>
            <w:r>
              <w:rPr>
                <w:rFonts w:hint="eastAsia" w:ascii="宋体" w:hAnsi="宋体" w:cs="宋体"/>
                <w:kern w:val="0"/>
                <w:szCs w:val="21"/>
                <w:highlight w:val="none"/>
              </w:rPr>
              <w:t>代理服务具体金额：</w:t>
            </w:r>
            <w:r>
              <w:rPr>
                <w:rFonts w:hint="eastAsia" w:ascii="宋体" w:hAnsi="宋体" w:cs="宋体"/>
                <w:kern w:val="0"/>
                <w:szCs w:val="21"/>
                <w:highlight w:val="none"/>
                <w:lang w:val="en-US" w:eastAsia="zh-CN"/>
              </w:rPr>
              <w:t>2000</w:t>
            </w:r>
            <w:r>
              <w:rPr>
                <w:rFonts w:hint="eastAsia" w:ascii="宋体" w:hAnsi="宋体" w:cs="宋体"/>
                <w:kern w:val="0"/>
                <w:szCs w:val="21"/>
                <w:highlight w:val="none"/>
              </w:rPr>
              <w:t>元</w:t>
            </w:r>
            <w:r>
              <w:rPr>
                <w:rFonts w:hint="eastAsia" w:ascii="宋体" w:hAnsi="宋体" w:cs="宋体"/>
                <w:bCs/>
                <w:kern w:val="0"/>
                <w:highlight w:val="none"/>
              </w:rPr>
              <w:t>。</w:t>
            </w:r>
          </w:p>
          <w:p w14:paraId="63D779B8">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Cs w:val="21"/>
                <w:highlight w:val="none"/>
              </w:rPr>
            </w:pPr>
            <w:r>
              <w:rPr>
                <w:rFonts w:hint="eastAsia" w:ascii="宋体" w:hAnsi="宋体" w:cs="宋体"/>
                <w:kern w:val="0"/>
                <w:szCs w:val="21"/>
                <w:highlight w:val="none"/>
              </w:rPr>
              <w:t>代理服务费及专家费支付主体</w:t>
            </w:r>
            <w:r>
              <w:rPr>
                <w:rFonts w:hint="eastAsia" w:ascii="宋体" w:hAnsi="宋体" w:cs="宋体"/>
                <w:szCs w:val="21"/>
                <w:highlight w:val="none"/>
              </w:rPr>
              <w:t>：</w:t>
            </w:r>
            <w:r>
              <w:rPr>
                <w:rFonts w:hint="eastAsia" w:ascii="宋体" w:hAnsi="宋体" w:cs="宋体"/>
                <w:kern w:val="0"/>
                <w:szCs w:val="21"/>
                <w:highlight w:val="none"/>
              </w:rPr>
              <w:t>由中标单位在领取中标通知书时，一次性支付给代理机构。</w:t>
            </w:r>
          </w:p>
        </w:tc>
      </w:tr>
      <w:tr w14:paraId="6E993490">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4BA475E0">
            <w:pPr>
              <w:keepNext w:val="0"/>
              <w:keepLines w:val="0"/>
              <w:pageBreakBefore w:val="0"/>
              <w:kinsoku/>
              <w:wordWrap/>
              <w:overflowPunct/>
              <w:autoSpaceDN/>
              <w:bidi w:val="0"/>
              <w:adjustRightInd w:val="0"/>
              <w:snapToGrid w:val="0"/>
              <w:spacing w:line="440" w:lineRule="exact"/>
              <w:jc w:val="center"/>
              <w:textAlignment w:val="auto"/>
              <w:rPr>
                <w:rFonts w:hint="eastAsia" w:ascii="宋体" w:hAnsi="宋体" w:cs="宋体"/>
                <w:szCs w:val="21"/>
                <w:highlight w:val="none"/>
              </w:rPr>
            </w:pPr>
            <w:r>
              <w:rPr>
                <w:rFonts w:hint="eastAsia" w:ascii="宋体" w:hAnsi="宋体" w:cs="宋体"/>
                <w:color w:val="auto"/>
                <w:sz w:val="21"/>
                <w:szCs w:val="21"/>
                <w:highlight w:val="none"/>
              </w:rPr>
              <w:t>专家评审劳务费</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314B8BF9">
            <w:pPr>
              <w:keepNext w:val="0"/>
              <w:keepLines w:val="0"/>
              <w:pageBreakBefore w:val="0"/>
              <w:kinsoku/>
              <w:wordWrap/>
              <w:overflowPunct/>
              <w:autoSpaceDN/>
              <w:bidi w:val="0"/>
              <w:adjustRightInd w:val="0"/>
              <w:snapToGrid w:val="0"/>
              <w:spacing w:line="44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rPr>
              <w:t>费用或支付标准：</w:t>
            </w:r>
            <w:r>
              <w:rPr>
                <w:rFonts w:hint="eastAsia" w:ascii="宋体" w:hAnsi="宋体" w:cs="宋体"/>
                <w:color w:val="auto"/>
                <w:sz w:val="21"/>
                <w:szCs w:val="21"/>
                <w:highlight w:val="none"/>
                <w:lang w:val="en-US" w:eastAsia="zh-CN"/>
              </w:rPr>
              <w:t>以实际发生为准。</w:t>
            </w:r>
          </w:p>
          <w:p w14:paraId="602C26F3">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cs="宋体"/>
                <w:kern w:val="0"/>
                <w:szCs w:val="21"/>
                <w:highlight w:val="none"/>
              </w:rPr>
            </w:pPr>
            <w:r>
              <w:rPr>
                <w:rFonts w:hint="eastAsia"/>
                <w:color w:val="auto"/>
                <w:sz w:val="21"/>
                <w:szCs w:val="21"/>
                <w:highlight w:val="none"/>
              </w:rPr>
              <w:t>支付主体：</w:t>
            </w:r>
            <w:r>
              <w:rPr>
                <w:rFonts w:hint="eastAsia"/>
                <w:color w:val="auto"/>
                <w:sz w:val="21"/>
                <w:szCs w:val="21"/>
                <w:highlight w:val="none"/>
                <w:lang w:val="en-US" w:eastAsia="zh-CN"/>
              </w:rPr>
              <w:t>中标单位</w:t>
            </w:r>
          </w:p>
        </w:tc>
      </w:tr>
      <w:tr w14:paraId="65A57017">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6F2AF3D9">
            <w:pPr>
              <w:keepNext w:val="0"/>
              <w:keepLines w:val="0"/>
              <w:pageBreakBefore w:val="0"/>
              <w:kinsoku/>
              <w:wordWrap/>
              <w:overflowPunct/>
              <w:autoSpaceDN/>
              <w:bidi w:val="0"/>
              <w:spacing w:line="440" w:lineRule="exact"/>
              <w:jc w:val="center"/>
              <w:textAlignment w:val="auto"/>
              <w:rPr>
                <w:rFonts w:hint="eastAsia" w:ascii="宋体" w:hAnsi="宋体" w:eastAsia="宋体" w:cs="宋体"/>
                <w:szCs w:val="21"/>
                <w:highlight w:val="none"/>
              </w:rPr>
            </w:pPr>
            <w:r>
              <w:rPr>
                <w:rFonts w:hint="eastAsia" w:ascii="宋体" w:hAnsi="宋体" w:eastAsia="宋体" w:cs="宋体"/>
                <w:szCs w:val="21"/>
                <w:highlight w:val="none"/>
              </w:rPr>
              <w:t>其他</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2E992523">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Cs w:val="21"/>
                <w:highlight w:val="none"/>
              </w:rPr>
            </w:pPr>
            <w:r>
              <w:rPr>
                <w:rFonts w:hint="eastAsia" w:ascii="宋体" w:hAnsi="宋体" w:cs="宋体"/>
                <w:szCs w:val="21"/>
                <w:highlight w:val="none"/>
              </w:rPr>
              <w:t>1、本招标文件前后条款若有不一致之处，在澄清答疑时又未作出明确规定时，各投标人的投标文件只要满足其中任一条款，均视为对本招标文件的响应。</w:t>
            </w:r>
          </w:p>
          <w:p w14:paraId="04B4F7A5">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Cs w:val="21"/>
                <w:highlight w:val="none"/>
              </w:rPr>
            </w:pPr>
            <w:r>
              <w:rPr>
                <w:rFonts w:hint="eastAsia" w:ascii="宋体" w:hAnsi="宋体" w:cs="宋体"/>
                <w:szCs w:val="21"/>
                <w:highlight w:val="none"/>
              </w:rPr>
              <w:t>2、本项目招标公告与本招标文件不一致之处，以本招标文件为准。</w:t>
            </w:r>
          </w:p>
          <w:p w14:paraId="418A7D5E">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zCs w:val="21"/>
                <w:highlight w:val="none"/>
              </w:rPr>
            </w:pPr>
            <w:r>
              <w:rPr>
                <w:rFonts w:hint="eastAsia" w:ascii="宋体" w:hAnsi="宋体" w:cs="宋体"/>
                <w:szCs w:val="21"/>
                <w:highlight w:val="none"/>
              </w:rPr>
              <w:t>3、本项目严禁非法转包，一经发现，招标人依法处理。</w:t>
            </w:r>
          </w:p>
          <w:p w14:paraId="29495EAA">
            <w:pPr>
              <w:keepNext w:val="0"/>
              <w:keepLines w:val="0"/>
              <w:pageBreakBefore w:val="0"/>
              <w:kinsoku/>
              <w:wordWrap/>
              <w:overflowPunct/>
              <w:topLinePunct w:val="0"/>
              <w:autoSpaceDE/>
              <w:autoSpaceDN/>
              <w:bidi w:val="0"/>
              <w:adjustRightInd/>
              <w:snapToGrid/>
              <w:spacing w:line="440" w:lineRule="exact"/>
              <w:textAlignment w:val="auto"/>
              <w:rPr>
                <w:rFonts w:ascii="宋体" w:hAnsi="宋体" w:cs="宋体"/>
                <w:strike/>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、本文件的最终解释权归招标人、招标代理机构所有。</w:t>
            </w:r>
          </w:p>
        </w:tc>
      </w:tr>
      <w:tr w14:paraId="328095FF">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0C5D0898">
            <w:pPr>
              <w:keepNext w:val="0"/>
              <w:keepLines w:val="0"/>
              <w:pageBreakBefore w:val="0"/>
              <w:kinsoku/>
              <w:wordWrap/>
              <w:overflowPunct/>
              <w:autoSpaceDN/>
              <w:bidi w:val="0"/>
              <w:spacing w:line="440" w:lineRule="exact"/>
              <w:jc w:val="center"/>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监理机构人员要求 </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47D7F3D7">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1、人员配备： </w:t>
            </w:r>
          </w:p>
          <w:p w14:paraId="44F37BF6">
            <w:pPr>
              <w:keepNext w:val="0"/>
              <w:keepLines w:val="0"/>
              <w:pageBreakBefore w:val="0"/>
              <w:widowControl/>
              <w:suppressLineNumbers w:val="0"/>
              <w:kinsoku/>
              <w:wordWrap/>
              <w:overflowPunct/>
              <w:autoSpaceDN/>
              <w:bidi w:val="0"/>
              <w:spacing w:line="440" w:lineRule="exact"/>
              <w:jc w:val="left"/>
              <w:textAlignment w:val="auto"/>
              <w:rPr>
                <w:highlight w:val="none"/>
              </w:rPr>
            </w:pPr>
            <w:r>
              <w:rPr>
                <w:rFonts w:hint="eastAsia" w:ascii="宋体" w:hAnsi="宋体" w:eastAsia="宋体" w:cs="宋体"/>
                <w:szCs w:val="21"/>
                <w:highlight w:val="none"/>
                <w:lang w:val="en-US" w:eastAsia="zh-CN"/>
              </w:rPr>
              <w:t>（1）项目负责人（总监理工程师）1 人【具有</w:t>
            </w:r>
            <w:r>
              <w:rPr>
                <w:rFonts w:hint="eastAsia" w:ascii="宋体" w:hAnsi="宋体" w:cs="宋体"/>
                <w:szCs w:val="21"/>
                <w:highlight w:val="none"/>
                <w:lang w:val="en-US" w:eastAsia="zh-CN"/>
              </w:rPr>
              <w:t>电力工程或</w:t>
            </w:r>
            <w:r>
              <w:rPr>
                <w:rFonts w:hint="eastAsia" w:ascii="宋体" w:hAnsi="宋体" w:eastAsia="宋体" w:cs="宋体"/>
                <w:szCs w:val="21"/>
                <w:highlight w:val="none"/>
                <w:lang w:val="en-US" w:eastAsia="zh-CN"/>
              </w:rPr>
              <w:t>机电安装工程专业</w:t>
            </w:r>
            <w:r>
              <w:rPr>
                <w:rFonts w:hint="eastAsia" w:ascii="宋体" w:hAnsi="宋体" w:cs="宋体"/>
                <w:color w:val="auto"/>
                <w:szCs w:val="21"/>
                <w:highlight w:val="none"/>
                <w:lang w:val="en-US" w:eastAsia="zh-CN"/>
              </w:rPr>
              <w:t>或</w:t>
            </w:r>
            <w:r>
              <w:rPr>
                <w:rFonts w:hint="eastAsia" w:ascii="宋体" w:hAnsi="宋体" w:eastAsia="宋体" w:cs="宋体"/>
                <w:color w:val="auto"/>
                <w:szCs w:val="21"/>
                <w:highlight w:val="none"/>
                <w:lang w:eastAsia="zh-CN"/>
              </w:rPr>
              <w:t>房屋建筑工程</w:t>
            </w:r>
            <w:r>
              <w:rPr>
                <w:rFonts w:hint="eastAsia" w:ascii="宋体" w:hAnsi="宋体" w:eastAsia="宋体" w:cs="宋体"/>
                <w:szCs w:val="21"/>
                <w:highlight w:val="none"/>
                <w:lang w:val="en-US" w:eastAsia="zh-CN"/>
              </w:rPr>
              <w:t>国家级注册监理工程师证书，且在投标单位注册】；</w:t>
            </w:r>
          </w:p>
          <w:p w14:paraId="2326E0F2">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（2）专业监理工程师建筑工程专业 1 人（具有国家监理工程师注册证书或省建设厅或省监理协会颁发的监理工程师岗位证书人员）； </w:t>
            </w:r>
          </w:p>
          <w:p w14:paraId="1F6870BB">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（3）监理员 </w:t>
            </w:r>
            <w:r>
              <w:rPr>
                <w:rFonts w:hint="eastAsia" w:ascii="宋体" w:hAnsi="宋体" w:cs="宋体"/>
                <w:szCs w:val="21"/>
                <w:highlight w:val="none"/>
                <w:lang w:val="en-US" w:eastAsia="zh-CN"/>
              </w:rPr>
              <w:t>3</w:t>
            </w:r>
            <w:r>
              <w:rPr>
                <w:rFonts w:hint="eastAsia" w:ascii="宋体" w:hAnsi="宋体" w:eastAsia="宋体" w:cs="宋体"/>
                <w:szCs w:val="21"/>
                <w:highlight w:val="none"/>
                <w:lang w:val="en-US" w:eastAsia="zh-CN"/>
              </w:rPr>
              <w:t xml:space="preserve"> 人（监理员必须具有在本单位注册的省建设厅或省监理协会颁发的上岗证书或培训合格证书）； </w:t>
            </w:r>
          </w:p>
          <w:p w14:paraId="4789AAAA">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（4）见证员 1 人（可由监理员代替，但不得兼任，监理员必须具有在本单位注册的省建设厅或省监理协会颁发的上岗证书或培训合格证书）； </w:t>
            </w:r>
          </w:p>
          <w:p w14:paraId="55D43F19">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以上人员均不可兼任。招标资格审查阶段除项目负责人（总监理工程师），其余人员无需提供相关人员证书。 </w:t>
            </w:r>
          </w:p>
          <w:p w14:paraId="336DCB58">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 xml:space="preserve">2、以上人员配备为最低配备标准要求，在后期项目实施过程中，项目单位可根据施工现场情况增加或调整人员数量和相关专业，费用不予调整。 </w:t>
            </w:r>
          </w:p>
          <w:p w14:paraId="421E4A51">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cs="宋体"/>
                <w:szCs w:val="21"/>
                <w:highlight w:val="none"/>
                <w:lang w:val="en-US" w:eastAsia="zh-CN"/>
              </w:rPr>
            </w:pPr>
            <w:r>
              <w:rPr>
                <w:rFonts w:hint="eastAsia" w:ascii="宋体" w:hAnsi="宋体" w:eastAsia="宋体" w:cs="宋体"/>
                <w:szCs w:val="21"/>
                <w:highlight w:val="none"/>
                <w:lang w:val="en-US" w:eastAsia="zh-CN"/>
              </w:rPr>
              <w:t>3、投标人中标后，必须严格按照要求配备安排监理人员进场，否则招标人有权拒签合同并要求中标人赔偿相关损失（工期延误）。</w:t>
            </w:r>
          </w:p>
        </w:tc>
      </w:tr>
      <w:tr w14:paraId="1A43CF1D">
        <w:tblPrEx>
          <w:tblCellMar>
            <w:top w:w="0" w:type="dxa"/>
            <w:left w:w="108" w:type="dxa"/>
            <w:bottom w:w="0" w:type="dxa"/>
            <w:right w:w="108" w:type="dxa"/>
          </w:tblCellMar>
        </w:tblPrEx>
        <w:trPr>
          <w:trHeight w:val="90" w:hRule="atLeast"/>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19D7EA1E">
            <w:pPr>
              <w:keepNext w:val="0"/>
              <w:keepLines w:val="0"/>
              <w:pageBreakBefore w:val="0"/>
              <w:kinsoku/>
              <w:wordWrap/>
              <w:overflowPunct/>
              <w:autoSpaceDN/>
              <w:bidi w:val="0"/>
              <w:spacing w:line="440" w:lineRule="exact"/>
              <w:jc w:val="center"/>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szCs w:val="21"/>
                <w:highlight w:val="none"/>
              </w:rPr>
              <w:t>办公场所、设备</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7825E8B7">
            <w:pPr>
              <w:keepNext w:val="0"/>
              <w:keepLines w:val="0"/>
              <w:pageBreakBefore w:val="0"/>
              <w:kinsoku/>
              <w:wordWrap/>
              <w:overflowPunct/>
              <w:autoSpaceDN/>
              <w:bidi w:val="0"/>
              <w:spacing w:line="440" w:lineRule="exact"/>
              <w:textAlignment w:val="auto"/>
              <w:rPr>
                <w:rFonts w:hint="eastAsia" w:ascii="宋体" w:hAnsi="宋体" w:eastAsia="宋体" w:cs="宋体"/>
                <w:bCs/>
                <w:color w:val="auto"/>
                <w:kern w:val="0"/>
                <w:sz w:val="21"/>
                <w:szCs w:val="21"/>
                <w:highlight w:val="none"/>
                <w:lang w:val="en-US" w:eastAsia="zh-CN" w:bidi="ar-SA"/>
              </w:rPr>
            </w:pPr>
            <w:r>
              <w:rPr>
                <w:rFonts w:hint="eastAsia" w:ascii="宋体" w:hAnsi="宋体" w:cs="宋体"/>
                <w:szCs w:val="21"/>
                <w:highlight w:val="none"/>
              </w:rPr>
              <w:t>现场办公场所由施工单位提供，办公设备由中标人自行配备。</w:t>
            </w:r>
          </w:p>
        </w:tc>
      </w:tr>
      <w:tr w14:paraId="74927B0D">
        <w:tblPrEx>
          <w:tblCellMar>
            <w:top w:w="0" w:type="dxa"/>
            <w:left w:w="108" w:type="dxa"/>
            <w:bottom w:w="0" w:type="dxa"/>
            <w:right w:w="108" w:type="dxa"/>
          </w:tblCellMar>
        </w:tblPrEx>
        <w:trPr>
          <w:trHeight w:val="90" w:hRule="atLeast"/>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3BF172C6">
            <w:pPr>
              <w:keepNext w:val="0"/>
              <w:keepLines w:val="0"/>
              <w:pageBreakBefore w:val="0"/>
              <w:kinsoku/>
              <w:wordWrap/>
              <w:overflowPunct/>
              <w:autoSpaceDN/>
              <w:bidi w:val="0"/>
              <w:spacing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szCs w:val="21"/>
                <w:highlight w:val="none"/>
              </w:rPr>
              <w:t>前期手续办理</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32A3B596">
            <w:pPr>
              <w:keepNext w:val="0"/>
              <w:keepLines w:val="0"/>
              <w:pageBreakBefore w:val="0"/>
              <w:kinsoku/>
              <w:wordWrap/>
              <w:overflowPunct/>
              <w:autoSpaceDN/>
              <w:bidi w:val="0"/>
              <w:spacing w:line="440" w:lineRule="exact"/>
              <w:textAlignment w:val="auto"/>
              <w:rPr>
                <w:rFonts w:ascii="宋体" w:hAnsi="宋体" w:eastAsia="宋体" w:cs="宋体"/>
                <w:color w:val="auto"/>
                <w:spacing w:val="-3"/>
                <w:kern w:val="0"/>
                <w:sz w:val="21"/>
                <w:szCs w:val="21"/>
                <w:highlight w:val="none"/>
                <w:lang w:val="zh-CN" w:eastAsia="zh-CN" w:bidi="ar-SA"/>
              </w:rPr>
            </w:pPr>
            <w:r>
              <w:rPr>
                <w:rFonts w:hint="eastAsia" w:ascii="宋体" w:hAnsi="宋体" w:cs="宋体"/>
                <w:color w:val="auto"/>
                <w:szCs w:val="21"/>
                <w:highlight w:val="none"/>
              </w:rPr>
              <w:t>合同签订后90日内配合发包人完成质量、安全报监和施工许可证办理，否则，每延期一天</w:t>
            </w:r>
            <w:r>
              <w:rPr>
                <w:rFonts w:hint="eastAsia" w:ascii="宋体" w:hAnsi="宋体" w:cs="宋体"/>
                <w:color w:val="auto"/>
                <w:szCs w:val="21"/>
                <w:highlight w:val="none"/>
                <w:lang w:val="en-US" w:eastAsia="zh-CN"/>
              </w:rPr>
              <w:t>处以</w:t>
            </w:r>
            <w:r>
              <w:rPr>
                <w:rFonts w:hint="eastAsia" w:ascii="宋体" w:hAnsi="宋体" w:cs="宋体"/>
                <w:color w:val="auto"/>
                <w:szCs w:val="21"/>
                <w:highlight w:val="none"/>
              </w:rPr>
              <w:t>500元/天的违约金（因发包人原因除外）。</w:t>
            </w:r>
          </w:p>
        </w:tc>
      </w:tr>
      <w:tr w14:paraId="15871AC2">
        <w:tblPrEx>
          <w:tblCellMar>
            <w:top w:w="0" w:type="dxa"/>
            <w:left w:w="108" w:type="dxa"/>
            <w:bottom w:w="0" w:type="dxa"/>
            <w:right w:w="108" w:type="dxa"/>
          </w:tblCellMar>
        </w:tblPrEx>
        <w:trPr>
          <w:jc w:val="center"/>
        </w:trPr>
        <w:tc>
          <w:tcPr>
            <w:tcW w:w="1778" w:type="dxa"/>
            <w:gridSpan w:val="2"/>
            <w:tcBorders>
              <w:top w:val="single" w:color="auto" w:sz="4" w:space="0"/>
              <w:left w:val="single" w:color="auto" w:sz="4" w:space="0"/>
              <w:bottom w:val="single" w:color="auto" w:sz="4" w:space="0"/>
              <w:right w:val="single" w:color="auto" w:sz="4" w:space="0"/>
            </w:tcBorders>
            <w:noWrap/>
            <w:vAlign w:val="center"/>
          </w:tcPr>
          <w:p w14:paraId="7AAF78DF">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lang w:val="en-US" w:eastAsia="zh-CN" w:bidi="ar-SA"/>
              </w:rPr>
            </w:pPr>
            <w:bookmarkStart w:id="51" w:name="_Toc35424887"/>
            <w:bookmarkStart w:id="52" w:name="_Toc35425053"/>
            <w:bookmarkStart w:id="53" w:name="_Toc15058846"/>
            <w:bookmarkStart w:id="54" w:name="_Toc5813"/>
            <w:r>
              <w:rPr>
                <w:rFonts w:hint="eastAsia" w:ascii="宋体" w:hAnsi="宋体" w:eastAsia="宋体" w:cs="宋体"/>
                <w:sz w:val="21"/>
                <w:szCs w:val="21"/>
                <w:highlight w:val="none"/>
              </w:rPr>
              <w:t>监理人员费用考核</w:t>
            </w:r>
          </w:p>
        </w:tc>
        <w:tc>
          <w:tcPr>
            <w:tcW w:w="8550" w:type="dxa"/>
            <w:gridSpan w:val="2"/>
            <w:tcBorders>
              <w:top w:val="single" w:color="auto" w:sz="4" w:space="0"/>
              <w:left w:val="single" w:color="auto" w:sz="4" w:space="0"/>
              <w:bottom w:val="single" w:color="auto" w:sz="4" w:space="0"/>
              <w:right w:val="single" w:color="auto" w:sz="4" w:space="0"/>
            </w:tcBorders>
            <w:noWrap/>
            <w:vAlign w:val="center"/>
          </w:tcPr>
          <w:p w14:paraId="5E63EB0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中标监理费总价最终结合投标人员到位数量来结算。即：投标总价/服务期（月）/投标人数=每个投标人员每月应得的费用，经现场考勤，少投入1人扣除1人应得费用（以委托人签字认可的考勤表为准）。中标后，如实际到岗人数不满足</w:t>
            </w:r>
            <w:r>
              <w:rPr>
                <w:rFonts w:hint="eastAsia" w:ascii="宋体" w:hAnsi="宋体" w:eastAsia="宋体" w:cs="宋体"/>
                <w:sz w:val="21"/>
                <w:szCs w:val="21"/>
                <w:highlight w:val="none"/>
                <w:lang w:val="en-US" w:eastAsia="zh-CN"/>
              </w:rPr>
              <w:t>招标文件</w:t>
            </w:r>
            <w:r>
              <w:rPr>
                <w:rFonts w:hint="eastAsia" w:ascii="宋体" w:hAnsi="宋体" w:eastAsia="宋体" w:cs="宋体"/>
                <w:sz w:val="21"/>
                <w:szCs w:val="21"/>
                <w:highlight w:val="none"/>
              </w:rPr>
              <w:t>要求的，将按上述标准从监理费用中予以扣除。（各专业监理可结合项目的实施阶段经委托人签字认可后分期到岗）</w:t>
            </w:r>
          </w:p>
        </w:tc>
      </w:tr>
      <w:tr w14:paraId="551BBC24">
        <w:tblPrEx>
          <w:tblCellMar>
            <w:top w:w="0" w:type="dxa"/>
            <w:left w:w="108" w:type="dxa"/>
            <w:bottom w:w="0" w:type="dxa"/>
            <w:right w:w="108" w:type="dxa"/>
          </w:tblCellMar>
        </w:tblPrEx>
        <w:trPr>
          <w:jc w:val="center"/>
        </w:trPr>
        <w:tc>
          <w:tcPr>
            <w:tcW w:w="0" w:type="auto"/>
            <w:gridSpan w:val="2"/>
            <w:tcBorders>
              <w:top w:val="single" w:color="auto" w:sz="4" w:space="0"/>
              <w:left w:val="single" w:color="auto" w:sz="4" w:space="0"/>
              <w:bottom w:val="single" w:color="auto" w:sz="4" w:space="0"/>
              <w:right w:val="single" w:color="auto" w:sz="4" w:space="0"/>
            </w:tcBorders>
            <w:vAlign w:val="center"/>
          </w:tcPr>
          <w:p w14:paraId="7B9A814B">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监理考核考勤</w:t>
            </w:r>
          </w:p>
        </w:tc>
        <w:tc>
          <w:tcPr>
            <w:tcW w:w="0" w:type="auto"/>
            <w:gridSpan w:val="2"/>
            <w:tcBorders>
              <w:top w:val="single" w:color="auto" w:sz="4" w:space="0"/>
              <w:left w:val="single" w:color="auto" w:sz="4" w:space="0"/>
              <w:bottom w:val="single" w:color="auto" w:sz="4" w:space="0"/>
              <w:right w:val="single" w:color="auto" w:sz="4" w:space="0"/>
            </w:tcBorders>
            <w:vAlign w:val="center"/>
          </w:tcPr>
          <w:p w14:paraId="50B49A23">
            <w:pPr>
              <w:keepNext w:val="0"/>
              <w:keepLines w:val="0"/>
              <w:pageBreakBefore w:val="0"/>
              <w:kinsoku/>
              <w:wordWrap/>
              <w:overflowPunct/>
              <w:topLinePunct w:val="0"/>
              <w:autoSpaceDE/>
              <w:autoSpaceDN/>
              <w:bidi w:val="0"/>
              <w:adjustRightInd/>
              <w:snapToGrid/>
              <w:spacing w:line="440" w:lineRule="exact"/>
              <w:ind w:firstLine="105" w:firstLineChars="50"/>
              <w:jc w:val="left"/>
              <w:textAlignment w:val="auto"/>
              <w:rPr>
                <w:rFonts w:hint="eastAsia" w:ascii="宋体" w:hAnsi="宋体" w:eastAsia="宋体" w:cs="宋体"/>
                <w:kern w:val="0"/>
                <w:sz w:val="21"/>
                <w:szCs w:val="21"/>
                <w:highlight w:val="none"/>
                <w:lang w:bidi="ar-SA"/>
              </w:rPr>
            </w:pPr>
            <w:r>
              <w:rPr>
                <w:rFonts w:hint="eastAsia" w:ascii="宋体" w:hAnsi="宋体" w:eastAsia="宋体" w:cs="宋体"/>
                <w:kern w:val="0"/>
                <w:sz w:val="21"/>
                <w:szCs w:val="21"/>
                <w:highlight w:val="none"/>
                <w:lang w:bidi="ar-SA"/>
              </w:rPr>
              <w:t>（1）人员考核：工程开工进场后，监理单位必须按招标文件要求和投标承诺配备项目总监</w:t>
            </w:r>
            <w:r>
              <w:rPr>
                <w:rFonts w:hint="eastAsia" w:ascii="宋体" w:hAnsi="宋体" w:cs="宋体"/>
                <w:kern w:val="0"/>
                <w:sz w:val="21"/>
                <w:szCs w:val="21"/>
                <w:highlight w:val="none"/>
                <w:lang w:eastAsia="zh-CN" w:bidi="ar-SA"/>
              </w:rPr>
              <w:t>、</w:t>
            </w:r>
            <w:r>
              <w:rPr>
                <w:rFonts w:hint="eastAsia" w:ascii="宋体" w:hAnsi="宋体" w:eastAsia="宋体" w:cs="宋体"/>
                <w:kern w:val="0"/>
                <w:sz w:val="21"/>
                <w:szCs w:val="21"/>
                <w:highlight w:val="none"/>
                <w:lang w:bidi="ar-SA"/>
              </w:rPr>
              <w:t>专业监理工程师、监理员等监理部关键岗位人员以监理单位任命文为准。未经发包人同意，不得更换上述人员。发包人将组织对上述人员进行业务能力考核，对未按投标文件配备或经考核不合格要求更换人员的，（从第一次监理例会进行计算时间）监理单位累计7日内必须整改调整到位。否则，对于总监，按照2000元/人·天</w:t>
            </w:r>
            <w:r>
              <w:rPr>
                <w:rFonts w:hint="eastAsia" w:ascii="宋体" w:hAnsi="宋体" w:cs="宋体"/>
                <w:kern w:val="0"/>
                <w:sz w:val="21"/>
                <w:szCs w:val="21"/>
                <w:highlight w:val="none"/>
                <w:lang w:val="en-US" w:eastAsia="zh-CN" w:bidi="ar-SA"/>
              </w:rPr>
              <w:t>处以</w:t>
            </w:r>
            <w:r>
              <w:rPr>
                <w:rFonts w:hint="eastAsia" w:ascii="宋体" w:hAnsi="宋体" w:eastAsia="宋体" w:cs="宋体"/>
                <w:kern w:val="0"/>
                <w:sz w:val="21"/>
                <w:szCs w:val="21"/>
                <w:highlight w:val="none"/>
                <w:lang w:bidi="ar-SA"/>
              </w:rPr>
              <w:t>违约金，专业监理工程师、监理员按照1000元/人·天</w:t>
            </w:r>
            <w:r>
              <w:rPr>
                <w:rFonts w:hint="eastAsia" w:ascii="宋体" w:hAnsi="宋体" w:cs="宋体"/>
                <w:kern w:val="0"/>
                <w:sz w:val="21"/>
                <w:szCs w:val="21"/>
                <w:highlight w:val="none"/>
                <w:lang w:val="en-US" w:eastAsia="zh-CN" w:bidi="ar-SA"/>
              </w:rPr>
              <w:t>处以</w:t>
            </w:r>
            <w:r>
              <w:rPr>
                <w:rFonts w:hint="eastAsia" w:ascii="宋体" w:hAnsi="宋体" w:eastAsia="宋体" w:cs="宋体"/>
                <w:kern w:val="0"/>
                <w:sz w:val="21"/>
                <w:szCs w:val="21"/>
                <w:highlight w:val="none"/>
                <w:lang w:bidi="ar-SA"/>
              </w:rPr>
              <w:t>违约金。累计28日内未整改调整到位的，发包人有权终止合同，并提请相关行政主管部门对企业和人员进行“黑名单”处罚。</w:t>
            </w:r>
          </w:p>
          <w:p w14:paraId="1F8C3FD6">
            <w:pPr>
              <w:keepNext w:val="0"/>
              <w:keepLines w:val="0"/>
              <w:pageBreakBefore w:val="0"/>
              <w:kinsoku/>
              <w:wordWrap/>
              <w:overflowPunct/>
              <w:topLinePunct w:val="0"/>
              <w:autoSpaceDE/>
              <w:autoSpaceDN/>
              <w:bidi w:val="0"/>
              <w:adjustRightInd/>
              <w:snapToGrid/>
              <w:spacing w:line="440" w:lineRule="exact"/>
              <w:ind w:firstLine="105" w:firstLineChars="50"/>
              <w:jc w:val="left"/>
              <w:textAlignment w:val="auto"/>
              <w:rPr>
                <w:rFonts w:hint="eastAsia" w:ascii="宋体" w:hAnsi="宋体" w:eastAsia="宋体" w:cs="宋体"/>
                <w:kern w:val="0"/>
                <w:sz w:val="21"/>
                <w:szCs w:val="21"/>
                <w:highlight w:val="none"/>
                <w:lang w:bidi="ar-SA"/>
              </w:rPr>
            </w:pPr>
            <w:r>
              <w:rPr>
                <w:rFonts w:hint="eastAsia" w:ascii="宋体" w:hAnsi="宋体" w:eastAsia="宋体" w:cs="宋体"/>
                <w:kern w:val="0"/>
                <w:sz w:val="21"/>
                <w:szCs w:val="21"/>
                <w:highlight w:val="none"/>
                <w:lang w:bidi="ar-SA"/>
              </w:rPr>
              <w:t>（2）在第一次监理例会，监理单位针对投标承诺配备项目总监，监理单位为本项目配备的专业监理工程师、监理员等监理部关键岗位人员必须全部到场参加，否则发包人有权终止合同，并提请相关行政主管部门对企业和人员进行“黑名单”处罚。</w:t>
            </w:r>
          </w:p>
          <w:p w14:paraId="786E7000">
            <w:pPr>
              <w:keepNext w:val="0"/>
              <w:keepLines w:val="0"/>
              <w:pageBreakBefore w:val="0"/>
              <w:kinsoku/>
              <w:wordWrap/>
              <w:overflowPunct/>
              <w:topLinePunct w:val="0"/>
              <w:autoSpaceDE/>
              <w:autoSpaceDN/>
              <w:bidi w:val="0"/>
              <w:adjustRightInd/>
              <w:snapToGrid/>
              <w:spacing w:line="440" w:lineRule="exact"/>
              <w:ind w:firstLine="105" w:firstLineChars="50"/>
              <w:jc w:val="left"/>
              <w:textAlignment w:val="auto"/>
              <w:rPr>
                <w:rFonts w:hint="eastAsia" w:ascii="宋体" w:hAnsi="宋体" w:eastAsia="宋体" w:cs="宋体"/>
                <w:kern w:val="0"/>
                <w:sz w:val="21"/>
                <w:szCs w:val="21"/>
                <w:highlight w:val="none"/>
                <w:lang w:bidi="ar-SA"/>
              </w:rPr>
            </w:pPr>
            <w:r>
              <w:rPr>
                <w:rFonts w:hint="eastAsia" w:ascii="宋体" w:hAnsi="宋体" w:eastAsia="宋体" w:cs="宋体"/>
                <w:kern w:val="0"/>
                <w:sz w:val="21"/>
                <w:szCs w:val="21"/>
                <w:highlight w:val="none"/>
                <w:lang w:bidi="ar-SA"/>
              </w:rPr>
              <w:t>（3）在图纸交底会议，监理单位针对投标承诺配备项目总监，监理单位为本项目配备的专业监理工程师、监理员等监理部关键岗位人员必须全部到场参加，否则发包人有权终止合同，并提请相关行政主管部门对企业和人员进行“黑名单”处罚。</w:t>
            </w:r>
          </w:p>
          <w:p w14:paraId="0316F2F5">
            <w:pPr>
              <w:keepNext w:val="0"/>
              <w:keepLines w:val="0"/>
              <w:pageBreakBefore w:val="0"/>
              <w:kinsoku/>
              <w:wordWrap/>
              <w:overflowPunct/>
              <w:topLinePunct w:val="0"/>
              <w:autoSpaceDE/>
              <w:autoSpaceDN/>
              <w:bidi w:val="0"/>
              <w:adjustRightInd/>
              <w:snapToGrid/>
              <w:spacing w:line="440" w:lineRule="exact"/>
              <w:ind w:firstLine="105" w:firstLineChars="50"/>
              <w:jc w:val="left"/>
              <w:textAlignment w:val="auto"/>
              <w:rPr>
                <w:rFonts w:hint="eastAsia" w:ascii="宋体" w:hAnsi="宋体" w:eastAsia="宋体" w:cs="宋体"/>
                <w:kern w:val="0"/>
                <w:sz w:val="21"/>
                <w:szCs w:val="21"/>
                <w:highlight w:val="none"/>
                <w:lang w:bidi="ar-SA"/>
              </w:rPr>
            </w:pPr>
            <w:r>
              <w:rPr>
                <w:rFonts w:hint="eastAsia" w:ascii="宋体" w:hAnsi="宋体" w:eastAsia="宋体" w:cs="宋体"/>
                <w:kern w:val="0"/>
                <w:sz w:val="21"/>
                <w:szCs w:val="21"/>
                <w:highlight w:val="none"/>
                <w:lang w:bidi="ar-SA"/>
              </w:rPr>
              <w:t>（4）人员考勤：①监理部所有管理人员上下班实行人脸识别电子考勤，人脸识别电子考勤系统设备必须与招标人现行使用的监管平台无缝对接。②监管平台设备及人脸识别电子考勤系统设备，监理人可以租赁或购买，但租赁或购买费用由监理人在投标报价时自行考虑，含在投标报价中，招标人将不再支付任何费用。③监管平台考勤范围为本项目监理部和项目部所有管理人员，监管平台信息及数据录入（包括质量、进度、安全、施工许可办理等）均由监理单位负责。</w:t>
            </w:r>
          </w:p>
          <w:p w14:paraId="331EAB2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b/>
                <w:bCs/>
                <w:kern w:val="0"/>
                <w:sz w:val="21"/>
                <w:szCs w:val="21"/>
                <w:highlight w:val="none"/>
                <w:lang w:val="en-US" w:eastAsia="zh-CN" w:bidi="ar-SA"/>
              </w:rPr>
              <w:t>根据施工实际需要安排，按照经批准的人员进场计划进行考勤。</w:t>
            </w:r>
            <w:r>
              <w:rPr>
                <w:rFonts w:hint="eastAsia" w:ascii="宋体" w:hAnsi="宋体" w:eastAsia="宋体" w:cs="宋体"/>
                <w:kern w:val="0"/>
                <w:sz w:val="21"/>
                <w:szCs w:val="21"/>
                <w:highlight w:val="none"/>
                <w:lang w:bidi="ar-SA"/>
              </w:rPr>
              <w:t>总监每月在岗时间不得少于2</w:t>
            </w:r>
            <w:r>
              <w:rPr>
                <w:rFonts w:hint="eastAsia" w:ascii="宋体" w:hAnsi="宋体" w:cs="宋体"/>
                <w:kern w:val="0"/>
                <w:sz w:val="21"/>
                <w:szCs w:val="21"/>
                <w:highlight w:val="none"/>
                <w:lang w:val="en-US" w:eastAsia="zh-CN" w:bidi="ar-SA"/>
              </w:rPr>
              <w:t>2</w:t>
            </w:r>
            <w:r>
              <w:rPr>
                <w:rFonts w:hint="eastAsia" w:ascii="宋体" w:hAnsi="宋体" w:eastAsia="宋体" w:cs="宋体"/>
                <w:kern w:val="0"/>
                <w:sz w:val="21"/>
                <w:szCs w:val="21"/>
                <w:highlight w:val="none"/>
                <w:lang w:bidi="ar-SA"/>
              </w:rPr>
              <w:t>天，专业监理工程师、监理员每月均在岗。未按规定在岗履责的，对总监处</w:t>
            </w:r>
            <w:r>
              <w:rPr>
                <w:rFonts w:hint="eastAsia" w:ascii="宋体" w:hAnsi="宋体" w:cs="宋体"/>
                <w:kern w:val="0"/>
                <w:sz w:val="21"/>
                <w:szCs w:val="21"/>
                <w:highlight w:val="none"/>
                <w:lang w:val="en-US" w:eastAsia="zh-CN" w:bidi="ar-SA"/>
              </w:rPr>
              <w:t>以</w:t>
            </w:r>
            <w:r>
              <w:rPr>
                <w:rFonts w:hint="eastAsia" w:ascii="宋体" w:hAnsi="宋体" w:eastAsia="宋体" w:cs="宋体"/>
                <w:kern w:val="0"/>
                <w:sz w:val="21"/>
                <w:szCs w:val="21"/>
                <w:highlight w:val="none"/>
                <w:lang w:bidi="ar-SA"/>
              </w:rPr>
              <w:t>1000元/人·天的违约金，对专业监理工程师、监理员处</w:t>
            </w:r>
            <w:r>
              <w:rPr>
                <w:rFonts w:hint="eastAsia" w:ascii="宋体" w:hAnsi="宋体" w:cs="宋体"/>
                <w:kern w:val="0"/>
                <w:sz w:val="21"/>
                <w:szCs w:val="21"/>
                <w:highlight w:val="none"/>
                <w:lang w:val="en-US" w:eastAsia="zh-CN" w:bidi="ar-SA"/>
              </w:rPr>
              <w:t>以</w:t>
            </w:r>
            <w:r>
              <w:rPr>
                <w:rFonts w:hint="eastAsia" w:ascii="宋体" w:hAnsi="宋体" w:eastAsia="宋体" w:cs="宋体"/>
                <w:kern w:val="0"/>
                <w:sz w:val="21"/>
                <w:szCs w:val="21"/>
                <w:highlight w:val="none"/>
                <w:lang w:bidi="ar-SA"/>
              </w:rPr>
              <w:t>1000元/人·天的违约金。监理部关键岗位人员离岗必须向发包人代表履行请假手续，若被相关部门日常检查和随机抽查中发现不在岗的，又未履行请假手续的，处</w:t>
            </w:r>
            <w:r>
              <w:rPr>
                <w:rFonts w:hint="eastAsia" w:ascii="宋体" w:hAnsi="宋体" w:cs="宋体"/>
                <w:kern w:val="0"/>
                <w:sz w:val="21"/>
                <w:szCs w:val="21"/>
                <w:highlight w:val="none"/>
                <w:lang w:val="en-US" w:eastAsia="zh-CN" w:bidi="ar-SA"/>
              </w:rPr>
              <w:t>以</w:t>
            </w:r>
            <w:r>
              <w:rPr>
                <w:rFonts w:hint="eastAsia" w:ascii="宋体" w:hAnsi="宋体" w:eastAsia="宋体" w:cs="宋体"/>
                <w:kern w:val="0"/>
                <w:sz w:val="21"/>
                <w:szCs w:val="21"/>
                <w:highlight w:val="none"/>
                <w:lang w:bidi="ar-SA"/>
              </w:rPr>
              <w:t>5000元/人·次的违约金。</w:t>
            </w:r>
          </w:p>
        </w:tc>
      </w:tr>
      <w:tr w14:paraId="17F83C38">
        <w:tblPrEx>
          <w:tblCellMar>
            <w:top w:w="0" w:type="dxa"/>
            <w:left w:w="108" w:type="dxa"/>
            <w:bottom w:w="0" w:type="dxa"/>
            <w:right w:w="108" w:type="dxa"/>
          </w:tblCellMar>
        </w:tblPrEx>
        <w:trPr>
          <w:jc w:val="center"/>
        </w:trPr>
        <w:tc>
          <w:tcPr>
            <w:tcW w:w="0" w:type="auto"/>
            <w:gridSpan w:val="2"/>
            <w:tcBorders>
              <w:top w:val="single" w:color="auto" w:sz="4" w:space="0"/>
              <w:left w:val="single" w:color="auto" w:sz="4" w:space="0"/>
              <w:bottom w:val="single" w:color="auto" w:sz="4" w:space="0"/>
              <w:right w:val="single" w:color="auto" w:sz="4" w:space="0"/>
            </w:tcBorders>
            <w:vAlign w:val="center"/>
          </w:tcPr>
          <w:p w14:paraId="0550E3DE">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sz w:val="21"/>
                <w:szCs w:val="21"/>
                <w:highlight w:val="none"/>
              </w:rPr>
              <w:t>禁止条款</w:t>
            </w:r>
          </w:p>
        </w:tc>
        <w:tc>
          <w:tcPr>
            <w:tcW w:w="0" w:type="auto"/>
            <w:gridSpan w:val="2"/>
            <w:tcBorders>
              <w:top w:val="single" w:color="auto" w:sz="4" w:space="0"/>
              <w:left w:val="single" w:color="auto" w:sz="4" w:space="0"/>
              <w:bottom w:val="single" w:color="auto" w:sz="4" w:space="0"/>
              <w:right w:val="single" w:color="auto" w:sz="4" w:space="0"/>
            </w:tcBorders>
            <w:vAlign w:val="center"/>
          </w:tcPr>
          <w:p w14:paraId="5AD1A2A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0"/>
                <w:sz w:val="21"/>
                <w:szCs w:val="21"/>
                <w:highlight w:val="none"/>
                <w:lang w:val="en-US" w:eastAsia="zh-CN" w:bidi="ar-SA"/>
              </w:rPr>
            </w:pPr>
            <w:r>
              <w:rPr>
                <w:rFonts w:hint="eastAsia" w:ascii="宋体" w:hAnsi="宋体" w:cs="宋体"/>
                <w:kern w:val="0"/>
                <w:sz w:val="21"/>
                <w:szCs w:val="21"/>
                <w:highlight w:val="none"/>
                <w:lang w:val="en-US" w:eastAsia="zh-CN" w:bidi="ar-SA"/>
              </w:rPr>
              <w:t>中标人</w:t>
            </w:r>
            <w:r>
              <w:rPr>
                <w:rFonts w:hint="eastAsia" w:ascii="宋体" w:hAnsi="宋体" w:eastAsia="宋体" w:cs="宋体"/>
                <w:kern w:val="0"/>
                <w:sz w:val="21"/>
                <w:szCs w:val="21"/>
                <w:highlight w:val="none"/>
                <w:lang w:bidi="ar-SA"/>
              </w:rPr>
              <w:t>不得与施工单位同吃同住；不得将罚款、差旅费及相关费用转嫁给施工单位；不得代替施工单位整理相关施工资料及相关有偿服务；不得以监理费支付等为由拒绝履行监理服务，如有发现，</w:t>
            </w:r>
            <w:r>
              <w:rPr>
                <w:rFonts w:hint="eastAsia" w:ascii="宋体" w:hAnsi="宋体" w:cs="宋体"/>
                <w:kern w:val="0"/>
                <w:sz w:val="21"/>
                <w:szCs w:val="21"/>
                <w:highlight w:val="none"/>
                <w:lang w:val="en-US" w:eastAsia="zh-CN" w:bidi="ar-SA"/>
              </w:rPr>
              <w:t>招标人</w:t>
            </w:r>
            <w:r>
              <w:rPr>
                <w:rFonts w:hint="eastAsia" w:ascii="宋体" w:hAnsi="宋体" w:eastAsia="宋体" w:cs="宋体"/>
                <w:kern w:val="0"/>
                <w:sz w:val="21"/>
                <w:szCs w:val="21"/>
                <w:highlight w:val="none"/>
                <w:lang w:bidi="ar-SA"/>
              </w:rPr>
              <w:t>有权立即予以清退出场，终止合同，并另行委托同等资质的监理单位完善后续服务。</w:t>
            </w:r>
          </w:p>
        </w:tc>
      </w:tr>
    </w:tbl>
    <w:p w14:paraId="518C42FC">
      <w:pPr>
        <w:rPr>
          <w:rFonts w:hint="eastAsia" w:ascii="宋体" w:hAnsi="宋体" w:eastAsia="宋体" w:cs="宋体"/>
          <w:sz w:val="24"/>
          <w:szCs w:val="24"/>
          <w:highlight w:val="none"/>
        </w:rPr>
      </w:pPr>
      <w:bookmarkStart w:id="55" w:name="_Toc78803322"/>
      <w:r>
        <w:rPr>
          <w:rFonts w:hint="eastAsia" w:ascii="宋体" w:hAnsi="宋体" w:eastAsia="宋体" w:cs="宋体"/>
          <w:sz w:val="24"/>
          <w:szCs w:val="24"/>
          <w:highlight w:val="none"/>
        </w:rPr>
        <w:br w:type="page"/>
      </w:r>
    </w:p>
    <w:p w14:paraId="7A8635F3">
      <w:pPr>
        <w:pStyle w:val="7"/>
        <w:spacing w:beforeLines="50" w:afterLines="50"/>
        <w:ind w:firstLine="482" w:firstLineChars="200"/>
        <w:rPr>
          <w:rFonts w:ascii="宋体" w:hAnsi="宋体" w:eastAsia="宋体" w:cs="宋体"/>
          <w:sz w:val="24"/>
          <w:szCs w:val="24"/>
          <w:highlight w:val="none"/>
        </w:rPr>
      </w:pPr>
      <w:r>
        <w:rPr>
          <w:rFonts w:hint="eastAsia" w:ascii="宋体" w:hAnsi="宋体" w:eastAsia="宋体" w:cs="宋体"/>
          <w:sz w:val="24"/>
          <w:szCs w:val="24"/>
          <w:highlight w:val="none"/>
        </w:rPr>
        <w:t>1. 总则</w:t>
      </w:r>
      <w:bookmarkEnd w:id="42"/>
      <w:bookmarkEnd w:id="43"/>
      <w:bookmarkEnd w:id="44"/>
      <w:bookmarkEnd w:id="45"/>
      <w:bookmarkEnd w:id="46"/>
      <w:bookmarkEnd w:id="47"/>
      <w:bookmarkEnd w:id="48"/>
      <w:bookmarkEnd w:id="49"/>
      <w:bookmarkEnd w:id="50"/>
      <w:bookmarkEnd w:id="51"/>
      <w:bookmarkEnd w:id="52"/>
      <w:bookmarkEnd w:id="53"/>
      <w:bookmarkEnd w:id="54"/>
      <w:bookmarkEnd w:id="55"/>
    </w:p>
    <w:p w14:paraId="024A9D25">
      <w:pPr>
        <w:pStyle w:val="7"/>
        <w:ind w:firstLine="422" w:firstLineChars="200"/>
        <w:rPr>
          <w:rFonts w:ascii="宋体" w:hAnsi="宋体" w:eastAsia="宋体" w:cs="宋体"/>
          <w:kern w:val="44"/>
          <w:highlight w:val="none"/>
        </w:rPr>
      </w:pPr>
      <w:bookmarkStart w:id="56" w:name="_Toc78803323"/>
      <w:bookmarkStart w:id="57" w:name="_Toc179632547"/>
      <w:bookmarkStart w:id="58" w:name="_Toc506107270"/>
      <w:bookmarkStart w:id="59" w:name="_Toc144974498"/>
      <w:bookmarkStart w:id="60" w:name="_Toc35425054"/>
      <w:bookmarkStart w:id="61" w:name="_Toc246996919"/>
      <w:bookmarkStart w:id="62" w:name="_Toc35424888"/>
      <w:bookmarkStart w:id="63" w:name="_Toc296602421"/>
      <w:bookmarkStart w:id="64" w:name="_Toc152045530"/>
      <w:bookmarkStart w:id="65" w:name="_Toc247085690"/>
      <w:bookmarkStart w:id="66" w:name="_Toc246996176"/>
      <w:bookmarkStart w:id="67" w:name="_Toc324404816"/>
      <w:bookmarkStart w:id="68" w:name="_Toc4678"/>
      <w:bookmarkStart w:id="69" w:name="_Toc15058847"/>
      <w:bookmarkStart w:id="70" w:name="_Toc152042306"/>
      <w:r>
        <w:rPr>
          <w:rFonts w:hint="eastAsia" w:ascii="宋体" w:hAnsi="宋体" w:eastAsia="宋体" w:cs="宋体"/>
          <w:kern w:val="44"/>
          <w:highlight w:val="none"/>
        </w:rPr>
        <w:t>1.1 项目概况</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4616E63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1.1.1根据《中华人民共和国招标投标法》《中华人民共和国招标投标法实施条例》等有关法律、法规和规章的规定，本招标项目已具备招标条件，现对本项目施工监理进行招标。</w:t>
      </w:r>
    </w:p>
    <w:p w14:paraId="009682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1.1.2 本招标项目招标人：见投标人须知前附表。</w:t>
      </w:r>
    </w:p>
    <w:p w14:paraId="471E6C0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1.1.3 本招标项目招标代理机构：见投标人须知前附表。</w:t>
      </w:r>
    </w:p>
    <w:p w14:paraId="202C7EF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1.1.4 本招标项目名称：见投标人须知前附表。</w:t>
      </w:r>
    </w:p>
    <w:p w14:paraId="4893FB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1.1.5 本招标项目建设地点：见投标人须知前附表。</w:t>
      </w:r>
    </w:p>
    <w:p w14:paraId="59B208CD">
      <w:pPr>
        <w:pStyle w:val="7"/>
        <w:ind w:firstLine="422" w:firstLineChars="200"/>
        <w:rPr>
          <w:rFonts w:ascii="宋体" w:hAnsi="宋体" w:eastAsia="宋体" w:cs="宋体"/>
          <w:highlight w:val="none"/>
        </w:rPr>
      </w:pPr>
      <w:bookmarkStart w:id="71" w:name="_Toc35424889"/>
      <w:bookmarkStart w:id="72" w:name="_Toc15058848"/>
      <w:bookmarkStart w:id="73" w:name="_Toc35425055"/>
      <w:bookmarkStart w:id="74" w:name="_Toc506107271"/>
      <w:bookmarkStart w:id="75" w:name="_Toc247085691"/>
      <w:bookmarkStart w:id="76" w:name="_Toc246996177"/>
      <w:bookmarkStart w:id="77" w:name="_Toc152042307"/>
      <w:bookmarkStart w:id="78" w:name="_Toc324404817"/>
      <w:bookmarkStart w:id="79" w:name="_Toc246996920"/>
      <w:bookmarkStart w:id="80" w:name="_Toc7142"/>
      <w:bookmarkStart w:id="81" w:name="_Toc296602422"/>
      <w:bookmarkStart w:id="82" w:name="_Toc179632548"/>
      <w:bookmarkStart w:id="83" w:name="_Toc152045531"/>
      <w:bookmarkStart w:id="84" w:name="_Toc78803324"/>
      <w:bookmarkStart w:id="85" w:name="_Toc144974499"/>
      <w:r>
        <w:rPr>
          <w:rFonts w:hint="eastAsia" w:ascii="宋体" w:hAnsi="宋体" w:eastAsia="宋体" w:cs="宋体"/>
          <w:highlight w:val="none"/>
        </w:rPr>
        <w:t>1.2 资金来源和落实情况</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7855AEE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1.2.1 本招标项目的资金来源及出资比例：见投标人须知前附表。</w:t>
      </w:r>
    </w:p>
    <w:p w14:paraId="6D4AC80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1.2.2 本招标项目的资金落实情况：见投标人须知前附表。</w:t>
      </w:r>
    </w:p>
    <w:p w14:paraId="1F127808">
      <w:pPr>
        <w:pStyle w:val="7"/>
        <w:ind w:firstLine="422" w:firstLineChars="200"/>
        <w:rPr>
          <w:rFonts w:ascii="宋体" w:hAnsi="宋体" w:eastAsia="宋体" w:cs="宋体"/>
          <w:highlight w:val="none"/>
        </w:rPr>
      </w:pPr>
      <w:bookmarkStart w:id="86" w:name="_Toc324404818"/>
      <w:bookmarkStart w:id="87" w:name="_Toc152045532"/>
      <w:bookmarkStart w:id="88" w:name="_Toc15058849"/>
      <w:bookmarkStart w:id="89" w:name="_Toc247085692"/>
      <w:bookmarkStart w:id="90" w:name="_Toc6330"/>
      <w:bookmarkStart w:id="91" w:name="_Toc35424890"/>
      <w:bookmarkStart w:id="92" w:name="_Toc506107272"/>
      <w:bookmarkStart w:id="93" w:name="_Toc152042308"/>
      <w:bookmarkStart w:id="94" w:name="_Toc35425056"/>
      <w:bookmarkStart w:id="95" w:name="_Toc179632549"/>
      <w:bookmarkStart w:id="96" w:name="_Toc144974500"/>
      <w:bookmarkStart w:id="97" w:name="_Toc246996921"/>
      <w:bookmarkStart w:id="98" w:name="_Toc296602423"/>
      <w:bookmarkStart w:id="99" w:name="_Toc78803325"/>
      <w:bookmarkStart w:id="100" w:name="_Toc246996178"/>
      <w:r>
        <w:rPr>
          <w:rFonts w:hint="eastAsia" w:ascii="宋体" w:hAnsi="宋体" w:eastAsia="宋体" w:cs="宋体"/>
          <w:highlight w:val="none"/>
        </w:rPr>
        <w:t>1.3 招标范围、监理服务期限、质量要求</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79D92CC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1.3.1 本次招标范围：见投标人须知前附表。</w:t>
      </w:r>
    </w:p>
    <w:p w14:paraId="07FDB56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1.3.2 本招标项目的监理服务期限：见投标人须知前附表。</w:t>
      </w:r>
    </w:p>
    <w:p w14:paraId="566BFED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1.3.3 本招标项目的质量要求：见投标人须知前附表。</w:t>
      </w:r>
    </w:p>
    <w:p w14:paraId="53E4D908">
      <w:pPr>
        <w:pStyle w:val="7"/>
        <w:ind w:firstLine="422" w:firstLineChars="200"/>
        <w:rPr>
          <w:rFonts w:ascii="宋体" w:hAnsi="宋体" w:eastAsia="宋体" w:cs="宋体"/>
          <w:highlight w:val="none"/>
        </w:rPr>
      </w:pPr>
      <w:bookmarkStart w:id="101" w:name="_Toc26897"/>
      <w:bookmarkStart w:id="102" w:name="_Toc78803326"/>
      <w:bookmarkStart w:id="103" w:name="_Toc152042310"/>
      <w:bookmarkStart w:id="104" w:name="_Toc246996179"/>
      <w:bookmarkStart w:id="105" w:name="_Toc179632551"/>
      <w:bookmarkStart w:id="106" w:name="_Toc144974502"/>
      <w:bookmarkStart w:id="107" w:name="_Toc324404819"/>
      <w:bookmarkStart w:id="108" w:name="_Toc247085693"/>
      <w:bookmarkStart w:id="109" w:name="_Toc15058850"/>
      <w:bookmarkStart w:id="110" w:name="_Toc296602424"/>
      <w:bookmarkStart w:id="111" w:name="_Toc152045534"/>
      <w:bookmarkStart w:id="112" w:name="_Toc35425057"/>
      <w:bookmarkStart w:id="113" w:name="_Toc35424891"/>
      <w:bookmarkStart w:id="114" w:name="_Toc506107273"/>
      <w:bookmarkStart w:id="115" w:name="_Toc246996922"/>
      <w:r>
        <w:rPr>
          <w:rFonts w:hint="eastAsia" w:ascii="宋体" w:hAnsi="宋体" w:eastAsia="宋体" w:cs="宋体"/>
          <w:highlight w:val="none"/>
        </w:rPr>
        <w:t>1.4 投标人资格要求</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44A72D1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1.4.1 投标人应具备承担本项目监理的资质条件、能力和信誉。</w:t>
      </w:r>
    </w:p>
    <w:p w14:paraId="4CBDA26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（1）资质条件：见投标人须知前附表；</w:t>
      </w:r>
    </w:p>
    <w:p w14:paraId="4DB847B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（2）项目负责人资格：见投标人须知前附表；</w:t>
      </w:r>
    </w:p>
    <w:p w14:paraId="50EF869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（3）信誉要求：见投标人须知前附表；</w:t>
      </w:r>
    </w:p>
    <w:p w14:paraId="2B52E5D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）其他要求：见投标人须知前附表。</w:t>
      </w:r>
    </w:p>
    <w:p w14:paraId="4F58FC8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1.4.2 投标人不得存在下列情形之一：</w:t>
      </w:r>
    </w:p>
    <w:p w14:paraId="596EF40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（1）为招标人不具有独立法人资格的附属机构（单位）；</w:t>
      </w:r>
    </w:p>
    <w:p w14:paraId="3D26BCB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（2）与招标人存在利害关系且可能影响招标公正性；</w:t>
      </w:r>
    </w:p>
    <w:p w14:paraId="31874303">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（3）与本标段的其他投标人同为一个单位负责人；</w:t>
      </w:r>
    </w:p>
    <w:p w14:paraId="4FBBE55A">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（4）与本标段的其他投标人存在控股、管理关系；</w:t>
      </w:r>
    </w:p>
    <w:p w14:paraId="361AD093">
      <w:pPr>
        <w:spacing w:line="440" w:lineRule="exact"/>
        <w:ind w:firstLine="420" w:firstLineChars="200"/>
        <w:jc w:val="left"/>
        <w:rPr>
          <w:rFonts w:hint="eastAsia" w:ascii="宋体" w:hAnsi="宋体" w:cs="宋体"/>
          <w:color w:val="000000"/>
          <w:szCs w:val="21"/>
        </w:rPr>
      </w:pPr>
      <w:r>
        <w:rPr>
          <w:rFonts w:hint="eastAsia" w:ascii="宋体" w:hAnsi="宋体" w:cs="宋体"/>
          <w:szCs w:val="21"/>
          <w:highlight w:val="none"/>
        </w:rPr>
        <w:t>（5）为本标段前期准备提供设计或咨询服务的法人或其任何附属机构（单位）</w:t>
      </w:r>
      <w:r>
        <w:rPr>
          <w:rFonts w:hint="eastAsia" w:ascii="宋体" w:hAnsi="宋体" w:cs="宋体"/>
          <w:color w:val="000000"/>
          <w:szCs w:val="21"/>
        </w:rPr>
        <w:t>；</w:t>
      </w:r>
    </w:p>
    <w:p w14:paraId="58C810AA">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（6）为本标段的监理人；</w:t>
      </w:r>
    </w:p>
    <w:p w14:paraId="437B34E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（7）为本标段的代建人；</w:t>
      </w:r>
    </w:p>
    <w:p w14:paraId="0625DA7A">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（8）为本标段的招标代理机构；</w:t>
      </w:r>
    </w:p>
    <w:p w14:paraId="0C784F87">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（9）与本标段的监理人或代建人或招标代理机构同为一个法定代表人；</w:t>
      </w:r>
    </w:p>
    <w:p w14:paraId="6A0D47A3">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（10）与本标段的监理人或代建人或招标代理机构存在控股或参股关系；</w:t>
      </w:r>
    </w:p>
    <w:p w14:paraId="40E5267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（11）法律法规或投标人须知前附表规定的其他情形。</w:t>
      </w:r>
    </w:p>
    <w:p w14:paraId="286A066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1.4.3 单位负责人为同一人或者存在控股、管理关系的不同单位，不得同时参加本招标项目投标。</w:t>
      </w:r>
    </w:p>
    <w:p w14:paraId="41B4C530">
      <w:pPr>
        <w:pStyle w:val="7"/>
        <w:ind w:firstLine="422" w:firstLineChars="200"/>
        <w:rPr>
          <w:rFonts w:ascii="宋体" w:hAnsi="宋体" w:eastAsia="宋体" w:cs="宋体"/>
          <w:highlight w:val="none"/>
        </w:rPr>
      </w:pPr>
      <w:bookmarkStart w:id="116" w:name="_Toc247085694"/>
      <w:bookmarkStart w:id="117" w:name="_Toc35424892"/>
      <w:bookmarkStart w:id="118" w:name="_Toc324404820"/>
      <w:bookmarkStart w:id="119" w:name="_Toc246996180"/>
      <w:bookmarkStart w:id="120" w:name="_Toc246996923"/>
      <w:bookmarkStart w:id="121" w:name="_Toc78803327"/>
      <w:bookmarkStart w:id="122" w:name="_Toc179632552"/>
      <w:bookmarkStart w:id="123" w:name="_Toc506107274"/>
      <w:bookmarkStart w:id="124" w:name="_Toc144974503"/>
      <w:bookmarkStart w:id="125" w:name="_Toc15058851"/>
      <w:bookmarkStart w:id="126" w:name="_Toc296602425"/>
      <w:bookmarkStart w:id="127" w:name="_Toc35425058"/>
      <w:bookmarkStart w:id="128" w:name="_Toc152042311"/>
      <w:bookmarkStart w:id="129" w:name="_Toc10179"/>
      <w:bookmarkStart w:id="130" w:name="_Toc152045535"/>
      <w:r>
        <w:rPr>
          <w:rFonts w:hint="eastAsia" w:ascii="宋体" w:hAnsi="宋体" w:eastAsia="宋体" w:cs="宋体"/>
          <w:highlight w:val="none"/>
        </w:rPr>
        <w:t>1.5 费用承担</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7502FF6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投标人准备和参加投标活动发生的费用自理。</w:t>
      </w:r>
    </w:p>
    <w:p w14:paraId="0F4D8230">
      <w:pPr>
        <w:pStyle w:val="7"/>
        <w:ind w:firstLine="422" w:firstLineChars="200"/>
        <w:rPr>
          <w:rFonts w:ascii="宋体" w:hAnsi="宋体" w:eastAsia="宋体" w:cs="宋体"/>
          <w:highlight w:val="none"/>
        </w:rPr>
      </w:pPr>
      <w:bookmarkStart w:id="131" w:name="_Toc247085695"/>
      <w:bookmarkStart w:id="132" w:name="_Toc15058852"/>
      <w:bookmarkStart w:id="133" w:name="_Toc78803328"/>
      <w:bookmarkStart w:id="134" w:name="_Toc35425059"/>
      <w:bookmarkStart w:id="135" w:name="_Toc296602426"/>
      <w:bookmarkStart w:id="136" w:name="_Toc324404821"/>
      <w:bookmarkStart w:id="137" w:name="_Toc246996924"/>
      <w:bookmarkStart w:id="138" w:name="_Toc506107275"/>
      <w:bookmarkStart w:id="139" w:name="_Toc246996181"/>
      <w:bookmarkStart w:id="140" w:name="_Toc152045536"/>
      <w:bookmarkStart w:id="141" w:name="_Toc35424893"/>
      <w:bookmarkStart w:id="142" w:name="_Toc152042312"/>
      <w:bookmarkStart w:id="143" w:name="_Toc179632553"/>
      <w:bookmarkStart w:id="144" w:name="_Toc4092"/>
      <w:bookmarkStart w:id="145" w:name="_Toc144974504"/>
      <w:r>
        <w:rPr>
          <w:rFonts w:hint="eastAsia" w:ascii="宋体" w:hAnsi="宋体" w:eastAsia="宋体" w:cs="宋体"/>
          <w:highlight w:val="none"/>
        </w:rPr>
        <w:t>1.6 保密</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14:paraId="4CAE57E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 xml:space="preserve">参与招标投标活动的各方应对招标文件和投标文件中的商业和技术等秘密保密，违者应对由此造成的后果承担法律责任。 </w:t>
      </w:r>
    </w:p>
    <w:p w14:paraId="18B2FC74">
      <w:pPr>
        <w:pStyle w:val="7"/>
        <w:ind w:firstLine="422" w:firstLineChars="200"/>
        <w:rPr>
          <w:rFonts w:ascii="宋体" w:hAnsi="宋体" w:eastAsia="宋体" w:cs="宋体"/>
          <w:highlight w:val="none"/>
        </w:rPr>
      </w:pPr>
      <w:bookmarkStart w:id="146" w:name="_Toc144974505"/>
      <w:bookmarkStart w:id="147" w:name="_Toc4119"/>
      <w:bookmarkStart w:id="148" w:name="_Toc506107276"/>
      <w:bookmarkStart w:id="149" w:name="_Toc246996182"/>
      <w:bookmarkStart w:id="150" w:name="_Toc15058853"/>
      <w:bookmarkStart w:id="151" w:name="_Toc246996925"/>
      <w:bookmarkStart w:id="152" w:name="_Toc247085696"/>
      <w:bookmarkStart w:id="153" w:name="_Toc179632554"/>
      <w:bookmarkStart w:id="154" w:name="_Toc35425060"/>
      <w:bookmarkStart w:id="155" w:name="_Toc296602427"/>
      <w:bookmarkStart w:id="156" w:name="_Toc324404822"/>
      <w:bookmarkStart w:id="157" w:name="_Toc35424894"/>
      <w:bookmarkStart w:id="158" w:name="_Toc78803329"/>
      <w:bookmarkStart w:id="159" w:name="_Toc152045537"/>
      <w:bookmarkStart w:id="160" w:name="_Toc152042313"/>
      <w:r>
        <w:rPr>
          <w:rFonts w:hint="eastAsia" w:ascii="宋体" w:hAnsi="宋体" w:eastAsia="宋体" w:cs="宋体"/>
          <w:highlight w:val="none"/>
        </w:rPr>
        <w:t>1.7 语言</w:t>
      </w:r>
      <w:bookmarkEnd w:id="146"/>
      <w:r>
        <w:rPr>
          <w:rFonts w:hint="eastAsia" w:ascii="宋体" w:hAnsi="宋体" w:eastAsia="宋体" w:cs="宋体"/>
          <w:highlight w:val="none"/>
        </w:rPr>
        <w:t>文字</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5ECE5810">
      <w:pPr>
        <w:spacing w:line="440" w:lineRule="exact"/>
        <w:ind w:firstLine="420" w:firstLineChars="200"/>
        <w:jc w:val="left"/>
        <w:rPr>
          <w:rFonts w:ascii="宋体" w:hAnsi="宋体" w:cs="宋体"/>
          <w:szCs w:val="21"/>
          <w:highlight w:val="none"/>
        </w:rPr>
      </w:pPr>
      <w:bookmarkStart w:id="161" w:name="_Toc152045538"/>
      <w:bookmarkStart w:id="162" w:name="_Toc144974506"/>
      <w:bookmarkStart w:id="163" w:name="_Toc179632555"/>
      <w:bookmarkStart w:id="164" w:name="_Toc246996926"/>
      <w:bookmarkStart w:id="165" w:name="_Toc247085697"/>
      <w:bookmarkStart w:id="166" w:name="_Toc152042314"/>
      <w:bookmarkStart w:id="167" w:name="_Toc246996183"/>
      <w:r>
        <w:rPr>
          <w:rFonts w:hint="eastAsia" w:ascii="宋体" w:hAnsi="宋体" w:cs="宋体"/>
          <w:szCs w:val="21"/>
          <w:highlight w:val="none"/>
        </w:rPr>
        <w:t>招标投标文件使用的语言文字为中文。专用术语使用外文的，应附有中文注释。</w:t>
      </w:r>
    </w:p>
    <w:p w14:paraId="38E20FA3">
      <w:pPr>
        <w:pStyle w:val="7"/>
        <w:ind w:firstLine="422" w:firstLineChars="200"/>
        <w:rPr>
          <w:rFonts w:ascii="宋体" w:hAnsi="宋体" w:eastAsia="宋体" w:cs="宋体"/>
          <w:highlight w:val="none"/>
        </w:rPr>
      </w:pPr>
      <w:bookmarkStart w:id="168" w:name="_Toc296602428"/>
      <w:bookmarkStart w:id="169" w:name="_Toc506107277"/>
      <w:bookmarkStart w:id="170" w:name="_Toc78803330"/>
      <w:bookmarkStart w:id="171" w:name="_Toc13408"/>
      <w:bookmarkStart w:id="172" w:name="_Toc35425061"/>
      <w:bookmarkStart w:id="173" w:name="_Toc15058854"/>
      <w:bookmarkStart w:id="174" w:name="_Toc324404823"/>
      <w:bookmarkStart w:id="175" w:name="_Toc35424895"/>
      <w:r>
        <w:rPr>
          <w:rFonts w:hint="eastAsia" w:ascii="宋体" w:hAnsi="宋体" w:eastAsia="宋体" w:cs="宋体"/>
          <w:highlight w:val="none"/>
        </w:rPr>
        <w:t>1.8 计量单位</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10D50E8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所有计量均采用中华人民共和国法定计量单位。</w:t>
      </w:r>
    </w:p>
    <w:p w14:paraId="3EB3A75D">
      <w:pPr>
        <w:pStyle w:val="7"/>
        <w:ind w:firstLine="422" w:firstLineChars="200"/>
        <w:rPr>
          <w:rFonts w:ascii="宋体" w:hAnsi="宋体" w:eastAsia="宋体" w:cs="宋体"/>
          <w:highlight w:val="none"/>
        </w:rPr>
      </w:pPr>
      <w:bookmarkStart w:id="176" w:name="_Toc152042315"/>
      <w:bookmarkStart w:id="177" w:name="_Toc247527563"/>
      <w:bookmarkStart w:id="178" w:name="_Toc35425062"/>
      <w:bookmarkStart w:id="179" w:name="_Toc78803331"/>
      <w:bookmarkStart w:id="180" w:name="_Toc144974507"/>
      <w:bookmarkStart w:id="181" w:name="_Toc296602429"/>
      <w:bookmarkStart w:id="182" w:name="_Toc324404824"/>
      <w:bookmarkStart w:id="183" w:name="_Toc11493"/>
      <w:bookmarkStart w:id="184" w:name="_Toc152045539"/>
      <w:bookmarkStart w:id="185" w:name="_Toc247513962"/>
      <w:bookmarkStart w:id="186" w:name="_Toc15058855"/>
      <w:bookmarkStart w:id="187" w:name="_Toc35424896"/>
      <w:bookmarkStart w:id="188" w:name="_Toc506107278"/>
      <w:bookmarkStart w:id="189" w:name="_Toc247592876"/>
      <w:r>
        <w:rPr>
          <w:rFonts w:hint="eastAsia" w:ascii="宋体" w:hAnsi="宋体" w:eastAsia="宋体" w:cs="宋体"/>
          <w:highlight w:val="none"/>
        </w:rPr>
        <w:t>1.9 踏勘现场</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p>
    <w:p w14:paraId="5A25133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 xml:space="preserve">1.9.1 投标人须知前附表规定组织踏勘现场的，招标人按投标人须知前附表规定的时间、地点组织投标人踏勘项目现场。 </w:t>
      </w:r>
    </w:p>
    <w:p w14:paraId="4C588A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1.9.2 投标人踏勘现场发生的费用自理。</w:t>
      </w:r>
    </w:p>
    <w:p w14:paraId="26AD01B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1.9.3 除招标人的原因外，投标人自行负责在踏勘现场中所发生的人员伤亡和财产损失。</w:t>
      </w:r>
    </w:p>
    <w:p w14:paraId="115C8C8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1.9.4 招标人在踏勘现场中介绍的工程场地和相关的周边环境情况，供投标人在编制投标文件时参考，招标人不对投标人据此作出的判断和决策负责。</w:t>
      </w:r>
    </w:p>
    <w:p w14:paraId="605ECB60">
      <w:pPr>
        <w:pStyle w:val="7"/>
        <w:ind w:firstLine="422" w:firstLineChars="200"/>
        <w:rPr>
          <w:rFonts w:ascii="宋体" w:hAnsi="宋体" w:eastAsia="宋体" w:cs="宋体"/>
          <w:highlight w:val="none"/>
        </w:rPr>
      </w:pPr>
      <w:bookmarkStart w:id="190" w:name="_Toc144974508"/>
      <w:bookmarkStart w:id="191" w:name="_Toc247513963"/>
      <w:bookmarkStart w:id="192" w:name="_Toc296602430"/>
      <w:bookmarkStart w:id="193" w:name="_Toc35424897"/>
      <w:bookmarkStart w:id="194" w:name="_Toc506107279"/>
      <w:bookmarkStart w:id="195" w:name="_Toc78803332"/>
      <w:bookmarkStart w:id="196" w:name="_Toc152045540"/>
      <w:bookmarkStart w:id="197" w:name="_Toc22954"/>
      <w:bookmarkStart w:id="198" w:name="_Toc152042316"/>
      <w:bookmarkStart w:id="199" w:name="_Toc247527564"/>
      <w:bookmarkStart w:id="200" w:name="_Toc15058856"/>
      <w:bookmarkStart w:id="201" w:name="_Toc247592877"/>
      <w:bookmarkStart w:id="202" w:name="_Toc35425063"/>
      <w:bookmarkStart w:id="203" w:name="_Toc324404825"/>
      <w:r>
        <w:rPr>
          <w:rFonts w:hint="eastAsia" w:ascii="宋体" w:hAnsi="宋体" w:eastAsia="宋体" w:cs="宋体"/>
          <w:highlight w:val="none"/>
        </w:rPr>
        <w:t>1.10 投标预备会</w:t>
      </w:r>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14:paraId="157F47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1.10.1投标人须知前附表规定召开投标预备会的，招标人按投标人须知前附表规定的时间和地点召开投标预备会，澄清投标人提出的问题。</w:t>
      </w:r>
    </w:p>
    <w:p w14:paraId="49A69E5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1.10.2投标人应在投标人须知前附表规定的时间前，将提出的问题送达招标人，以便招标人澄清。</w:t>
      </w:r>
    </w:p>
    <w:p w14:paraId="12399E2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1.10.3招标人在投标人须知前附表规定的时间，将对投标人所提的问题进行澄清。该澄清内容为招标文件的组成部分。</w:t>
      </w:r>
    </w:p>
    <w:p w14:paraId="20585368">
      <w:pPr>
        <w:pStyle w:val="7"/>
        <w:ind w:firstLine="422" w:firstLineChars="200"/>
        <w:rPr>
          <w:rFonts w:ascii="宋体" w:hAnsi="宋体" w:eastAsia="宋体" w:cs="宋体"/>
          <w:highlight w:val="none"/>
        </w:rPr>
      </w:pPr>
      <w:bookmarkStart w:id="204" w:name="_Toc506107280"/>
      <w:bookmarkStart w:id="205" w:name="_Toc324404826"/>
      <w:bookmarkStart w:id="206" w:name="_Toc296602431"/>
      <w:bookmarkStart w:id="207" w:name="_Toc78803333"/>
      <w:bookmarkStart w:id="208" w:name="_Toc15058857"/>
      <w:bookmarkStart w:id="209" w:name="_Toc35424898"/>
      <w:bookmarkStart w:id="210" w:name="_Toc32016"/>
      <w:bookmarkStart w:id="211" w:name="_Toc35425064"/>
      <w:r>
        <w:rPr>
          <w:rFonts w:hint="eastAsia" w:ascii="宋体" w:hAnsi="宋体" w:eastAsia="宋体" w:cs="宋体"/>
          <w:highlight w:val="none"/>
        </w:rPr>
        <w:t>1.11 偏离</w:t>
      </w:r>
      <w:bookmarkEnd w:id="204"/>
      <w:bookmarkEnd w:id="205"/>
      <w:bookmarkEnd w:id="206"/>
      <w:bookmarkEnd w:id="207"/>
      <w:bookmarkEnd w:id="208"/>
      <w:bookmarkEnd w:id="209"/>
      <w:bookmarkEnd w:id="210"/>
      <w:bookmarkEnd w:id="211"/>
    </w:p>
    <w:p w14:paraId="1E441ED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投标人须知前附表允许投标文件偏离招标文件某些要求的，偏离应当符合招标文件规定的偏离范围和幅度。</w:t>
      </w:r>
    </w:p>
    <w:p w14:paraId="1BA6F80D">
      <w:pPr>
        <w:pStyle w:val="7"/>
        <w:spacing w:beforeLines="50" w:afterLines="50"/>
        <w:ind w:firstLine="482" w:firstLineChars="200"/>
        <w:rPr>
          <w:rFonts w:ascii="宋体" w:hAnsi="宋体" w:eastAsia="宋体" w:cs="宋体"/>
          <w:sz w:val="24"/>
          <w:szCs w:val="24"/>
          <w:highlight w:val="none"/>
        </w:rPr>
      </w:pPr>
      <w:bookmarkStart w:id="212" w:name="_Toc35424899"/>
      <w:bookmarkStart w:id="213" w:name="_Toc246996187"/>
      <w:bookmarkStart w:id="214" w:name="_Toc152042318"/>
      <w:bookmarkStart w:id="215" w:name="_Toc324404827"/>
      <w:bookmarkStart w:id="216" w:name="_Toc246996930"/>
      <w:bookmarkStart w:id="217" w:name="_Toc247085701"/>
      <w:bookmarkStart w:id="218" w:name="_Toc15058858"/>
      <w:bookmarkStart w:id="219" w:name="_Toc506107281"/>
      <w:bookmarkStart w:id="220" w:name="_Toc144974510"/>
      <w:bookmarkStart w:id="221" w:name="_Toc4012"/>
      <w:bookmarkStart w:id="222" w:name="_Toc35425065"/>
      <w:bookmarkStart w:id="223" w:name="_Toc78803334"/>
      <w:bookmarkStart w:id="224" w:name="_Toc179632560"/>
      <w:bookmarkStart w:id="225" w:name="_Toc152045542"/>
      <w:r>
        <w:rPr>
          <w:rFonts w:hint="eastAsia" w:ascii="宋体" w:hAnsi="宋体" w:eastAsia="宋体" w:cs="宋体"/>
          <w:sz w:val="24"/>
          <w:szCs w:val="24"/>
          <w:highlight w:val="none"/>
        </w:rPr>
        <w:t>2. 招标文件</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09FB4428">
      <w:pPr>
        <w:pStyle w:val="7"/>
        <w:ind w:firstLine="422" w:firstLineChars="200"/>
        <w:rPr>
          <w:rFonts w:ascii="宋体" w:hAnsi="宋体" w:eastAsia="宋体" w:cs="宋体"/>
          <w:highlight w:val="none"/>
        </w:rPr>
      </w:pPr>
      <w:bookmarkStart w:id="226" w:name="_Toc78803335"/>
      <w:bookmarkStart w:id="227" w:name="_Toc247085702"/>
      <w:bookmarkStart w:id="228" w:name="_Toc35424900"/>
      <w:bookmarkStart w:id="229" w:name="_Toc35425066"/>
      <w:bookmarkStart w:id="230" w:name="_Toc179632561"/>
      <w:bookmarkStart w:id="231" w:name="_Toc506107282"/>
      <w:bookmarkStart w:id="232" w:name="_Toc246996931"/>
      <w:bookmarkStart w:id="233" w:name="_Toc13213"/>
      <w:bookmarkStart w:id="234" w:name="_Toc296602433"/>
      <w:bookmarkStart w:id="235" w:name="_Toc324404828"/>
      <w:bookmarkStart w:id="236" w:name="_Toc144974511"/>
      <w:bookmarkStart w:id="237" w:name="_Toc15058859"/>
      <w:bookmarkStart w:id="238" w:name="_Toc246996188"/>
      <w:bookmarkStart w:id="239" w:name="_Toc152045543"/>
      <w:bookmarkStart w:id="240" w:name="_Toc152042319"/>
      <w:r>
        <w:rPr>
          <w:rFonts w:hint="eastAsia" w:ascii="宋体" w:hAnsi="宋体" w:eastAsia="宋体" w:cs="宋体"/>
          <w:highlight w:val="none"/>
        </w:rPr>
        <w:t>2.1 招标文件的组成</w:t>
      </w:r>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14:paraId="4B120D4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2.1.1 本招标文件包括：</w:t>
      </w:r>
    </w:p>
    <w:p w14:paraId="311E62D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（1）招标公告；</w:t>
      </w:r>
    </w:p>
    <w:p w14:paraId="1259D58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（2）投标人须知；</w:t>
      </w:r>
    </w:p>
    <w:p w14:paraId="45E98D2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（3）资格审查办法</w:t>
      </w:r>
    </w:p>
    <w:p w14:paraId="3643ACA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（4）评标办法；</w:t>
      </w:r>
    </w:p>
    <w:p w14:paraId="2497091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（5）合同条款及格式；</w:t>
      </w:r>
    </w:p>
    <w:p w14:paraId="1896CF4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（6）投标文件格式；</w:t>
      </w:r>
    </w:p>
    <w:p w14:paraId="308179F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（7）投标人须知前附表规定的其他材料。</w:t>
      </w:r>
    </w:p>
    <w:p w14:paraId="788E500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2.1.2 根据本章第1.10款、第2.2款和第2.3款对招标文件所作的澄清、修改，构成招标文件的组成部分。</w:t>
      </w:r>
    </w:p>
    <w:p w14:paraId="3A83A4C2">
      <w:pPr>
        <w:pStyle w:val="7"/>
        <w:ind w:firstLine="422" w:firstLineChars="200"/>
        <w:rPr>
          <w:rFonts w:ascii="宋体" w:hAnsi="宋体" w:eastAsia="宋体" w:cs="宋体"/>
          <w:highlight w:val="none"/>
        </w:rPr>
      </w:pPr>
      <w:bookmarkStart w:id="241" w:name="_Toc144974512"/>
      <w:bookmarkStart w:id="242" w:name="_Toc35424901"/>
      <w:bookmarkStart w:id="243" w:name="_Toc247085703"/>
      <w:bookmarkStart w:id="244" w:name="_Toc179632562"/>
      <w:bookmarkStart w:id="245" w:name="_Toc78803336"/>
      <w:bookmarkStart w:id="246" w:name="_Toc296602434"/>
      <w:bookmarkStart w:id="247" w:name="_Toc506107283"/>
      <w:bookmarkStart w:id="248" w:name="_Toc246996189"/>
      <w:bookmarkStart w:id="249" w:name="_Toc35425067"/>
      <w:bookmarkStart w:id="250" w:name="_Toc324404829"/>
      <w:bookmarkStart w:id="251" w:name="_Toc246996932"/>
      <w:bookmarkStart w:id="252" w:name="_Toc152042320"/>
      <w:bookmarkStart w:id="253" w:name="_Toc32239"/>
      <w:bookmarkStart w:id="254" w:name="_Toc152045544"/>
      <w:bookmarkStart w:id="255" w:name="_Toc15058860"/>
      <w:r>
        <w:rPr>
          <w:rFonts w:hint="eastAsia" w:ascii="宋体" w:hAnsi="宋体" w:eastAsia="宋体" w:cs="宋体"/>
          <w:highlight w:val="none"/>
        </w:rPr>
        <w:t>2.2 招标文件的澄清</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651DA49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2.2.1 投标人应仔细阅读和检查招标文件的全部内容。如有疑问，应在投标人须知前附表规定的时间前以网上留言或书面形式（包括信函、电报、传真等可以有形地表现所载内容的形式，下同），要求招标人对招标文件予以澄清。</w:t>
      </w:r>
    </w:p>
    <w:p w14:paraId="1400AD6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 xml:space="preserve">2.2.2 招标文件的澄清将在滁州市公共资源交易中心网发布，但不指明澄清问题的来源。如果澄清发出的时间距投标人须知前附表规定的投标截止时间不足15天，并且澄清内容影响投标文件编制的，将相应延长投标截止时间。 </w:t>
      </w:r>
    </w:p>
    <w:p w14:paraId="6E38A3C4">
      <w:pPr>
        <w:pStyle w:val="7"/>
        <w:ind w:firstLine="422" w:firstLineChars="200"/>
        <w:rPr>
          <w:rFonts w:ascii="宋体" w:hAnsi="宋体" w:eastAsia="宋体" w:cs="宋体"/>
          <w:highlight w:val="none"/>
        </w:rPr>
      </w:pPr>
      <w:bookmarkStart w:id="256" w:name="_Toc506107284"/>
      <w:bookmarkStart w:id="257" w:name="_Toc246996190"/>
      <w:bookmarkStart w:id="258" w:name="_Toc296602435"/>
      <w:bookmarkStart w:id="259" w:name="_Toc24633"/>
      <w:bookmarkStart w:id="260" w:name="_Toc324404830"/>
      <w:bookmarkStart w:id="261" w:name="_Toc78803337"/>
      <w:bookmarkStart w:id="262" w:name="_Toc152042321"/>
      <w:bookmarkStart w:id="263" w:name="_Toc15058861"/>
      <w:bookmarkStart w:id="264" w:name="_Toc246996933"/>
      <w:bookmarkStart w:id="265" w:name="_Toc152045545"/>
      <w:bookmarkStart w:id="266" w:name="_Toc35424902"/>
      <w:bookmarkStart w:id="267" w:name="_Toc35425068"/>
      <w:bookmarkStart w:id="268" w:name="_Toc179632563"/>
      <w:bookmarkStart w:id="269" w:name="_Toc247085704"/>
      <w:bookmarkStart w:id="270" w:name="_Toc144974513"/>
      <w:r>
        <w:rPr>
          <w:rFonts w:hint="eastAsia" w:ascii="宋体" w:hAnsi="宋体" w:eastAsia="宋体" w:cs="宋体"/>
          <w:highlight w:val="none"/>
        </w:rPr>
        <w:t>2.3 招标文件的修改</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293BB6E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2.3.1招标人可以修改招标文件，并以澄清的方式在滁州市公共资源交易中心网发布。但如果修改内容影响投标文件编制的，将相应延长投标截止时间。</w:t>
      </w:r>
    </w:p>
    <w:p w14:paraId="2795BD62">
      <w:pPr>
        <w:pStyle w:val="7"/>
        <w:ind w:firstLine="422" w:firstLineChars="200"/>
        <w:rPr>
          <w:rFonts w:ascii="宋体" w:hAnsi="宋体" w:eastAsia="宋体" w:cs="宋体"/>
          <w:highlight w:val="none"/>
        </w:rPr>
      </w:pPr>
      <w:bookmarkStart w:id="271" w:name="_Toc324404831"/>
      <w:bookmarkStart w:id="272" w:name="_Toc15058862"/>
      <w:bookmarkStart w:id="273" w:name="_Toc78803338"/>
      <w:bookmarkStart w:id="274" w:name="_Toc2696"/>
      <w:bookmarkStart w:id="275" w:name="_Toc35424903"/>
      <w:bookmarkStart w:id="276" w:name="_Toc35425069"/>
      <w:r>
        <w:rPr>
          <w:rFonts w:hint="eastAsia" w:ascii="宋体" w:hAnsi="宋体" w:eastAsia="宋体" w:cs="宋体"/>
          <w:highlight w:val="none"/>
        </w:rPr>
        <w:t>2.4</w:t>
      </w:r>
      <w:bookmarkEnd w:id="271"/>
      <w:r>
        <w:rPr>
          <w:rFonts w:hint="eastAsia" w:ascii="宋体" w:hAnsi="宋体" w:eastAsia="宋体" w:cs="宋体"/>
          <w:highlight w:val="none"/>
        </w:rPr>
        <w:t>最高限价</w:t>
      </w:r>
      <w:bookmarkEnd w:id="272"/>
      <w:bookmarkEnd w:id="273"/>
      <w:bookmarkEnd w:id="274"/>
      <w:bookmarkEnd w:id="275"/>
      <w:bookmarkEnd w:id="276"/>
    </w:p>
    <w:p w14:paraId="619E074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2.4.1最高限价的作用和说明</w:t>
      </w:r>
    </w:p>
    <w:p w14:paraId="0F027B94">
      <w:pPr>
        <w:spacing w:line="440" w:lineRule="exact"/>
        <w:ind w:firstLine="420" w:firstLineChars="200"/>
        <w:jc w:val="left"/>
        <w:rPr>
          <w:rFonts w:ascii="宋体" w:hAnsi="宋体" w:cs="宋体"/>
          <w:highlight w:val="none"/>
        </w:rPr>
      </w:pPr>
      <w:r>
        <w:rPr>
          <w:rFonts w:hint="eastAsia" w:ascii="宋体" w:hAnsi="宋体" w:cs="宋体"/>
          <w:szCs w:val="21"/>
          <w:highlight w:val="none"/>
        </w:rPr>
        <w:t>（1）</w:t>
      </w:r>
      <w:r>
        <w:rPr>
          <w:rFonts w:hint="eastAsia" w:ascii="宋体" w:hAnsi="宋体" w:cs="宋体"/>
          <w:highlight w:val="none"/>
        </w:rPr>
        <w:t>投标人的投标报价不得</w:t>
      </w:r>
      <w:r>
        <w:rPr>
          <w:rFonts w:hint="eastAsia" w:ascii="宋体" w:hAnsi="宋体" w:cs="宋体"/>
          <w:highlight w:val="none"/>
          <w:lang w:val="en-US" w:eastAsia="zh-CN"/>
        </w:rPr>
        <w:t>高于</w:t>
      </w:r>
      <w:r>
        <w:rPr>
          <w:rFonts w:hint="eastAsia" w:ascii="宋体" w:hAnsi="宋体" w:cs="宋体"/>
          <w:highlight w:val="none"/>
        </w:rPr>
        <w:t>最高限价</w:t>
      </w:r>
      <w:r>
        <w:rPr>
          <w:rFonts w:hint="eastAsia" w:ascii="宋体" w:hAnsi="宋体" w:cs="宋体"/>
          <w:szCs w:val="21"/>
          <w:highlight w:val="none"/>
        </w:rPr>
        <w:t>（费率）</w:t>
      </w:r>
      <w:r>
        <w:rPr>
          <w:rFonts w:hint="eastAsia" w:ascii="宋体" w:hAnsi="宋体" w:cs="宋体"/>
          <w:highlight w:val="none"/>
        </w:rPr>
        <w:t>，最高限价</w:t>
      </w:r>
      <w:r>
        <w:rPr>
          <w:rFonts w:hint="eastAsia" w:ascii="宋体" w:hAnsi="宋体" w:cs="宋体"/>
          <w:szCs w:val="21"/>
          <w:highlight w:val="none"/>
        </w:rPr>
        <w:t>（费率）</w:t>
      </w:r>
      <w:r>
        <w:rPr>
          <w:rFonts w:hint="eastAsia" w:ascii="宋体" w:hAnsi="宋体" w:cs="宋体"/>
          <w:highlight w:val="none"/>
        </w:rPr>
        <w:t>的发布时间及方式在投标人须知前附表中载明。</w:t>
      </w:r>
    </w:p>
    <w:p w14:paraId="549C320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（2）投标人对最高限价（费率）有异议的，可在</w:t>
      </w:r>
      <w:r>
        <w:rPr>
          <w:rFonts w:hint="eastAsia" w:ascii="宋体" w:hAnsi="宋体" w:cs="宋体"/>
          <w:highlight w:val="none"/>
        </w:rPr>
        <w:t>投标人须知前附表规定的时间内向招标人提出异议，</w:t>
      </w:r>
      <w:r>
        <w:rPr>
          <w:rFonts w:hint="eastAsia" w:ascii="宋体" w:hAnsi="宋体" w:cs="宋体"/>
          <w:szCs w:val="21"/>
          <w:highlight w:val="none"/>
        </w:rPr>
        <w:t>未在规定时间内提出异议的或投标人提出异议经招标人复核后的最高限价（费率），视为合理有效。</w:t>
      </w:r>
    </w:p>
    <w:p w14:paraId="709A7BE7">
      <w:pPr>
        <w:pStyle w:val="7"/>
        <w:spacing w:beforeLines="50" w:afterLines="50"/>
        <w:ind w:firstLine="482" w:firstLineChars="200"/>
        <w:rPr>
          <w:rFonts w:ascii="宋体" w:hAnsi="宋体" w:eastAsia="宋体" w:cs="宋体"/>
          <w:sz w:val="24"/>
          <w:szCs w:val="24"/>
          <w:highlight w:val="none"/>
        </w:rPr>
      </w:pPr>
      <w:bookmarkStart w:id="277" w:name="_Toc35425070"/>
      <w:bookmarkStart w:id="278" w:name="_Toc246996191"/>
      <w:bookmarkStart w:id="279" w:name="_Toc144974514"/>
      <w:bookmarkStart w:id="280" w:name="_Toc78803339"/>
      <w:bookmarkStart w:id="281" w:name="_Toc152042322"/>
      <w:bookmarkStart w:id="282" w:name="_Toc15058863"/>
      <w:bookmarkStart w:id="283" w:name="_Toc179632564"/>
      <w:bookmarkStart w:id="284" w:name="_Toc246996934"/>
      <w:bookmarkStart w:id="285" w:name="_Toc35424904"/>
      <w:bookmarkStart w:id="286" w:name="_Toc247085705"/>
      <w:bookmarkStart w:id="287" w:name="_Toc152045546"/>
      <w:bookmarkStart w:id="288" w:name="_Toc506107285"/>
      <w:bookmarkStart w:id="289" w:name="_Toc6464"/>
      <w:bookmarkStart w:id="290" w:name="_Toc324404832"/>
      <w:r>
        <w:rPr>
          <w:rFonts w:hint="eastAsia" w:ascii="宋体" w:hAnsi="宋体" w:eastAsia="宋体" w:cs="宋体"/>
          <w:sz w:val="24"/>
          <w:szCs w:val="24"/>
          <w:highlight w:val="none"/>
        </w:rPr>
        <w:t>3. 投标文件</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4FE004DF">
      <w:pPr>
        <w:pStyle w:val="7"/>
        <w:ind w:firstLine="422" w:firstLineChars="200"/>
        <w:rPr>
          <w:rFonts w:ascii="宋体" w:hAnsi="宋体" w:eastAsia="宋体" w:cs="宋体"/>
          <w:highlight w:val="none"/>
        </w:rPr>
      </w:pPr>
      <w:bookmarkStart w:id="291" w:name="_Toc247085706"/>
      <w:bookmarkStart w:id="292" w:name="_Toc246996192"/>
      <w:bookmarkStart w:id="293" w:name="_Toc152042323"/>
      <w:bookmarkStart w:id="294" w:name="_Toc78803340"/>
      <w:bookmarkStart w:id="295" w:name="_Toc152045547"/>
      <w:bookmarkStart w:id="296" w:name="_Toc179632565"/>
      <w:bookmarkStart w:id="297" w:name="_Toc144974515"/>
      <w:bookmarkStart w:id="298" w:name="_Toc506107286"/>
      <w:bookmarkStart w:id="299" w:name="_Toc35424905"/>
      <w:bookmarkStart w:id="300" w:name="_Toc296602437"/>
      <w:bookmarkStart w:id="301" w:name="_Toc15058864"/>
      <w:bookmarkStart w:id="302" w:name="_Toc324404833"/>
      <w:bookmarkStart w:id="303" w:name="_Toc157"/>
      <w:bookmarkStart w:id="304" w:name="_Toc246996935"/>
      <w:bookmarkStart w:id="305" w:name="_Toc35425071"/>
      <w:r>
        <w:rPr>
          <w:rFonts w:hint="eastAsia" w:ascii="宋体" w:hAnsi="宋体" w:eastAsia="宋体" w:cs="宋体"/>
          <w:highlight w:val="none"/>
        </w:rPr>
        <w:t>3.1 投标文件的组成</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14:paraId="4A8F6F5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投标文件的具体组成部分及材料要求详见本招标文件第五章“投标文件格式”。</w:t>
      </w:r>
    </w:p>
    <w:p w14:paraId="2A7D75B3">
      <w:pPr>
        <w:pStyle w:val="7"/>
        <w:ind w:firstLine="422" w:firstLineChars="200"/>
        <w:rPr>
          <w:rFonts w:ascii="宋体" w:hAnsi="宋体" w:eastAsia="宋体" w:cs="宋体"/>
          <w:highlight w:val="none"/>
        </w:rPr>
      </w:pPr>
      <w:bookmarkStart w:id="306" w:name="_Toc152042324"/>
      <w:bookmarkStart w:id="307" w:name="_Toc179632566"/>
      <w:bookmarkStart w:id="308" w:name="_Toc506107287"/>
      <w:bookmarkStart w:id="309" w:name="_Toc35425072"/>
      <w:bookmarkStart w:id="310" w:name="_Toc152045548"/>
      <w:bookmarkStart w:id="311" w:name="_Toc78803341"/>
      <w:bookmarkStart w:id="312" w:name="_Toc144974516"/>
      <w:bookmarkStart w:id="313" w:name="_Toc15058865"/>
      <w:bookmarkStart w:id="314" w:name="_Toc296602438"/>
      <w:bookmarkStart w:id="315" w:name="_Toc246996936"/>
      <w:bookmarkStart w:id="316" w:name="_Toc247085707"/>
      <w:bookmarkStart w:id="317" w:name="_Toc324404834"/>
      <w:bookmarkStart w:id="318" w:name="_Toc6829"/>
      <w:bookmarkStart w:id="319" w:name="_Toc35424906"/>
      <w:bookmarkStart w:id="320" w:name="_Toc246996193"/>
      <w:r>
        <w:rPr>
          <w:rFonts w:hint="eastAsia" w:ascii="宋体" w:hAnsi="宋体" w:eastAsia="宋体" w:cs="宋体"/>
          <w:highlight w:val="none"/>
        </w:rPr>
        <w:t>3.2 投标报价</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14:paraId="37B5EC9C">
      <w:pPr>
        <w:spacing w:line="440" w:lineRule="exact"/>
        <w:ind w:firstLine="420" w:firstLineChars="200"/>
        <w:jc w:val="left"/>
        <w:rPr>
          <w:rFonts w:ascii="宋体" w:hAnsi="宋体" w:cs="宋体"/>
          <w:highlight w:val="none"/>
        </w:rPr>
      </w:pPr>
      <w:bookmarkStart w:id="321" w:name="_Toc246996194"/>
      <w:bookmarkStart w:id="322" w:name="_Toc144974517"/>
      <w:bookmarkStart w:id="323" w:name="_Toc152042325"/>
      <w:bookmarkStart w:id="324" w:name="_Toc152045549"/>
      <w:bookmarkStart w:id="325" w:name="_Toc179632567"/>
      <w:bookmarkStart w:id="326" w:name="_Toc296602439"/>
      <w:bookmarkStart w:id="327" w:name="_Toc247085708"/>
      <w:bookmarkStart w:id="328" w:name="_Toc324404835"/>
      <w:bookmarkStart w:id="329" w:name="_Toc246996937"/>
      <w:r>
        <w:rPr>
          <w:rFonts w:hint="eastAsia" w:ascii="宋体" w:hAnsi="宋体" w:cs="宋体"/>
          <w:highlight w:val="none"/>
        </w:rPr>
        <w:t>3.2.1 投标人的投标报价不得</w:t>
      </w:r>
      <w:r>
        <w:rPr>
          <w:rFonts w:hint="eastAsia" w:ascii="宋体" w:hAnsi="宋体" w:cs="宋体"/>
          <w:highlight w:val="none"/>
          <w:lang w:val="en-US" w:eastAsia="zh-CN"/>
        </w:rPr>
        <w:t>高于</w:t>
      </w:r>
      <w:r>
        <w:rPr>
          <w:rFonts w:hint="eastAsia" w:ascii="宋体" w:hAnsi="宋体" w:cs="宋体"/>
          <w:highlight w:val="none"/>
        </w:rPr>
        <w:t>最高限价</w:t>
      </w:r>
      <w:r>
        <w:rPr>
          <w:rFonts w:hint="eastAsia" w:ascii="宋体" w:hAnsi="宋体" w:cs="宋体"/>
          <w:szCs w:val="21"/>
          <w:highlight w:val="none"/>
        </w:rPr>
        <w:t>（费率）</w:t>
      </w:r>
      <w:r>
        <w:rPr>
          <w:rFonts w:hint="eastAsia" w:ascii="宋体" w:hAnsi="宋体" w:cs="宋体"/>
          <w:highlight w:val="none"/>
        </w:rPr>
        <w:t>，最高限价</w:t>
      </w:r>
      <w:r>
        <w:rPr>
          <w:rFonts w:hint="eastAsia" w:ascii="宋体" w:hAnsi="宋体" w:cs="宋体"/>
          <w:szCs w:val="21"/>
          <w:highlight w:val="none"/>
        </w:rPr>
        <w:t>（费率）</w:t>
      </w:r>
      <w:r>
        <w:rPr>
          <w:rFonts w:hint="eastAsia" w:ascii="宋体" w:hAnsi="宋体" w:cs="宋体"/>
          <w:highlight w:val="none"/>
        </w:rPr>
        <w:t>的发布时间及方式在投标人须知前附表中载明。</w:t>
      </w:r>
    </w:p>
    <w:p w14:paraId="40F3C80D">
      <w:pPr>
        <w:spacing w:line="440" w:lineRule="exact"/>
        <w:ind w:firstLine="420" w:firstLineChars="200"/>
        <w:jc w:val="left"/>
        <w:rPr>
          <w:rFonts w:ascii="宋体" w:hAnsi="宋体" w:cs="宋体"/>
          <w:highlight w:val="none"/>
        </w:rPr>
      </w:pPr>
      <w:r>
        <w:rPr>
          <w:rFonts w:hint="eastAsia" w:ascii="宋体" w:hAnsi="宋体" w:cs="宋体"/>
          <w:highlight w:val="none"/>
        </w:rPr>
        <w:t>3.2.2投标报价应由法定代表人或被授权人签署。</w:t>
      </w:r>
    </w:p>
    <w:p w14:paraId="55DB48C0">
      <w:pPr>
        <w:spacing w:line="440" w:lineRule="exact"/>
        <w:ind w:left="15" w:leftChars="7" w:firstLine="420" w:firstLineChars="200"/>
        <w:jc w:val="left"/>
        <w:rPr>
          <w:rFonts w:ascii="宋体" w:hAnsi="宋体" w:cs="宋体"/>
          <w:highlight w:val="none"/>
        </w:rPr>
      </w:pPr>
      <w:r>
        <w:rPr>
          <w:rFonts w:hint="eastAsia" w:ascii="宋体" w:hAnsi="宋体" w:cs="宋体"/>
          <w:highlight w:val="none"/>
        </w:rPr>
        <w:t>3.2.3投标人的投标报价应为项目招标范围内监理单位所提供的全部服务工作内容所需的全部费用，包含所有成本、利润和税金等全部费用。</w:t>
      </w:r>
    </w:p>
    <w:p w14:paraId="00391082">
      <w:pPr>
        <w:spacing w:line="440" w:lineRule="exact"/>
        <w:ind w:firstLine="420" w:firstLineChars="200"/>
        <w:jc w:val="left"/>
        <w:rPr>
          <w:rFonts w:ascii="宋体" w:hAnsi="宋体" w:cs="宋体"/>
          <w:highlight w:val="none"/>
        </w:rPr>
      </w:pPr>
      <w:r>
        <w:rPr>
          <w:rFonts w:hint="eastAsia" w:ascii="宋体" w:hAnsi="宋体" w:cs="宋体"/>
          <w:highlight w:val="none"/>
        </w:rPr>
        <w:t>3.2.4不论任何原因导致的工期延长，招标人均不再补偿监理费用。</w:t>
      </w:r>
    </w:p>
    <w:p w14:paraId="7C51BDD4">
      <w:pPr>
        <w:pStyle w:val="7"/>
        <w:ind w:firstLine="422" w:firstLineChars="200"/>
        <w:rPr>
          <w:rFonts w:ascii="宋体" w:hAnsi="宋体" w:eastAsia="宋体" w:cs="宋体"/>
          <w:highlight w:val="none"/>
        </w:rPr>
      </w:pPr>
      <w:bookmarkStart w:id="330" w:name="_Toc78803342"/>
      <w:bookmarkStart w:id="331" w:name="_Toc35425073"/>
      <w:bookmarkStart w:id="332" w:name="_Toc506107288"/>
      <w:bookmarkStart w:id="333" w:name="_Toc35424907"/>
      <w:bookmarkStart w:id="334" w:name="_Toc31735"/>
      <w:bookmarkStart w:id="335" w:name="_Toc15058866"/>
      <w:r>
        <w:rPr>
          <w:rFonts w:hint="eastAsia" w:ascii="宋体" w:hAnsi="宋体" w:eastAsia="宋体" w:cs="宋体"/>
          <w:highlight w:val="none"/>
        </w:rPr>
        <w:t>3.3 投标有效期</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5C05BFA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3.3.1 除投标人须知前附表另有规定外，投标有效期为90天。</w:t>
      </w:r>
    </w:p>
    <w:p w14:paraId="75C4191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3.3.2在投标有效期内，投标人撤销或修改其投标文件的，应承担招标文件和法律规定的责任。</w:t>
      </w:r>
    </w:p>
    <w:p w14:paraId="2892775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3.3.3出现特殊情况需要延长投标有效期的，招标人以书面形式通知所有投标人延长投标有效期。投标人同意延长的，不得要求或被允许修改或撤销其投标文件；投标人拒绝延长的，其投标失效。</w:t>
      </w:r>
    </w:p>
    <w:p w14:paraId="2115662B">
      <w:pPr>
        <w:pStyle w:val="7"/>
        <w:ind w:firstLine="422" w:firstLineChars="200"/>
        <w:rPr>
          <w:rFonts w:hint="eastAsia" w:ascii="宋体" w:hAnsi="宋体" w:eastAsia="宋体" w:cs="宋体"/>
          <w:highlight w:val="none"/>
        </w:rPr>
      </w:pPr>
      <w:bookmarkStart w:id="336" w:name="_Toc152042326"/>
      <w:bookmarkStart w:id="337" w:name="_Toc296602440"/>
      <w:bookmarkStart w:id="338" w:name="_Toc78803343"/>
      <w:bookmarkStart w:id="339" w:name="_Toc506107289"/>
      <w:bookmarkStart w:id="340" w:name="_Toc246996938"/>
      <w:bookmarkStart w:id="341" w:name="_Toc10714"/>
      <w:bookmarkStart w:id="342" w:name="_Toc35425074"/>
      <w:bookmarkStart w:id="343" w:name="_Toc246996195"/>
      <w:bookmarkStart w:id="344" w:name="_Toc247085709"/>
      <w:bookmarkStart w:id="345" w:name="_Toc152045550"/>
      <w:bookmarkStart w:id="346" w:name="_Toc179632568"/>
      <w:bookmarkStart w:id="347" w:name="_Toc35424908"/>
      <w:bookmarkStart w:id="348" w:name="_Toc15058867"/>
      <w:bookmarkStart w:id="349" w:name="_Toc144974518"/>
      <w:bookmarkStart w:id="350" w:name="_Toc324404836"/>
      <w:r>
        <w:rPr>
          <w:rFonts w:hint="eastAsia" w:ascii="宋体" w:hAnsi="宋体" w:eastAsia="宋体" w:cs="宋体"/>
          <w:highlight w:val="none"/>
        </w:rPr>
        <w:t>3.4 投标保证金</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1B5DE57">
      <w:pPr>
        <w:spacing w:line="440" w:lineRule="exact"/>
        <w:ind w:firstLine="420" w:firstLineChars="200"/>
        <w:jc w:val="left"/>
        <w:rPr>
          <w:rFonts w:hint="default" w:ascii="宋体" w:hAnsi="宋体" w:eastAsia="宋体" w:cs="宋体"/>
          <w:szCs w:val="21"/>
          <w:highlight w:val="none"/>
          <w:lang w:val="en-US" w:eastAsia="zh-CN"/>
        </w:rPr>
      </w:pPr>
      <w:r>
        <w:rPr>
          <w:rFonts w:hint="eastAsia" w:ascii="宋体" w:hAnsi="宋体" w:eastAsia="宋体" w:cs="宋体"/>
          <w:szCs w:val="21"/>
          <w:highlight w:val="none"/>
          <w:lang w:val="en-US" w:eastAsia="zh-CN"/>
        </w:rPr>
        <w:t>3.4.1本项目不收取投标保证金。</w:t>
      </w:r>
    </w:p>
    <w:p w14:paraId="37192FA8">
      <w:pPr>
        <w:pStyle w:val="7"/>
        <w:ind w:firstLine="422" w:firstLineChars="200"/>
        <w:rPr>
          <w:rFonts w:ascii="宋体" w:hAnsi="宋体" w:eastAsia="宋体" w:cs="宋体"/>
          <w:highlight w:val="none"/>
        </w:rPr>
      </w:pPr>
      <w:bookmarkStart w:id="351" w:name="_Toc35424909"/>
      <w:bookmarkStart w:id="352" w:name="_Toc19037"/>
      <w:bookmarkStart w:id="353" w:name="_Toc15058868"/>
      <w:bookmarkStart w:id="354" w:name="_Toc35425075"/>
      <w:bookmarkStart w:id="355" w:name="_Toc324404837"/>
      <w:bookmarkStart w:id="356" w:name="_Toc78803344"/>
      <w:bookmarkStart w:id="357" w:name="_Toc506107290"/>
      <w:bookmarkStart w:id="358" w:name="_Toc296602442"/>
      <w:bookmarkStart w:id="359" w:name="_Toc152042329"/>
      <w:bookmarkStart w:id="360" w:name="_Toc179632571"/>
      <w:bookmarkStart w:id="361" w:name="_Toc246996940"/>
      <w:bookmarkStart w:id="362" w:name="_Toc144974521"/>
      <w:bookmarkStart w:id="363" w:name="_Toc247085711"/>
      <w:bookmarkStart w:id="364" w:name="_Toc152045553"/>
      <w:bookmarkStart w:id="365" w:name="_Toc246996197"/>
      <w:r>
        <w:rPr>
          <w:rFonts w:hint="eastAsia" w:ascii="宋体" w:hAnsi="宋体" w:eastAsia="宋体" w:cs="宋体"/>
          <w:highlight w:val="none"/>
        </w:rPr>
        <w:t>3.5</w:t>
      </w:r>
      <w:bookmarkEnd w:id="351"/>
      <w:bookmarkEnd w:id="352"/>
      <w:bookmarkEnd w:id="353"/>
      <w:bookmarkEnd w:id="354"/>
      <w:bookmarkEnd w:id="355"/>
      <w:bookmarkEnd w:id="356"/>
      <w:bookmarkEnd w:id="357"/>
      <w:bookmarkEnd w:id="358"/>
      <w:r>
        <w:rPr>
          <w:rFonts w:hint="eastAsia" w:asciiTheme="majorEastAsia" w:hAnsiTheme="majorEastAsia" w:eastAsiaTheme="majorEastAsia" w:cstheme="majorEastAsia"/>
          <w:b/>
          <w:bCs w:val="0"/>
          <w:color w:val="auto"/>
          <w:kern w:val="0"/>
          <w:sz w:val="21"/>
          <w:szCs w:val="21"/>
          <w:highlight w:val="none"/>
          <w:u w:color="000000"/>
          <w:lang w:val="en-US" w:eastAsia="zh-CN" w:bidi="ar"/>
        </w:rPr>
        <w:t>投标文件的份数和签署</w:t>
      </w:r>
    </w:p>
    <w:bookmarkEnd w:id="359"/>
    <w:bookmarkEnd w:id="360"/>
    <w:bookmarkEnd w:id="361"/>
    <w:bookmarkEnd w:id="362"/>
    <w:bookmarkEnd w:id="363"/>
    <w:bookmarkEnd w:id="364"/>
    <w:bookmarkEnd w:id="365"/>
    <w:p w14:paraId="07AB4A87">
      <w:pPr>
        <w:keepNext w:val="0"/>
        <w:keepLines w:val="0"/>
        <w:widowControl/>
        <w:suppressLineNumbers w:val="0"/>
        <w:spacing w:before="0" w:beforeAutospacing="0" w:after="0" w:afterAutospacing="0" w:line="400" w:lineRule="exact"/>
        <w:ind w:left="0" w:right="0" w:firstLine="420" w:firstLineChars="200"/>
        <w:jc w:val="both"/>
        <w:rPr>
          <w:rFonts w:hint="eastAsia" w:asciiTheme="majorEastAsia" w:hAnsiTheme="majorEastAsia" w:eastAsiaTheme="majorEastAsia" w:cstheme="majorEastAsia"/>
          <w:color w:val="auto"/>
          <w:kern w:val="0"/>
          <w:sz w:val="21"/>
          <w:szCs w:val="21"/>
          <w:highlight w:val="none"/>
          <w:u w:color="000000"/>
          <w:lang w:val="en-US" w:eastAsia="zh-CN" w:bidi="ar"/>
        </w:rPr>
      </w:pPr>
      <w:bookmarkStart w:id="366" w:name="_Toc78803345"/>
      <w:bookmarkStart w:id="367" w:name="_Toc324404838"/>
      <w:bookmarkStart w:id="368" w:name="_Toc179632573"/>
      <w:bookmarkStart w:id="369" w:name="_Toc15058869"/>
      <w:bookmarkStart w:id="370" w:name="_Toc19455"/>
      <w:bookmarkStart w:id="371" w:name="_Toc144974523"/>
      <w:bookmarkStart w:id="372" w:name="_Toc506107291"/>
      <w:bookmarkStart w:id="373" w:name="_Toc152045555"/>
      <w:bookmarkStart w:id="374" w:name="_Toc35424910"/>
      <w:bookmarkStart w:id="375" w:name="_Toc247085713"/>
      <w:bookmarkStart w:id="376" w:name="_Toc35425076"/>
      <w:bookmarkStart w:id="377" w:name="_Toc152042331"/>
      <w:bookmarkStart w:id="378" w:name="_Toc246996199"/>
      <w:bookmarkStart w:id="379" w:name="_Toc246996942"/>
      <w:r>
        <w:rPr>
          <w:rFonts w:hint="eastAsia" w:asciiTheme="majorEastAsia" w:hAnsiTheme="majorEastAsia" w:eastAsiaTheme="majorEastAsia" w:cstheme="majorEastAsia"/>
          <w:color w:val="auto"/>
          <w:kern w:val="0"/>
          <w:sz w:val="21"/>
          <w:szCs w:val="21"/>
          <w:highlight w:val="none"/>
          <w:u w:color="000000"/>
          <w:lang w:val="en-US" w:eastAsia="zh-CN" w:bidi="ar"/>
        </w:rPr>
        <w:t>3.5.1投标文件一式三份，正本一份，副本二份。</w:t>
      </w:r>
    </w:p>
    <w:p w14:paraId="7BBD5920">
      <w:pPr>
        <w:keepNext w:val="0"/>
        <w:keepLines w:val="0"/>
        <w:widowControl/>
        <w:suppressLineNumbers w:val="0"/>
        <w:spacing w:before="0" w:beforeAutospacing="0" w:after="0" w:afterAutospacing="0" w:line="400" w:lineRule="exact"/>
        <w:ind w:left="0" w:right="0" w:firstLine="420" w:firstLineChars="200"/>
        <w:jc w:val="both"/>
        <w:rPr>
          <w:rFonts w:hint="eastAsia" w:asciiTheme="majorEastAsia" w:hAnsiTheme="majorEastAsia" w:eastAsiaTheme="majorEastAsia" w:cstheme="majorEastAsia"/>
          <w:color w:val="auto"/>
          <w:kern w:val="0"/>
          <w:sz w:val="21"/>
          <w:szCs w:val="21"/>
          <w:highlight w:val="none"/>
          <w:u w:color="000000"/>
          <w:lang w:val="en-US" w:eastAsia="zh-CN" w:bidi="ar"/>
        </w:rPr>
      </w:pPr>
      <w:r>
        <w:rPr>
          <w:rFonts w:hint="eastAsia" w:asciiTheme="majorEastAsia" w:hAnsiTheme="majorEastAsia" w:eastAsiaTheme="majorEastAsia" w:cstheme="majorEastAsia"/>
          <w:color w:val="auto"/>
          <w:kern w:val="0"/>
          <w:sz w:val="21"/>
          <w:szCs w:val="21"/>
          <w:highlight w:val="none"/>
          <w:u w:color="000000"/>
          <w:lang w:val="en-US" w:eastAsia="zh-CN" w:bidi="ar"/>
        </w:rPr>
        <w:t>3.5.2投标文件的正本和副本均需打印或使用不褪色的蓝、黑墨水笔书写，字迹应清晰易于辩认，并应在投标文件封面的右上角清楚地注明“正本”或“副本”。正本和副本如有不一致之处，以正本为准。</w:t>
      </w:r>
    </w:p>
    <w:p w14:paraId="2E494D42">
      <w:pPr>
        <w:keepNext w:val="0"/>
        <w:keepLines w:val="0"/>
        <w:widowControl/>
        <w:suppressLineNumbers w:val="0"/>
        <w:spacing w:before="0" w:beforeAutospacing="0" w:after="0" w:afterAutospacing="0" w:line="400" w:lineRule="exact"/>
        <w:ind w:left="0" w:right="0" w:firstLine="420" w:firstLineChars="200"/>
        <w:jc w:val="both"/>
        <w:rPr>
          <w:rFonts w:hint="eastAsia" w:asciiTheme="majorEastAsia" w:hAnsiTheme="majorEastAsia" w:eastAsiaTheme="majorEastAsia" w:cstheme="majorEastAsia"/>
          <w:color w:val="auto"/>
          <w:kern w:val="0"/>
          <w:sz w:val="21"/>
          <w:szCs w:val="21"/>
          <w:highlight w:val="none"/>
          <w:u w:color="000000"/>
          <w:lang w:val="en-US" w:eastAsia="zh-CN" w:bidi="ar"/>
        </w:rPr>
      </w:pPr>
      <w:r>
        <w:rPr>
          <w:rFonts w:hint="eastAsia" w:asciiTheme="majorEastAsia" w:hAnsiTheme="majorEastAsia" w:eastAsiaTheme="majorEastAsia" w:cstheme="majorEastAsia"/>
          <w:color w:val="auto"/>
          <w:kern w:val="0"/>
          <w:sz w:val="21"/>
          <w:szCs w:val="21"/>
          <w:highlight w:val="none"/>
          <w:u w:color="000000"/>
          <w:lang w:val="en-US" w:eastAsia="zh-CN" w:bidi="ar"/>
        </w:rPr>
        <w:t>3.5.3投标文件中的材料应当在格式文本要求的相应位置签字和盖章，否则，投标文件作无效投标处理。</w:t>
      </w:r>
    </w:p>
    <w:p w14:paraId="4EA14257">
      <w:pPr>
        <w:pStyle w:val="7"/>
        <w:spacing w:beforeLines="50" w:afterLines="50"/>
        <w:ind w:firstLine="482" w:firstLineChars="200"/>
        <w:rPr>
          <w:rFonts w:ascii="宋体" w:hAnsi="宋体" w:eastAsia="宋体" w:cs="宋体"/>
          <w:sz w:val="24"/>
          <w:szCs w:val="24"/>
          <w:highlight w:val="none"/>
        </w:rPr>
      </w:pPr>
      <w:r>
        <w:rPr>
          <w:rFonts w:hint="eastAsia" w:ascii="宋体" w:hAnsi="宋体" w:eastAsia="宋体" w:cs="宋体"/>
          <w:sz w:val="24"/>
          <w:szCs w:val="24"/>
          <w:highlight w:val="none"/>
        </w:rPr>
        <w:t>4.投标</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352A01A9">
      <w:pPr>
        <w:pStyle w:val="7"/>
        <w:ind w:firstLine="422" w:firstLineChars="200"/>
        <w:rPr>
          <w:rFonts w:hint="default" w:ascii="宋体" w:hAnsi="宋体" w:eastAsia="宋体" w:cs="宋体"/>
          <w:highlight w:val="none"/>
          <w:lang w:val="en-US" w:eastAsia="zh-CN"/>
        </w:rPr>
      </w:pPr>
      <w:bookmarkStart w:id="380" w:name="_Toc14473"/>
      <w:bookmarkStart w:id="381" w:name="_Toc35424911"/>
      <w:bookmarkStart w:id="382" w:name="_Toc35425077"/>
      <w:bookmarkStart w:id="383" w:name="_Toc15058870"/>
      <w:bookmarkStart w:id="384" w:name="_Toc78803346"/>
      <w:r>
        <w:rPr>
          <w:rFonts w:hint="eastAsia" w:ascii="宋体" w:hAnsi="宋体" w:eastAsia="宋体" w:cs="宋体"/>
          <w:highlight w:val="none"/>
        </w:rPr>
        <w:t>4.1</w:t>
      </w:r>
      <w:bookmarkEnd w:id="380"/>
      <w:bookmarkEnd w:id="381"/>
      <w:bookmarkEnd w:id="382"/>
      <w:bookmarkEnd w:id="383"/>
      <w:bookmarkEnd w:id="384"/>
      <w:r>
        <w:rPr>
          <w:rFonts w:hint="eastAsia" w:asciiTheme="majorEastAsia" w:hAnsiTheme="majorEastAsia" w:eastAsiaTheme="majorEastAsia" w:cstheme="majorEastAsia"/>
          <w:b/>
          <w:bCs/>
          <w:color w:val="auto"/>
          <w:szCs w:val="21"/>
          <w:highlight w:val="none"/>
        </w:rPr>
        <w:t>投标文件的装订、密封和标记</w:t>
      </w:r>
    </w:p>
    <w:p w14:paraId="446AE952">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bookmarkStart w:id="385" w:name="_Toc78803347"/>
      <w:bookmarkStart w:id="386" w:name="_Toc246996202"/>
      <w:bookmarkStart w:id="387" w:name="_Toc35424914"/>
      <w:bookmarkStart w:id="388" w:name="_Toc144974526"/>
      <w:bookmarkStart w:id="389" w:name="_Toc152045558"/>
      <w:bookmarkStart w:id="390" w:name="_Toc324404841"/>
      <w:bookmarkStart w:id="391" w:name="_Toc506107294"/>
      <w:bookmarkStart w:id="392" w:name="_Toc19572"/>
      <w:bookmarkStart w:id="393" w:name="_Toc296602446"/>
      <w:bookmarkStart w:id="394" w:name="_Toc246996945"/>
      <w:bookmarkStart w:id="395" w:name="_Toc247085716"/>
      <w:bookmarkStart w:id="396" w:name="_Toc152042334"/>
      <w:bookmarkStart w:id="397" w:name="_Toc179632576"/>
      <w:bookmarkStart w:id="398" w:name="_Toc35425080"/>
      <w:bookmarkStart w:id="399" w:name="_Toc15058873"/>
      <w:r>
        <w:rPr>
          <w:rFonts w:hint="eastAsia" w:asciiTheme="majorEastAsia" w:hAnsiTheme="majorEastAsia" w:eastAsiaTheme="majorEastAsia" w:cstheme="majorEastAsia"/>
          <w:color w:val="auto"/>
          <w:szCs w:val="21"/>
          <w:highlight w:val="none"/>
          <w:lang w:val="en-US" w:eastAsia="zh-CN"/>
        </w:rPr>
        <w:t>4</w:t>
      </w:r>
      <w:r>
        <w:rPr>
          <w:rFonts w:hint="eastAsia" w:asciiTheme="majorEastAsia" w:hAnsiTheme="majorEastAsia" w:eastAsiaTheme="majorEastAsia" w:cstheme="majorEastAsia"/>
          <w:color w:val="auto"/>
          <w:szCs w:val="21"/>
          <w:highlight w:val="none"/>
        </w:rPr>
        <w:t>.1</w:t>
      </w:r>
      <w:r>
        <w:rPr>
          <w:rFonts w:hint="eastAsia" w:asciiTheme="majorEastAsia" w:hAnsiTheme="majorEastAsia" w:eastAsiaTheme="majorEastAsia" w:cstheme="majorEastAsia"/>
          <w:color w:val="auto"/>
          <w:szCs w:val="21"/>
          <w:highlight w:val="none"/>
          <w:lang w:val="en-US" w:eastAsia="zh-CN"/>
        </w:rPr>
        <w:t>.1</w:t>
      </w:r>
      <w:r>
        <w:rPr>
          <w:rFonts w:hint="eastAsia" w:asciiTheme="majorEastAsia" w:hAnsiTheme="majorEastAsia" w:eastAsiaTheme="majorEastAsia" w:cstheme="majorEastAsia"/>
          <w:color w:val="auto"/>
          <w:szCs w:val="21"/>
          <w:highlight w:val="none"/>
        </w:rPr>
        <w:t>投标文件的装订要求</w:t>
      </w:r>
    </w:p>
    <w:p w14:paraId="5F375C4C">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投标文件应当按招标文件</w:t>
      </w:r>
      <w:r>
        <w:rPr>
          <w:rFonts w:hint="eastAsia" w:asciiTheme="majorEastAsia" w:hAnsiTheme="majorEastAsia" w:eastAsiaTheme="majorEastAsia" w:cstheme="majorEastAsia"/>
          <w:bCs/>
          <w:color w:val="auto"/>
          <w:kern w:val="0"/>
          <w:sz w:val="21"/>
          <w:szCs w:val="21"/>
          <w:highlight w:val="none"/>
          <w:u w:color="000000"/>
          <w:lang w:val="en-US" w:eastAsia="zh-CN" w:bidi="ar"/>
        </w:rPr>
        <w:t>第七章“投标文件格式文本”的</w:t>
      </w:r>
      <w:r>
        <w:rPr>
          <w:rFonts w:hint="eastAsia" w:asciiTheme="majorEastAsia" w:hAnsiTheme="majorEastAsia" w:eastAsiaTheme="majorEastAsia" w:cstheme="majorEastAsia"/>
          <w:color w:val="auto"/>
          <w:szCs w:val="21"/>
          <w:highlight w:val="none"/>
        </w:rPr>
        <w:t>顺序装订</w:t>
      </w:r>
      <w:r>
        <w:rPr>
          <w:rFonts w:hint="eastAsia" w:asciiTheme="majorEastAsia" w:hAnsiTheme="majorEastAsia" w:eastAsiaTheme="majorEastAsia" w:cstheme="majorEastAsia"/>
          <w:color w:val="auto"/>
          <w:szCs w:val="21"/>
          <w:highlight w:val="none"/>
          <w:lang w:val="en-US" w:eastAsia="zh-CN"/>
        </w:rPr>
        <w:t>并密封</w:t>
      </w:r>
      <w:r>
        <w:rPr>
          <w:rFonts w:hint="eastAsia" w:asciiTheme="majorEastAsia" w:hAnsiTheme="majorEastAsia" w:eastAsiaTheme="majorEastAsia" w:cstheme="majorEastAsia"/>
          <w:color w:val="auto"/>
          <w:szCs w:val="21"/>
          <w:highlight w:val="none"/>
        </w:rPr>
        <w:t>在一起。</w:t>
      </w:r>
    </w:p>
    <w:p w14:paraId="76BACBFE">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4.1.2</w:t>
      </w:r>
      <w:r>
        <w:rPr>
          <w:rFonts w:hint="eastAsia" w:asciiTheme="majorEastAsia" w:hAnsiTheme="majorEastAsia" w:eastAsiaTheme="majorEastAsia" w:cstheme="majorEastAsia"/>
          <w:color w:val="auto"/>
          <w:szCs w:val="21"/>
          <w:highlight w:val="none"/>
        </w:rPr>
        <w:t>投标文件的密封</w:t>
      </w:r>
    </w:p>
    <w:p w14:paraId="7D28162B">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rPr>
        <w:t>投标人应当将投标文件的正本、副本密封在一个投标文件袋内。</w:t>
      </w:r>
    </w:p>
    <w:p w14:paraId="60DFEC71">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4.1.3</w:t>
      </w:r>
      <w:r>
        <w:rPr>
          <w:rFonts w:hint="eastAsia" w:asciiTheme="majorEastAsia" w:hAnsiTheme="majorEastAsia" w:eastAsiaTheme="majorEastAsia" w:cstheme="majorEastAsia"/>
          <w:color w:val="auto"/>
          <w:szCs w:val="21"/>
          <w:highlight w:val="none"/>
        </w:rPr>
        <w:t>投标文件密封袋的标记</w:t>
      </w:r>
    </w:p>
    <w:p w14:paraId="32C2F103">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rPr>
      </w:pPr>
      <w:r>
        <w:rPr>
          <w:rFonts w:hint="eastAsia" w:asciiTheme="majorEastAsia" w:hAnsiTheme="majorEastAsia" w:eastAsiaTheme="majorEastAsia" w:cstheme="majorEastAsia"/>
          <w:color w:val="auto"/>
          <w:szCs w:val="21"/>
          <w:highlight w:val="none"/>
          <w:lang w:val="en-US" w:eastAsia="zh-CN"/>
        </w:rPr>
        <w:t>4.1.3.1</w:t>
      </w:r>
      <w:r>
        <w:rPr>
          <w:rFonts w:hint="eastAsia" w:asciiTheme="majorEastAsia" w:hAnsiTheme="majorEastAsia" w:eastAsiaTheme="majorEastAsia" w:cstheme="majorEastAsia"/>
          <w:color w:val="auto"/>
          <w:szCs w:val="21"/>
          <w:highlight w:val="none"/>
        </w:rPr>
        <w:t>在投标文件密封袋上应写明投标人名称和地址、邮政编码。注明招标项目名称。</w:t>
      </w:r>
    </w:p>
    <w:p w14:paraId="1AC1CA49">
      <w:pPr>
        <w:keepNext w:val="0"/>
        <w:keepLines w:val="0"/>
        <w:widowControl/>
        <w:suppressLineNumbers w:val="0"/>
        <w:spacing w:before="0" w:beforeAutospacing="0" w:after="0" w:afterAutospacing="0" w:line="440" w:lineRule="exact"/>
        <w:ind w:left="0" w:right="0" w:firstLine="420" w:firstLineChars="200"/>
        <w:jc w:val="both"/>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4.1.3</w:t>
      </w:r>
      <w:r>
        <w:rPr>
          <w:rFonts w:hint="eastAsia" w:asciiTheme="majorEastAsia" w:hAnsiTheme="majorEastAsia" w:eastAsiaTheme="majorEastAsia" w:cstheme="majorEastAsia"/>
          <w:color w:val="auto"/>
          <w:szCs w:val="21"/>
          <w:highlight w:val="none"/>
        </w:rPr>
        <w:t>.2所有投标文件的密封袋应加盖投标人公章；否则，该投标文件将被拒绝。</w:t>
      </w:r>
    </w:p>
    <w:p w14:paraId="5C4E17BC">
      <w:pPr>
        <w:pStyle w:val="7"/>
        <w:ind w:firstLine="422" w:firstLineChars="200"/>
        <w:rPr>
          <w:rFonts w:ascii="宋体" w:hAnsi="宋体" w:eastAsia="宋体" w:cs="宋体"/>
          <w:highlight w:val="none"/>
        </w:rPr>
      </w:pPr>
      <w:r>
        <w:rPr>
          <w:rFonts w:hint="eastAsia" w:ascii="宋体" w:hAnsi="宋体" w:eastAsia="宋体" w:cs="宋体"/>
          <w:highlight w:val="none"/>
        </w:rPr>
        <w:t>4.</w:t>
      </w:r>
      <w:r>
        <w:rPr>
          <w:rFonts w:hint="eastAsia" w:ascii="宋体" w:hAnsi="宋体" w:eastAsia="宋体" w:cs="宋体"/>
          <w:highlight w:val="none"/>
          <w:lang w:val="en-US" w:eastAsia="zh-CN"/>
        </w:rPr>
        <w:t>2</w:t>
      </w:r>
      <w:r>
        <w:rPr>
          <w:rFonts w:hint="eastAsia" w:ascii="宋体" w:hAnsi="宋体" w:eastAsia="宋体" w:cs="宋体"/>
          <w:highlight w:val="none"/>
        </w:rPr>
        <w:t xml:space="preserve"> 投标文件的修改与撤回</w:t>
      </w:r>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p w14:paraId="68A681D1">
      <w:pPr>
        <w:spacing w:line="400" w:lineRule="exact"/>
        <w:ind w:firstLine="420" w:firstLineChars="200"/>
        <w:rPr>
          <w:rFonts w:hint="eastAsia" w:asciiTheme="majorEastAsia" w:hAnsiTheme="majorEastAsia" w:eastAsiaTheme="majorEastAsia" w:cstheme="majorEastAsia"/>
          <w:color w:val="auto"/>
          <w:kern w:val="0"/>
          <w:sz w:val="21"/>
          <w:szCs w:val="21"/>
          <w:highlight w:val="none"/>
          <w:lang w:val="en-US" w:eastAsia="zh-CN" w:bidi="ar"/>
        </w:rPr>
      </w:pPr>
      <w:bookmarkStart w:id="400" w:name="_Toc144974527"/>
      <w:bookmarkStart w:id="401" w:name="_Toc152045559"/>
      <w:bookmarkStart w:id="402" w:name="_Toc35424915"/>
      <w:bookmarkStart w:id="403" w:name="_Toc179632577"/>
      <w:bookmarkStart w:id="404" w:name="_Toc29639"/>
      <w:bookmarkStart w:id="405" w:name="_Toc152042335"/>
      <w:bookmarkStart w:id="406" w:name="_Toc35425081"/>
      <w:bookmarkStart w:id="407" w:name="_Toc246996946"/>
      <w:bookmarkStart w:id="408" w:name="_Toc78803348"/>
      <w:bookmarkStart w:id="409" w:name="_Toc324404842"/>
      <w:bookmarkStart w:id="410" w:name="_Toc15058874"/>
      <w:bookmarkStart w:id="411" w:name="_Toc506107295"/>
      <w:bookmarkStart w:id="412" w:name="_Toc247085717"/>
      <w:bookmarkStart w:id="413" w:name="_Toc246996203"/>
      <w:r>
        <w:rPr>
          <w:rFonts w:hint="eastAsia" w:asciiTheme="majorEastAsia" w:hAnsiTheme="majorEastAsia" w:eastAsiaTheme="majorEastAsia" w:cstheme="majorEastAsia"/>
          <w:color w:val="auto"/>
          <w:kern w:val="0"/>
          <w:sz w:val="21"/>
          <w:szCs w:val="21"/>
          <w:highlight w:val="none"/>
          <w:lang w:val="en-US" w:eastAsia="zh-CN" w:bidi="ar"/>
        </w:rPr>
        <w:t>4.2.1投标人在投标人须知前附表规定的投标截止时间前，投标人可以修改或撤回已递交的投标文件，但应以书面形式通知招标人。</w:t>
      </w:r>
    </w:p>
    <w:p w14:paraId="209401DA">
      <w:pPr>
        <w:spacing w:line="400" w:lineRule="exact"/>
        <w:ind w:firstLine="420" w:firstLineChars="200"/>
        <w:rPr>
          <w:rFonts w:hint="eastAsia" w:asciiTheme="majorEastAsia" w:hAnsiTheme="majorEastAsia" w:eastAsiaTheme="majorEastAsia" w:cstheme="majorEastAsia"/>
          <w:color w:val="auto"/>
          <w:kern w:val="0"/>
          <w:sz w:val="21"/>
          <w:szCs w:val="21"/>
          <w:highlight w:val="none"/>
          <w:lang w:val="en-US" w:eastAsia="zh-CN" w:bidi="ar"/>
        </w:rPr>
      </w:pPr>
      <w:r>
        <w:rPr>
          <w:rFonts w:hint="eastAsia" w:asciiTheme="majorEastAsia" w:hAnsiTheme="majorEastAsia" w:eastAsiaTheme="majorEastAsia" w:cstheme="majorEastAsia"/>
          <w:color w:val="auto"/>
          <w:kern w:val="0"/>
          <w:sz w:val="21"/>
          <w:szCs w:val="21"/>
          <w:highlight w:val="none"/>
          <w:lang w:val="en-US" w:eastAsia="zh-CN" w:bidi="ar"/>
        </w:rPr>
        <w:t>4.2.2投标人修改或撤回已递交投标文件的书面通知应按要求签字或盖章。</w:t>
      </w:r>
    </w:p>
    <w:p w14:paraId="03459E68">
      <w:pPr>
        <w:pStyle w:val="7"/>
        <w:ind w:firstLine="422" w:firstLineChars="200"/>
        <w:rPr>
          <w:rFonts w:hint="eastAsia" w:ascii="宋体" w:hAnsi="宋体" w:eastAsia="宋体" w:cs="宋体"/>
          <w:highlight w:val="none"/>
        </w:rPr>
      </w:pPr>
      <w:r>
        <w:rPr>
          <w:rFonts w:hint="eastAsia" w:ascii="宋体" w:hAnsi="宋体" w:eastAsia="宋体" w:cs="宋体"/>
          <w:highlight w:val="none"/>
          <w:lang w:val="en-US" w:eastAsia="zh-CN"/>
        </w:rPr>
        <w:t>4.3</w:t>
      </w:r>
      <w:r>
        <w:rPr>
          <w:rFonts w:hint="eastAsia" w:ascii="宋体" w:hAnsi="宋体" w:eastAsia="宋体" w:cs="宋体"/>
          <w:highlight w:val="none"/>
        </w:rPr>
        <w:t>投标文件的提交</w:t>
      </w:r>
    </w:p>
    <w:p w14:paraId="29076D46">
      <w:pPr>
        <w:spacing w:line="400" w:lineRule="exact"/>
        <w:ind w:firstLine="420" w:firstLineChars="200"/>
        <w:rPr>
          <w:rFonts w:hint="eastAsia" w:asciiTheme="majorEastAsia" w:hAnsiTheme="majorEastAsia" w:eastAsiaTheme="majorEastAsia" w:cstheme="majorEastAsia"/>
          <w:color w:val="auto"/>
          <w:kern w:val="0"/>
          <w:sz w:val="21"/>
          <w:szCs w:val="21"/>
          <w:highlight w:val="none"/>
          <w:lang w:val="en-US" w:eastAsia="zh-CN" w:bidi="ar"/>
        </w:rPr>
      </w:pPr>
      <w:r>
        <w:rPr>
          <w:rFonts w:hint="eastAsia" w:asciiTheme="majorEastAsia" w:hAnsiTheme="majorEastAsia" w:eastAsiaTheme="majorEastAsia" w:cstheme="majorEastAsia"/>
          <w:color w:val="auto"/>
          <w:kern w:val="0"/>
          <w:sz w:val="21"/>
          <w:szCs w:val="21"/>
          <w:highlight w:val="none"/>
          <w:lang w:val="en-US" w:eastAsia="zh-CN" w:bidi="ar"/>
        </w:rPr>
        <w:t>4.3.1投标文件提交的收件人、截止时间及地点：详见投标人须知前附表。</w:t>
      </w:r>
    </w:p>
    <w:p w14:paraId="705C4065">
      <w:pPr>
        <w:pStyle w:val="7"/>
        <w:spacing w:beforeLines="50" w:afterLines="50"/>
        <w:ind w:firstLine="482" w:firstLineChars="200"/>
        <w:rPr>
          <w:rFonts w:ascii="宋体" w:hAnsi="宋体" w:eastAsia="宋体" w:cs="宋体"/>
          <w:sz w:val="24"/>
          <w:szCs w:val="24"/>
          <w:highlight w:val="none"/>
        </w:rPr>
      </w:pPr>
      <w:r>
        <w:rPr>
          <w:rFonts w:hint="eastAsia" w:ascii="宋体" w:hAnsi="宋体" w:eastAsia="宋体" w:cs="宋体"/>
          <w:sz w:val="24"/>
          <w:szCs w:val="24"/>
          <w:highlight w:val="none"/>
        </w:rPr>
        <w:t>5. 开标</w:t>
      </w:r>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p>
    <w:p w14:paraId="78C584C4">
      <w:pPr>
        <w:pStyle w:val="7"/>
        <w:ind w:firstLine="422" w:firstLineChars="200"/>
        <w:rPr>
          <w:rFonts w:ascii="宋体" w:hAnsi="宋体" w:eastAsia="宋体" w:cs="宋体"/>
          <w:highlight w:val="none"/>
        </w:rPr>
      </w:pPr>
      <w:bookmarkStart w:id="414" w:name="_Toc13691"/>
      <w:bookmarkStart w:id="415" w:name="_Toc246996947"/>
      <w:bookmarkStart w:id="416" w:name="_Toc15058875"/>
      <w:bookmarkStart w:id="417" w:name="_Toc152045560"/>
      <w:bookmarkStart w:id="418" w:name="_Toc296602448"/>
      <w:bookmarkStart w:id="419" w:name="_Toc35425082"/>
      <w:bookmarkStart w:id="420" w:name="_Toc78803349"/>
      <w:bookmarkStart w:id="421" w:name="_Toc179632578"/>
      <w:bookmarkStart w:id="422" w:name="_Toc324404843"/>
      <w:bookmarkStart w:id="423" w:name="_Toc246996204"/>
      <w:bookmarkStart w:id="424" w:name="_Toc144974528"/>
      <w:bookmarkStart w:id="425" w:name="_Toc506107296"/>
      <w:bookmarkStart w:id="426" w:name="_Toc35424916"/>
      <w:bookmarkStart w:id="427" w:name="_Toc152042336"/>
      <w:bookmarkStart w:id="428" w:name="_Toc247085718"/>
      <w:r>
        <w:rPr>
          <w:rFonts w:hint="eastAsia" w:ascii="宋体" w:hAnsi="宋体" w:eastAsia="宋体" w:cs="宋体"/>
          <w:highlight w:val="none"/>
        </w:rPr>
        <w:t>5.1 开标时间和地点</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14:paraId="2617DF5D">
      <w:pPr>
        <w:keepNext w:val="0"/>
        <w:keepLines w:val="0"/>
        <w:pageBreakBefore w:val="0"/>
        <w:widowControl/>
        <w:kinsoku/>
        <w:wordWrap/>
        <w:overflowPunct/>
        <w:topLinePunct w:val="0"/>
        <w:autoSpaceDE/>
        <w:autoSpaceDN/>
        <w:bidi w:val="0"/>
        <w:spacing w:line="440" w:lineRule="exact"/>
        <w:ind w:firstLine="420" w:firstLineChars="200"/>
        <w:jc w:val="left"/>
        <w:textAlignment w:val="baseline"/>
        <w:rPr>
          <w:rFonts w:ascii="宋体" w:hAnsi="宋体" w:cs="宋体"/>
          <w:szCs w:val="21"/>
          <w:highlight w:val="none"/>
        </w:rPr>
      </w:pPr>
      <w:r>
        <w:rPr>
          <w:rFonts w:hint="eastAsia" w:ascii="宋体" w:hAnsi="宋体" w:cs="宋体"/>
          <w:szCs w:val="21"/>
          <w:highlight w:val="none"/>
        </w:rPr>
        <w:t>招标人在投标人须知前附表规定的投标截止时间（开标时间）和地点公开开标</w:t>
      </w:r>
      <w:r>
        <w:rPr>
          <w:rFonts w:hint="eastAsia" w:ascii="宋体" w:hAnsi="宋体" w:eastAsia="宋体" w:cs="宋体"/>
          <w:color w:val="000000"/>
          <w:kern w:val="0"/>
          <w:sz w:val="21"/>
          <w:szCs w:val="21"/>
          <w:highlight w:val="none"/>
          <w:u w:color="000000"/>
          <w:lang w:val="en-US" w:eastAsia="zh-CN" w:bidi="ar"/>
        </w:rPr>
        <w:t>，</w:t>
      </w:r>
      <w:r>
        <w:rPr>
          <w:rFonts w:hint="eastAsia" w:ascii="宋体" w:cs="宋体"/>
          <w:color w:val="auto"/>
          <w:szCs w:val="21"/>
        </w:rPr>
        <w:t>并邀请所有投标人参加。</w:t>
      </w:r>
    </w:p>
    <w:p w14:paraId="4D1A8A2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auto"/>
          <w:highlight w:val="none"/>
          <w:lang w:val="en-US"/>
        </w:rPr>
      </w:pPr>
      <w:bookmarkStart w:id="429" w:name="_Toc296602449"/>
      <w:bookmarkStart w:id="430" w:name="_Toc324404844"/>
      <w:bookmarkStart w:id="431" w:name="_Toc144974529"/>
      <w:bookmarkStart w:id="432" w:name="_Toc15058876"/>
      <w:bookmarkStart w:id="433" w:name="_Toc246996205"/>
      <w:bookmarkStart w:id="434" w:name="_Toc35424917"/>
      <w:bookmarkStart w:id="435" w:name="_Toc179632579"/>
      <w:bookmarkStart w:id="436" w:name="_Toc246996948"/>
      <w:bookmarkStart w:id="437" w:name="_Toc247085719"/>
      <w:bookmarkStart w:id="438" w:name="_Toc35425083"/>
      <w:bookmarkStart w:id="439" w:name="_Toc32451"/>
      <w:bookmarkStart w:id="440" w:name="_Toc152042337"/>
      <w:bookmarkStart w:id="441" w:name="_Toc78803350"/>
      <w:bookmarkStart w:id="442" w:name="_Toc152045561"/>
      <w:bookmarkStart w:id="443" w:name="_Toc506107297"/>
      <w:r>
        <w:rPr>
          <w:rFonts w:hint="eastAsia" w:ascii="宋体" w:hAnsi="宋体" w:eastAsia="宋体" w:cs="宋体"/>
          <w:highlight w:val="none"/>
          <w:lang w:val="en-US" w:eastAsia="zh-CN"/>
        </w:rPr>
        <w:t>5.2</w:t>
      </w:r>
      <w:r>
        <w:rPr>
          <w:rFonts w:hint="eastAsia" w:asciiTheme="majorEastAsia" w:hAnsiTheme="majorEastAsia" w:eastAsiaTheme="majorEastAsia" w:cstheme="majorEastAsia"/>
          <w:color w:val="auto"/>
          <w:kern w:val="0"/>
          <w:sz w:val="21"/>
          <w:szCs w:val="21"/>
          <w:highlight w:val="none"/>
          <w:u w:color="000000"/>
          <w:lang w:val="en-US" w:eastAsia="zh-CN" w:bidi="ar"/>
        </w:rPr>
        <w:t>参与开标的监督部门</w:t>
      </w:r>
    </w:p>
    <w:p w14:paraId="3B7579BF">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auto"/>
          <w:kern w:val="0"/>
          <w:sz w:val="21"/>
          <w:szCs w:val="21"/>
          <w:highlight w:val="none"/>
          <w:u w:color="000000"/>
          <w:lang w:val="en-US" w:eastAsia="zh-CN" w:bidi="ar"/>
        </w:rPr>
      </w:pPr>
      <w:r>
        <w:rPr>
          <w:rFonts w:hint="eastAsia" w:asciiTheme="majorEastAsia" w:hAnsiTheme="majorEastAsia" w:eastAsiaTheme="majorEastAsia" w:cstheme="majorEastAsia"/>
          <w:color w:val="auto"/>
          <w:kern w:val="0"/>
          <w:sz w:val="21"/>
          <w:szCs w:val="21"/>
          <w:highlight w:val="none"/>
          <w:u w:color="000000"/>
          <w:lang w:val="en-US" w:eastAsia="zh-CN" w:bidi="ar"/>
        </w:rPr>
        <w:t>5.2.1招标人可以邀请相关监督部门参加。</w:t>
      </w:r>
    </w:p>
    <w:p w14:paraId="50D4FC92">
      <w:pPr>
        <w:keepNext w:val="0"/>
        <w:keepLines w:val="0"/>
        <w:pageBreakBefore w:val="0"/>
        <w:widowControl/>
        <w:kinsoku/>
        <w:wordWrap/>
        <w:overflowPunct/>
        <w:topLinePunct w:val="0"/>
        <w:autoSpaceDE/>
        <w:autoSpaceDN/>
        <w:bidi w:val="0"/>
        <w:adjustRightInd w:val="0"/>
        <w:snapToGrid w:val="0"/>
        <w:spacing w:line="440" w:lineRule="exact"/>
        <w:ind w:firstLine="420" w:firstLineChars="200"/>
        <w:textAlignment w:val="baseline"/>
        <w:rPr>
          <w:rFonts w:hint="default"/>
          <w:lang w:val="en-US"/>
        </w:rPr>
      </w:pPr>
      <w:r>
        <w:rPr>
          <w:rFonts w:hint="eastAsia" w:asciiTheme="majorEastAsia" w:hAnsiTheme="majorEastAsia" w:eastAsiaTheme="majorEastAsia" w:cstheme="majorEastAsia"/>
          <w:color w:val="auto"/>
          <w:kern w:val="0"/>
          <w:sz w:val="21"/>
          <w:szCs w:val="21"/>
          <w:highlight w:val="none"/>
          <w:u w:color="000000"/>
          <w:lang w:val="en-US" w:eastAsia="zh-CN" w:bidi="ar"/>
        </w:rPr>
        <w:t>5.2.2</w:t>
      </w:r>
      <w:r>
        <w:rPr>
          <w:rFonts w:hint="eastAsia" w:ascii="宋体" w:cs="宋体"/>
          <w:bCs/>
          <w:color w:val="auto"/>
          <w:szCs w:val="21"/>
        </w:rPr>
        <w:t>投标人法定代表人或被授权代理人必须到场参加开标会议，并出示法定代表人身份证原件或被授权代理人身份证原件，以便开标会议上证明其身份及投标资格。</w:t>
      </w:r>
    </w:p>
    <w:p w14:paraId="446E0106">
      <w:pPr>
        <w:pStyle w:val="7"/>
        <w:ind w:firstLine="422" w:firstLineChars="200"/>
        <w:rPr>
          <w:rFonts w:ascii="宋体" w:hAnsi="宋体" w:eastAsia="宋体" w:cs="宋体"/>
          <w:highlight w:val="none"/>
        </w:rPr>
      </w:pPr>
      <w:r>
        <w:rPr>
          <w:rFonts w:hint="eastAsia" w:ascii="宋体" w:hAnsi="宋体" w:eastAsia="宋体" w:cs="宋体"/>
          <w:highlight w:val="none"/>
        </w:rPr>
        <w:t>5.2 开标程序</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p w14:paraId="5CAB6292">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highlight w:val="none"/>
          <w:lang w:val="en-US"/>
        </w:rPr>
      </w:pPr>
      <w:bookmarkStart w:id="444" w:name="_Toc324404845"/>
      <w:bookmarkStart w:id="445" w:name="_Toc296602450"/>
      <w:bookmarkStart w:id="446" w:name="_Toc506107298"/>
      <w:r>
        <w:rPr>
          <w:rFonts w:hint="eastAsia" w:ascii="宋体" w:hAnsi="宋体" w:eastAsia="宋体" w:cs="宋体"/>
          <w:color w:val="000000"/>
          <w:kern w:val="0"/>
          <w:sz w:val="21"/>
          <w:szCs w:val="21"/>
          <w:highlight w:val="none"/>
          <w:u w:color="000000"/>
          <w:lang w:val="en-US" w:eastAsia="zh-CN" w:bidi="ar"/>
        </w:rPr>
        <w:t>开标会议由</w:t>
      </w:r>
      <w:r>
        <w:rPr>
          <w:rFonts w:hint="eastAsia" w:ascii="宋体" w:hAnsi="宋体" w:eastAsia="宋体" w:cs="宋体"/>
          <w:color w:val="000000"/>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000000"/>
          <w:kern w:val="0"/>
          <w:sz w:val="21"/>
          <w:szCs w:val="21"/>
          <w:highlight w:val="none"/>
          <w:u w:color="000000"/>
          <w:lang w:val="en-US" w:eastAsia="zh-CN" w:bidi="ar"/>
        </w:rPr>
        <w:t>主持。</w:t>
      </w:r>
    </w:p>
    <w:p w14:paraId="6FF19DB5">
      <w:pPr>
        <w:spacing w:line="440" w:lineRule="exact"/>
        <w:ind w:right="-155" w:rightChars="-74" w:firstLine="210" w:firstLineChars="100"/>
        <w:jc w:val="left"/>
        <w:rPr>
          <w:rFonts w:hint="eastAsia" w:ascii="宋体"/>
          <w:szCs w:val="21"/>
        </w:rPr>
      </w:pPr>
      <w:r>
        <w:rPr>
          <w:rFonts w:hint="eastAsia" w:ascii="宋体"/>
          <w:szCs w:val="21"/>
        </w:rPr>
        <w:t>（1）公布在投标截止时间前递交投标文件的投标人名称，并确认投标单位相关人员是否到场；</w:t>
      </w:r>
    </w:p>
    <w:p w14:paraId="2BBAC6CC">
      <w:pPr>
        <w:spacing w:line="440" w:lineRule="exact"/>
        <w:ind w:right="-155" w:rightChars="-74" w:firstLine="210" w:firstLineChars="100"/>
        <w:jc w:val="left"/>
        <w:rPr>
          <w:rFonts w:hint="eastAsia" w:ascii="宋体"/>
          <w:szCs w:val="21"/>
        </w:rPr>
      </w:pPr>
      <w:r>
        <w:rPr>
          <w:rFonts w:hint="eastAsia" w:ascii="宋体"/>
          <w:szCs w:val="21"/>
        </w:rPr>
        <w:t>（2）宣布</w:t>
      </w:r>
      <w:r>
        <w:rPr>
          <w:rFonts w:hint="eastAsia" w:ascii="宋体"/>
          <w:szCs w:val="21"/>
          <w:lang w:val="en-US" w:eastAsia="zh-CN"/>
        </w:rPr>
        <w:t>招标</w:t>
      </w:r>
      <w:r>
        <w:rPr>
          <w:rFonts w:hint="eastAsia" w:ascii="宋体"/>
          <w:szCs w:val="21"/>
        </w:rPr>
        <w:t>人、唱标人、记录人、</w:t>
      </w:r>
      <w:r>
        <w:rPr>
          <w:rFonts w:hint="eastAsia" w:ascii="宋体" w:hAnsi="宋体" w:eastAsia="宋体" w:cs="宋体"/>
          <w:color w:val="000000"/>
          <w:kern w:val="0"/>
          <w:sz w:val="21"/>
          <w:szCs w:val="21"/>
          <w:highlight w:val="none"/>
          <w:u w:color="000000"/>
          <w:lang w:val="en-US" w:eastAsia="zh-CN" w:bidi="ar"/>
        </w:rPr>
        <w:t>监督人</w:t>
      </w:r>
      <w:r>
        <w:rPr>
          <w:rFonts w:hint="eastAsia" w:ascii="宋体"/>
          <w:szCs w:val="21"/>
        </w:rPr>
        <w:t>等有关人员姓名；</w:t>
      </w:r>
    </w:p>
    <w:p w14:paraId="6AD00A01">
      <w:pPr>
        <w:spacing w:line="440" w:lineRule="exact"/>
        <w:ind w:right="-155" w:rightChars="-74" w:firstLine="210" w:firstLineChars="100"/>
        <w:jc w:val="left"/>
        <w:rPr>
          <w:rFonts w:hint="eastAsia" w:ascii="宋体"/>
          <w:szCs w:val="21"/>
        </w:rPr>
      </w:pPr>
      <w:r>
        <w:rPr>
          <w:rFonts w:hint="eastAsia" w:ascii="宋体"/>
          <w:szCs w:val="21"/>
        </w:rPr>
        <w:t>（3）由投标人或其推选的代表检查投标文件的密封情况；</w:t>
      </w:r>
    </w:p>
    <w:p w14:paraId="58622102">
      <w:pPr>
        <w:spacing w:line="440" w:lineRule="exact"/>
        <w:ind w:right="-155" w:rightChars="-74" w:firstLine="210" w:firstLineChars="100"/>
        <w:jc w:val="left"/>
        <w:rPr>
          <w:rFonts w:hint="eastAsia" w:ascii="宋体"/>
          <w:szCs w:val="21"/>
        </w:rPr>
      </w:pPr>
      <w:r>
        <w:rPr>
          <w:rFonts w:hint="eastAsia" w:ascii="宋体"/>
          <w:szCs w:val="21"/>
        </w:rPr>
        <w:t>（4）</w:t>
      </w:r>
      <w:r>
        <w:rPr>
          <w:rFonts w:hint="eastAsia" w:ascii="宋体"/>
          <w:szCs w:val="21"/>
          <w:lang w:val="en-US" w:eastAsia="zh-CN"/>
        </w:rPr>
        <w:t>按投标文件递交</w:t>
      </w:r>
      <w:r>
        <w:rPr>
          <w:rFonts w:hint="eastAsia" w:ascii="宋体"/>
          <w:szCs w:val="21"/>
        </w:rPr>
        <w:t>顺序拆标书并唱标；</w:t>
      </w:r>
    </w:p>
    <w:p w14:paraId="58BF1D95">
      <w:pPr>
        <w:spacing w:line="440" w:lineRule="exact"/>
        <w:ind w:right="-155" w:rightChars="-74" w:firstLine="210" w:firstLineChars="100"/>
        <w:jc w:val="left"/>
        <w:rPr>
          <w:rFonts w:hint="default" w:ascii="宋体" w:eastAsiaTheme="minorEastAsia"/>
          <w:szCs w:val="21"/>
          <w:lang w:val="en-US" w:eastAsia="zh-CN"/>
        </w:rPr>
      </w:pPr>
      <w:r>
        <w:rPr>
          <w:rFonts w:hint="eastAsia" w:ascii="宋体"/>
          <w:szCs w:val="21"/>
        </w:rPr>
        <w:t>（5）评标委员会对</w:t>
      </w:r>
      <w:r>
        <w:rPr>
          <w:rFonts w:hint="eastAsia" w:ascii="宋体"/>
          <w:szCs w:val="21"/>
          <w:lang w:val="en-US" w:eastAsia="zh-CN"/>
        </w:rPr>
        <w:t>各投标文件进行评审；</w:t>
      </w:r>
    </w:p>
    <w:p w14:paraId="55D04DBE">
      <w:pPr>
        <w:spacing w:line="440" w:lineRule="exact"/>
        <w:ind w:right="-155" w:rightChars="-74" w:firstLine="210" w:firstLineChars="100"/>
        <w:jc w:val="left"/>
        <w:rPr>
          <w:rFonts w:hint="eastAsia" w:ascii="宋体"/>
          <w:szCs w:val="21"/>
        </w:rPr>
      </w:pPr>
      <w:r>
        <w:rPr>
          <w:rFonts w:hint="eastAsia" w:ascii="宋体"/>
          <w:szCs w:val="21"/>
        </w:rPr>
        <w:t>（6）评标委员会根据评审结果推荐中标候选人,主持人宣布评审结果</w:t>
      </w:r>
      <w:r>
        <w:rPr>
          <w:rFonts w:hint="eastAsia" w:ascii="宋体"/>
          <w:szCs w:val="21"/>
          <w:lang w:eastAsia="zh-CN"/>
        </w:rPr>
        <w:t>；</w:t>
      </w:r>
    </w:p>
    <w:p w14:paraId="584C6D27">
      <w:pPr>
        <w:spacing w:line="440" w:lineRule="exact"/>
        <w:ind w:right="-155" w:rightChars="-74" w:firstLine="210" w:firstLineChars="100"/>
        <w:jc w:val="left"/>
        <w:rPr>
          <w:rFonts w:hint="eastAsia" w:ascii="宋体"/>
          <w:szCs w:val="21"/>
        </w:rPr>
      </w:pPr>
      <w:r>
        <w:rPr>
          <w:rFonts w:hint="eastAsia" w:ascii="宋体"/>
          <w:szCs w:val="21"/>
        </w:rPr>
        <w:t>（7）有关人员在开标记录上签字确认；</w:t>
      </w:r>
    </w:p>
    <w:p w14:paraId="02494AB8">
      <w:pPr>
        <w:spacing w:line="440" w:lineRule="exact"/>
        <w:ind w:right="-155" w:rightChars="-74" w:firstLine="210" w:firstLineChars="100"/>
        <w:jc w:val="left"/>
        <w:rPr>
          <w:rFonts w:hint="eastAsia" w:ascii="宋体"/>
          <w:szCs w:val="21"/>
        </w:rPr>
      </w:pPr>
      <w:r>
        <w:rPr>
          <w:rFonts w:hint="eastAsia" w:ascii="宋体"/>
          <w:szCs w:val="21"/>
        </w:rPr>
        <w:t>（8）开标结束。</w:t>
      </w:r>
    </w:p>
    <w:p w14:paraId="0AD0F546">
      <w:pPr>
        <w:pStyle w:val="7"/>
        <w:ind w:firstLine="422"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5.3开标异议</w:t>
      </w:r>
    </w:p>
    <w:p w14:paraId="0E075574">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color w:val="auto"/>
          <w:kern w:val="0"/>
          <w:sz w:val="21"/>
          <w:szCs w:val="21"/>
          <w:highlight w:val="none"/>
          <w:u w:color="000000"/>
          <w:lang w:val="en-US" w:eastAsia="zh-CN" w:bidi="ar"/>
        </w:rPr>
      </w:pPr>
      <w:r>
        <w:rPr>
          <w:rFonts w:hint="eastAsia" w:asciiTheme="majorEastAsia" w:hAnsiTheme="majorEastAsia" w:eastAsiaTheme="majorEastAsia" w:cstheme="majorEastAsia"/>
          <w:color w:val="auto"/>
          <w:kern w:val="0"/>
          <w:sz w:val="21"/>
          <w:szCs w:val="21"/>
          <w:highlight w:val="none"/>
          <w:u w:color="000000"/>
          <w:lang w:val="en-US" w:eastAsia="zh-CN" w:bidi="ar"/>
        </w:rPr>
        <w:t>5.3.1投标人对开标有异议的，应当在开标过程中提出，招标人在开标过程中作出答复，并制作记录。</w:t>
      </w:r>
    </w:p>
    <w:bookmarkEnd w:id="444"/>
    <w:bookmarkEnd w:id="445"/>
    <w:bookmarkEnd w:id="446"/>
    <w:p w14:paraId="0842601E">
      <w:pPr>
        <w:pStyle w:val="7"/>
        <w:spacing w:beforeLines="50" w:afterLines="50"/>
        <w:ind w:firstLine="482" w:firstLineChars="200"/>
        <w:rPr>
          <w:rFonts w:ascii="宋体" w:hAnsi="宋体" w:eastAsia="宋体" w:cs="宋体"/>
          <w:sz w:val="24"/>
          <w:szCs w:val="24"/>
          <w:highlight w:val="none"/>
        </w:rPr>
      </w:pPr>
      <w:bookmarkStart w:id="447" w:name="_Toc179632580"/>
      <w:bookmarkStart w:id="448" w:name="_Toc15058884"/>
      <w:bookmarkStart w:id="449" w:name="_Toc324404846"/>
      <w:bookmarkStart w:id="450" w:name="_Toc20689"/>
      <w:bookmarkStart w:id="451" w:name="_Toc78803352"/>
      <w:bookmarkStart w:id="452" w:name="_Toc246996949"/>
      <w:bookmarkStart w:id="453" w:name="_Toc247085720"/>
      <w:bookmarkStart w:id="454" w:name="_Toc152042338"/>
      <w:bookmarkStart w:id="455" w:name="_Toc246996206"/>
      <w:bookmarkStart w:id="456" w:name="_Toc35424919"/>
      <w:bookmarkStart w:id="457" w:name="_Toc506107299"/>
      <w:bookmarkStart w:id="458" w:name="_Toc152045562"/>
      <w:bookmarkStart w:id="459" w:name="_Toc35425085"/>
      <w:bookmarkStart w:id="460" w:name="_Toc144974530"/>
      <w:r>
        <w:rPr>
          <w:rFonts w:hint="eastAsia" w:ascii="宋体" w:hAnsi="宋体" w:eastAsia="宋体" w:cs="宋体"/>
          <w:sz w:val="24"/>
          <w:szCs w:val="24"/>
          <w:highlight w:val="none"/>
        </w:rPr>
        <w:t>6. 评标</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254A48BC">
      <w:pPr>
        <w:pStyle w:val="7"/>
        <w:ind w:firstLine="422" w:firstLineChars="200"/>
        <w:rPr>
          <w:rFonts w:ascii="宋体" w:hAnsi="宋体" w:eastAsia="宋体" w:cs="宋体"/>
          <w:highlight w:val="none"/>
        </w:rPr>
      </w:pPr>
      <w:bookmarkStart w:id="461" w:name="_Toc324404847"/>
      <w:bookmarkStart w:id="462" w:name="_Toc152045563"/>
      <w:bookmarkStart w:id="463" w:name="_Toc152042339"/>
      <w:bookmarkStart w:id="464" w:name="_Toc35425086"/>
      <w:bookmarkStart w:id="465" w:name="_Toc247085721"/>
      <w:bookmarkStart w:id="466" w:name="_Toc296602452"/>
      <w:bookmarkStart w:id="467" w:name="_Toc14249"/>
      <w:bookmarkStart w:id="468" w:name="_Toc15058885"/>
      <w:bookmarkStart w:id="469" w:name="_Toc35424920"/>
      <w:bookmarkStart w:id="470" w:name="_Toc506107300"/>
      <w:bookmarkStart w:id="471" w:name="_Toc144974531"/>
      <w:bookmarkStart w:id="472" w:name="_Toc246996950"/>
      <w:bookmarkStart w:id="473" w:name="_Toc179632581"/>
      <w:bookmarkStart w:id="474" w:name="_Toc246996207"/>
      <w:bookmarkStart w:id="475" w:name="_Toc78803353"/>
      <w:r>
        <w:rPr>
          <w:rFonts w:hint="eastAsia" w:ascii="宋体" w:hAnsi="宋体" w:eastAsia="宋体" w:cs="宋体"/>
          <w:highlight w:val="none"/>
        </w:rPr>
        <w:t>6.1 评标委员会</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p>
    <w:p w14:paraId="1DC3015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6.1.1 评标由招标人依法组建的评标委员会负责。评标委员会由招标人或其委托的招标代理机构熟悉相关业务的代表，以及有关技术、经济等方面的专家组成。</w:t>
      </w:r>
    </w:p>
    <w:p w14:paraId="0131264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6.1.2 评标委员会成员有下列情形之一的，应当回避：</w:t>
      </w:r>
    </w:p>
    <w:p w14:paraId="14BD45A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（1）投标人或投标人主要负责人的近亲属；</w:t>
      </w:r>
    </w:p>
    <w:p w14:paraId="21C8566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（2）项目主管部门或者行政监督部门的人员；</w:t>
      </w:r>
    </w:p>
    <w:p w14:paraId="55583AC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（3）与投标人有经济利益关系；</w:t>
      </w:r>
    </w:p>
    <w:p w14:paraId="6916E82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（4）曾因在招标、评标以及其他与招标投标有关活动中从事违法行为而受过行政处罚或刑事处罚的；</w:t>
      </w:r>
    </w:p>
    <w:p w14:paraId="7992C28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（5）与投标人有其他利害关系。</w:t>
      </w:r>
    </w:p>
    <w:p w14:paraId="5649380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6.1.3评标过程中，评标委员会成员有回避事由、擅离职守或因健康等原因不能继续评标的， 招标人有权更换。被更换的评标委员会成员作出的评审结论无效，由更换后的评标委员会成员重新进行评审。</w:t>
      </w:r>
    </w:p>
    <w:p w14:paraId="5255808E">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bCs/>
          <w:highlight w:val="none"/>
          <w:lang w:val="en-US"/>
        </w:rPr>
      </w:pPr>
      <w:r>
        <w:rPr>
          <w:rFonts w:hint="eastAsia" w:ascii="宋体" w:hAnsi="宋体" w:cs="宋体"/>
          <w:szCs w:val="21"/>
          <w:highlight w:val="none"/>
        </w:rPr>
        <w:t>6.1.</w:t>
      </w:r>
      <w:r>
        <w:rPr>
          <w:rFonts w:hint="eastAsia" w:ascii="宋体" w:hAnsi="宋体" w:eastAsia="宋体" w:cs="宋体"/>
          <w:bCs/>
          <w:color w:val="000000"/>
          <w:kern w:val="0"/>
          <w:sz w:val="21"/>
          <w:szCs w:val="21"/>
          <w:highlight w:val="none"/>
          <w:u w:color="000000"/>
          <w:lang w:val="en-US" w:eastAsia="zh-CN" w:bidi="ar"/>
        </w:rPr>
        <w:t>4</w:t>
      </w:r>
      <w:r>
        <w:rPr>
          <w:rFonts w:hint="eastAsia" w:ascii="宋体" w:hAnsi="宋体" w:eastAsia="宋体" w:cs="宋体"/>
          <w:b/>
          <w:bCs/>
          <w:color w:val="000000"/>
          <w:kern w:val="0"/>
          <w:sz w:val="21"/>
          <w:szCs w:val="21"/>
          <w:highlight w:val="none"/>
          <w:u w:color="000000"/>
          <w:lang w:val="en-US" w:eastAsia="zh-CN" w:bidi="ar"/>
        </w:rPr>
        <w:t>招标人授权评标委员会对投标人资格进行审查。</w:t>
      </w:r>
    </w:p>
    <w:p w14:paraId="00E0A6C5">
      <w:pPr>
        <w:pStyle w:val="7"/>
        <w:ind w:firstLine="422" w:firstLineChars="200"/>
        <w:rPr>
          <w:rFonts w:ascii="宋体" w:hAnsi="宋体" w:eastAsia="宋体" w:cs="宋体"/>
          <w:highlight w:val="none"/>
        </w:rPr>
      </w:pPr>
      <w:bookmarkStart w:id="476" w:name="_Toc324404848"/>
      <w:bookmarkStart w:id="477" w:name="_Toc152045564"/>
      <w:bookmarkStart w:id="478" w:name="_Toc15058886"/>
      <w:bookmarkStart w:id="479" w:name="_Toc179632582"/>
      <w:bookmarkStart w:id="480" w:name="_Toc246996208"/>
      <w:bookmarkStart w:id="481" w:name="_Toc12948"/>
      <w:bookmarkStart w:id="482" w:name="_Toc246996951"/>
      <w:bookmarkStart w:id="483" w:name="_Toc78803354"/>
      <w:bookmarkStart w:id="484" w:name="_Toc247085722"/>
      <w:bookmarkStart w:id="485" w:name="_Toc506107301"/>
      <w:bookmarkStart w:id="486" w:name="_Toc296602453"/>
      <w:bookmarkStart w:id="487" w:name="_Toc35424921"/>
      <w:bookmarkStart w:id="488" w:name="_Toc152042340"/>
      <w:bookmarkStart w:id="489" w:name="_Toc35425087"/>
      <w:bookmarkStart w:id="490" w:name="_Toc144974532"/>
      <w:r>
        <w:rPr>
          <w:rFonts w:hint="eastAsia" w:ascii="宋体" w:hAnsi="宋体" w:eastAsia="宋体" w:cs="宋体"/>
          <w:highlight w:val="none"/>
        </w:rPr>
        <w:t>6.2 评标原则</w:t>
      </w:r>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353EEF2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评标活动遵循公平、公正、科学和择优的原则。</w:t>
      </w:r>
    </w:p>
    <w:p w14:paraId="0E362D0E">
      <w:pPr>
        <w:pStyle w:val="7"/>
        <w:ind w:firstLine="422" w:firstLineChars="200"/>
        <w:rPr>
          <w:rFonts w:ascii="宋体" w:hAnsi="宋体" w:eastAsia="宋体" w:cs="宋体"/>
          <w:highlight w:val="none"/>
        </w:rPr>
      </w:pPr>
      <w:bookmarkStart w:id="491" w:name="_Toc14892"/>
      <w:bookmarkStart w:id="492" w:name="_Toc246996952"/>
      <w:bookmarkStart w:id="493" w:name="_Toc152045565"/>
      <w:bookmarkStart w:id="494" w:name="_Toc15058887"/>
      <w:bookmarkStart w:id="495" w:name="_Toc78803355"/>
      <w:bookmarkStart w:id="496" w:name="_Toc506107302"/>
      <w:bookmarkStart w:id="497" w:name="_Toc152042341"/>
      <w:bookmarkStart w:id="498" w:name="_Toc35424922"/>
      <w:bookmarkStart w:id="499" w:name="_Toc296602454"/>
      <w:bookmarkStart w:id="500" w:name="_Toc324404849"/>
      <w:bookmarkStart w:id="501" w:name="_Toc246996209"/>
      <w:bookmarkStart w:id="502" w:name="_Toc35425088"/>
      <w:bookmarkStart w:id="503" w:name="_Toc247085723"/>
      <w:bookmarkStart w:id="504" w:name="_Toc179632583"/>
      <w:bookmarkStart w:id="505" w:name="_Toc144974533"/>
      <w:r>
        <w:rPr>
          <w:rFonts w:hint="eastAsia" w:ascii="宋体" w:hAnsi="宋体" w:eastAsia="宋体" w:cs="宋体"/>
          <w:highlight w:val="none"/>
        </w:rPr>
        <w:t>6.3 评标</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14:paraId="1CAF294B">
      <w:pPr>
        <w:spacing w:line="440" w:lineRule="exact"/>
        <w:ind w:firstLine="420" w:firstLineChars="200"/>
        <w:jc w:val="left"/>
        <w:rPr>
          <w:rFonts w:ascii="宋体" w:hAnsi="宋体" w:cs="宋体"/>
          <w:szCs w:val="21"/>
          <w:highlight w:val="none"/>
        </w:rPr>
      </w:pPr>
      <w:bookmarkStart w:id="506" w:name="_Toc246996953"/>
      <w:bookmarkStart w:id="507" w:name="_Toc246996210"/>
      <w:bookmarkStart w:id="508" w:name="_Toc152042342"/>
      <w:bookmarkStart w:id="509" w:name="_Toc144974534"/>
      <w:bookmarkStart w:id="510" w:name="_Toc179632584"/>
      <w:bookmarkStart w:id="511" w:name="_Toc152045566"/>
      <w:bookmarkStart w:id="512" w:name="_Toc247085724"/>
      <w:bookmarkStart w:id="513" w:name="_Toc324404850"/>
      <w:r>
        <w:rPr>
          <w:rFonts w:hint="eastAsia" w:ascii="宋体" w:hAnsi="宋体" w:cs="宋体"/>
          <w:szCs w:val="21"/>
          <w:highlight w:val="none"/>
        </w:rPr>
        <w:t>6.3.1评标委员会按照第三章“评标办法”规定的方法、评审因素、标准和程序对投标文件进行评审。第三章“评标办法”没有规定的方法、评审因素和标准，不作为评标依据。</w:t>
      </w:r>
    </w:p>
    <w:p w14:paraId="168B237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6.3.2评标完成后，评标委员会应向招标人提交书面评标报告和中标候选人名单。评标委员会推荐中标候选人的人数见投标人须知前附表。</w:t>
      </w:r>
    </w:p>
    <w:p w14:paraId="65D71922">
      <w:pPr>
        <w:pStyle w:val="7"/>
        <w:spacing w:beforeLines="50" w:afterLines="50"/>
        <w:ind w:firstLine="482" w:firstLineChars="200"/>
        <w:rPr>
          <w:rFonts w:ascii="宋体" w:hAnsi="宋体" w:eastAsia="宋体" w:cs="宋体"/>
          <w:sz w:val="24"/>
          <w:szCs w:val="24"/>
          <w:highlight w:val="none"/>
        </w:rPr>
      </w:pPr>
      <w:bookmarkStart w:id="514" w:name="_Toc26182"/>
      <w:bookmarkStart w:id="515" w:name="_Toc35424923"/>
      <w:bookmarkStart w:id="516" w:name="_Toc506107303"/>
      <w:bookmarkStart w:id="517" w:name="_Toc15058888"/>
      <w:bookmarkStart w:id="518" w:name="_Toc35425089"/>
      <w:bookmarkStart w:id="519" w:name="_Toc78803356"/>
      <w:r>
        <w:rPr>
          <w:rFonts w:hint="eastAsia" w:ascii="宋体" w:hAnsi="宋体" w:eastAsia="宋体" w:cs="宋体"/>
          <w:sz w:val="24"/>
          <w:szCs w:val="24"/>
          <w:highlight w:val="none"/>
        </w:rPr>
        <w:t>7. 合同授予</w:t>
      </w:r>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14:paraId="6DF78C83">
      <w:pPr>
        <w:pStyle w:val="7"/>
        <w:ind w:firstLine="422" w:firstLineChars="200"/>
        <w:rPr>
          <w:rFonts w:ascii="宋体" w:hAnsi="宋体" w:eastAsia="宋体" w:cs="宋体"/>
          <w:highlight w:val="none"/>
        </w:rPr>
      </w:pPr>
      <w:bookmarkStart w:id="520" w:name="_Toc3945"/>
      <w:bookmarkStart w:id="521" w:name="_Toc144974535"/>
      <w:bookmarkStart w:id="522" w:name="_Toc179632585"/>
      <w:bookmarkStart w:id="523" w:name="_Toc35425090"/>
      <w:bookmarkStart w:id="524" w:name="_Toc20532"/>
      <w:bookmarkStart w:id="525" w:name="_Toc35424924"/>
      <w:bookmarkStart w:id="526" w:name="_Toc506107304"/>
      <w:bookmarkStart w:id="527" w:name="_Toc152042343"/>
      <w:bookmarkStart w:id="528" w:name="_Toc78803357"/>
      <w:bookmarkStart w:id="529" w:name="_Toc246996954"/>
      <w:bookmarkStart w:id="530" w:name="_Toc296602456"/>
      <w:bookmarkStart w:id="531" w:name="_Toc246996211"/>
      <w:bookmarkStart w:id="532" w:name="_Toc324404851"/>
      <w:bookmarkStart w:id="533" w:name="_Toc247085725"/>
      <w:bookmarkStart w:id="534" w:name="_Toc152045567"/>
      <w:bookmarkStart w:id="535" w:name="_Toc15058889"/>
      <w:bookmarkStart w:id="536" w:name="_Toc246996955"/>
      <w:bookmarkStart w:id="537" w:name="_Toc152042344"/>
      <w:bookmarkStart w:id="538" w:name="_Toc296602458"/>
      <w:bookmarkStart w:id="539" w:name="_Toc247085726"/>
      <w:bookmarkStart w:id="540" w:name="_Toc506107306"/>
      <w:bookmarkStart w:id="541" w:name="_Toc152045568"/>
      <w:bookmarkStart w:id="542" w:name="_Toc14692"/>
      <w:bookmarkStart w:id="543" w:name="_Toc179632586"/>
      <w:bookmarkStart w:id="544" w:name="_Toc246996212"/>
      <w:bookmarkStart w:id="545" w:name="_Toc35424927"/>
      <w:bookmarkStart w:id="546" w:name="_Toc35425093"/>
      <w:bookmarkStart w:id="547" w:name="_Toc324404853"/>
      <w:bookmarkStart w:id="548" w:name="_Toc15058891"/>
      <w:bookmarkStart w:id="549" w:name="_Toc144974536"/>
      <w:r>
        <w:rPr>
          <w:rFonts w:hint="eastAsia" w:ascii="宋体" w:hAnsi="宋体" w:eastAsia="宋体" w:cs="宋体"/>
          <w:highlight w:val="none"/>
        </w:rPr>
        <w:t xml:space="preserve">7.1 </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r>
        <w:rPr>
          <w:rFonts w:hint="eastAsia" w:ascii="宋体" w:hAnsi="宋体" w:eastAsia="宋体" w:cs="宋体"/>
          <w:highlight w:val="none"/>
        </w:rPr>
        <w:t>中标候选人公示</w:t>
      </w:r>
    </w:p>
    <w:p w14:paraId="1DE82294">
      <w:pPr>
        <w:spacing w:line="440" w:lineRule="exact"/>
        <w:ind w:firstLine="420" w:firstLineChars="200"/>
        <w:jc w:val="left"/>
        <w:rPr>
          <w:rFonts w:ascii="宋体" w:hAnsi="宋体" w:cs="宋体"/>
          <w:szCs w:val="21"/>
          <w:highlight w:val="none"/>
        </w:rPr>
      </w:pPr>
      <w:bookmarkStart w:id="550" w:name="_Toc324404852"/>
      <w:bookmarkStart w:id="551" w:name="_Toc296602457"/>
      <w:r>
        <w:rPr>
          <w:rFonts w:hint="eastAsia" w:ascii="宋体" w:hAnsi="宋体" w:cs="宋体"/>
          <w:szCs w:val="21"/>
          <w:highlight w:val="none"/>
        </w:rPr>
        <w:t>7.1.1招标人在收到评标报告之日起3日内，按照投标人须知前附表规定的公示媒介和期限依法公示中标候选人，公示期不得少于3日。</w:t>
      </w:r>
    </w:p>
    <w:p w14:paraId="5586989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7.1.2投标人或其他利害关系人对评标结果有异议的，应在中标候选人公示期间提出。招标人将在收到异议之日起3日内作出答复；作出答复前，将暂停招标投标活动。</w:t>
      </w:r>
    </w:p>
    <w:bookmarkEnd w:id="550"/>
    <w:bookmarkEnd w:id="551"/>
    <w:p w14:paraId="6358A156">
      <w:pPr>
        <w:pStyle w:val="7"/>
        <w:ind w:firstLine="422" w:firstLineChars="200"/>
        <w:rPr>
          <w:rFonts w:ascii="宋体" w:hAnsi="宋体" w:eastAsia="宋体" w:cs="宋体"/>
          <w:highlight w:val="none"/>
        </w:rPr>
      </w:pPr>
      <w:bookmarkStart w:id="552" w:name="_Toc78803359"/>
      <w:bookmarkStart w:id="553" w:name="_Toc35424926"/>
      <w:bookmarkStart w:id="554" w:name="_Toc35425092"/>
      <w:bookmarkStart w:id="555" w:name="_Toc8261"/>
      <w:bookmarkStart w:id="556" w:name="_Toc27040"/>
      <w:r>
        <w:rPr>
          <w:rFonts w:hint="eastAsia" w:ascii="宋体" w:hAnsi="宋体" w:eastAsia="宋体" w:cs="宋体"/>
          <w:highlight w:val="none"/>
        </w:rPr>
        <w:t>7.</w:t>
      </w:r>
      <w:r>
        <w:rPr>
          <w:rFonts w:hint="eastAsia" w:ascii="宋体" w:hAnsi="宋体" w:eastAsia="宋体" w:cs="宋体"/>
          <w:highlight w:val="none"/>
          <w:lang w:val="en-US" w:eastAsia="zh-CN"/>
        </w:rPr>
        <w:t>2</w:t>
      </w:r>
      <w:r>
        <w:rPr>
          <w:rFonts w:hint="eastAsia" w:ascii="宋体" w:hAnsi="宋体" w:eastAsia="宋体" w:cs="宋体"/>
          <w:highlight w:val="none"/>
        </w:rPr>
        <w:t xml:space="preserve"> </w:t>
      </w:r>
      <w:bookmarkEnd w:id="552"/>
      <w:bookmarkEnd w:id="553"/>
      <w:bookmarkEnd w:id="554"/>
      <w:bookmarkEnd w:id="555"/>
      <w:bookmarkEnd w:id="556"/>
      <w:r>
        <w:rPr>
          <w:rFonts w:hint="eastAsia" w:ascii="宋体" w:hAnsi="宋体" w:eastAsia="宋体" w:cs="宋体"/>
          <w:highlight w:val="none"/>
        </w:rPr>
        <w:t>定标</w:t>
      </w:r>
    </w:p>
    <w:p w14:paraId="15F488C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w:t>
      </w:r>
      <w:r>
        <w:rPr>
          <w:rFonts w:hint="eastAsia" w:ascii="宋体" w:hAnsi="宋体" w:cs="宋体"/>
          <w:szCs w:val="21"/>
          <w:highlight w:val="none"/>
          <w:lang w:val="en-US" w:eastAsia="zh-CN"/>
        </w:rPr>
        <w:t>2</w:t>
      </w:r>
      <w:r>
        <w:rPr>
          <w:rFonts w:hint="eastAsia" w:ascii="宋体" w:hAnsi="宋体" w:cs="宋体"/>
          <w:szCs w:val="21"/>
          <w:highlight w:val="none"/>
        </w:rPr>
        <w:t>.1依法必须进行招标的项目，招标人应当确定排名第一的中标候选人为中标人。第一中标候选人放弃中标、因不可抗力提出不能履行合同，不按招标文件要求提交履约保证金，或者被查实存在影响中标结果的违法行为等情形，不符合中标条件的，投标保证金不予退还，招标人可以按照评标委员会提出的中标候选人名单排序依次确定其他中标候选人为中标人，也可以依法重新组织招标。</w:t>
      </w:r>
    </w:p>
    <w:p w14:paraId="7D9F36B1">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w:t>
      </w:r>
      <w:r>
        <w:rPr>
          <w:rFonts w:hint="eastAsia" w:ascii="宋体" w:hAnsi="宋体" w:cs="宋体"/>
          <w:szCs w:val="21"/>
          <w:highlight w:val="none"/>
          <w:lang w:val="en-US" w:eastAsia="zh-CN"/>
        </w:rPr>
        <w:t>2</w:t>
      </w:r>
      <w:r>
        <w:rPr>
          <w:rFonts w:hint="eastAsia" w:ascii="宋体" w:hAnsi="宋体" w:cs="宋体"/>
          <w:szCs w:val="21"/>
          <w:highlight w:val="none"/>
        </w:rPr>
        <w:t>.2招标人在确定中标人后，按照投标人须知前附表规定的公示媒介依法公示中标结果。</w:t>
      </w:r>
    </w:p>
    <w:p w14:paraId="11D07776">
      <w:pPr>
        <w:pStyle w:val="7"/>
        <w:ind w:firstLine="422" w:firstLineChars="200"/>
        <w:rPr>
          <w:rFonts w:hint="eastAsia" w:ascii="宋体" w:hAnsi="宋体" w:eastAsia="宋体" w:cs="宋体"/>
          <w:highlight w:val="none"/>
        </w:rPr>
      </w:pPr>
      <w:bookmarkStart w:id="557" w:name="_Toc4204"/>
      <w:bookmarkStart w:id="558" w:name="_Toc78803360"/>
      <w:r>
        <w:rPr>
          <w:rFonts w:hint="eastAsia" w:ascii="宋体" w:hAnsi="宋体" w:eastAsia="宋体" w:cs="宋体"/>
          <w:highlight w:val="none"/>
        </w:rPr>
        <w:t>7.</w:t>
      </w:r>
      <w:r>
        <w:rPr>
          <w:rFonts w:hint="eastAsia" w:ascii="宋体" w:hAnsi="宋体" w:eastAsia="宋体" w:cs="宋体"/>
          <w:highlight w:val="none"/>
          <w:lang w:val="en-US" w:eastAsia="zh-CN"/>
        </w:rPr>
        <w:t>3</w:t>
      </w:r>
      <w:r>
        <w:rPr>
          <w:rFonts w:hint="eastAsia" w:ascii="宋体" w:hAnsi="宋体" w:eastAsia="宋体" w:cs="宋体"/>
          <w:highlight w:val="none"/>
        </w:rPr>
        <w:t xml:space="preserve"> 中标结果公示</w:t>
      </w:r>
      <w:bookmarkEnd w:id="557"/>
    </w:p>
    <w:p w14:paraId="6AA542A5">
      <w:pPr>
        <w:spacing w:line="440" w:lineRule="exact"/>
        <w:ind w:firstLine="420" w:firstLineChars="200"/>
        <w:jc w:val="left"/>
        <w:rPr>
          <w:rFonts w:hint="eastAsia" w:ascii="宋体" w:hAnsi="宋体" w:eastAsia="宋体" w:cs="宋体"/>
          <w:highlight w:val="none"/>
        </w:rPr>
      </w:pPr>
      <w:r>
        <w:rPr>
          <w:rFonts w:hint="eastAsia" w:ascii="宋体" w:hAnsi="宋体" w:cs="宋体"/>
          <w:szCs w:val="21"/>
          <w:lang w:val="en-US" w:eastAsia="zh-CN"/>
        </w:rPr>
        <w:t>7.3.1</w:t>
      </w:r>
      <w:r>
        <w:rPr>
          <w:rFonts w:hint="eastAsia" w:ascii="宋体" w:hAnsi="宋体" w:cs="宋体"/>
          <w:szCs w:val="21"/>
        </w:rPr>
        <w:t>招标人在投标人须知前附表规定的媒介公示。</w:t>
      </w:r>
    </w:p>
    <w:p w14:paraId="34935DEC">
      <w:pPr>
        <w:pStyle w:val="7"/>
        <w:ind w:firstLine="422" w:firstLineChars="200"/>
        <w:rPr>
          <w:rFonts w:ascii="宋体" w:hAnsi="宋体" w:eastAsia="宋体" w:cs="宋体"/>
          <w:highlight w:val="none"/>
        </w:rPr>
      </w:pPr>
      <w:r>
        <w:rPr>
          <w:rFonts w:hint="eastAsia" w:ascii="宋体" w:hAnsi="宋体" w:eastAsia="宋体" w:cs="宋体"/>
          <w:highlight w:val="none"/>
        </w:rPr>
        <w:t>7.</w:t>
      </w:r>
      <w:r>
        <w:rPr>
          <w:rFonts w:hint="eastAsia" w:ascii="宋体" w:hAnsi="宋体" w:eastAsia="宋体" w:cs="宋体"/>
          <w:highlight w:val="none"/>
          <w:lang w:val="en-US" w:eastAsia="zh-CN"/>
        </w:rPr>
        <w:t>4</w:t>
      </w:r>
      <w:r>
        <w:rPr>
          <w:rFonts w:hint="eastAsia" w:ascii="宋体" w:hAnsi="宋体" w:eastAsia="宋体" w:cs="宋体"/>
          <w:highlight w:val="none"/>
        </w:rPr>
        <w:t xml:space="preserve"> 中标通知</w:t>
      </w:r>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8"/>
    </w:p>
    <w:p w14:paraId="15A96F4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7.4.1</w:t>
      </w:r>
      <w:r>
        <w:rPr>
          <w:rFonts w:hint="eastAsia" w:ascii="宋体" w:hAnsi="宋体" w:cs="宋体"/>
          <w:szCs w:val="21"/>
          <w:highlight w:val="none"/>
        </w:rPr>
        <w:t>在本章第3.3款规定的投标有效期内，招标人</w:t>
      </w:r>
      <w:r>
        <w:rPr>
          <w:rFonts w:hint="eastAsia" w:ascii="宋体" w:hAnsi="宋体" w:cs="宋体"/>
          <w:szCs w:val="21"/>
        </w:rPr>
        <w:t>以书面形式</w:t>
      </w:r>
      <w:r>
        <w:rPr>
          <w:rFonts w:hint="eastAsia" w:ascii="宋体" w:hAnsi="宋体" w:cs="宋体"/>
          <w:szCs w:val="21"/>
          <w:highlight w:val="none"/>
        </w:rPr>
        <w:t>向中标人发出中标通知书。</w:t>
      </w:r>
    </w:p>
    <w:p w14:paraId="3A5C02F0">
      <w:pPr>
        <w:pStyle w:val="7"/>
        <w:ind w:firstLine="422" w:firstLineChars="200"/>
        <w:rPr>
          <w:rFonts w:ascii="宋体" w:hAnsi="宋体" w:eastAsia="宋体" w:cs="宋体"/>
          <w:highlight w:val="none"/>
        </w:rPr>
      </w:pPr>
      <w:bookmarkStart w:id="559" w:name="_Toc246996956"/>
      <w:bookmarkStart w:id="560" w:name="_Toc25501"/>
      <w:bookmarkStart w:id="561" w:name="_Toc246996213"/>
      <w:bookmarkStart w:id="562" w:name="_Toc15058892"/>
      <w:bookmarkStart w:id="563" w:name="_Toc324404854"/>
      <w:bookmarkStart w:id="564" w:name="_Toc506107307"/>
      <w:bookmarkStart w:id="565" w:name="_Toc152045569"/>
      <w:bookmarkStart w:id="566" w:name="_Toc78803362"/>
      <w:bookmarkStart w:id="567" w:name="_Toc35425095"/>
      <w:bookmarkStart w:id="568" w:name="_Toc247085727"/>
      <w:bookmarkStart w:id="569" w:name="_Toc35424929"/>
      <w:bookmarkStart w:id="570" w:name="_Toc179632587"/>
      <w:bookmarkStart w:id="571" w:name="_Toc152042345"/>
      <w:bookmarkStart w:id="572" w:name="_Toc144974537"/>
      <w:bookmarkStart w:id="573" w:name="_Toc296602459"/>
      <w:r>
        <w:rPr>
          <w:rFonts w:hint="eastAsia" w:ascii="宋体" w:hAnsi="宋体" w:eastAsia="宋体" w:cs="宋体"/>
          <w:highlight w:val="none"/>
        </w:rPr>
        <w:t>7.</w:t>
      </w:r>
      <w:r>
        <w:rPr>
          <w:rFonts w:hint="eastAsia" w:ascii="宋体" w:hAnsi="宋体" w:eastAsia="宋体" w:cs="宋体"/>
          <w:highlight w:val="none"/>
          <w:lang w:val="en-US" w:eastAsia="zh-CN"/>
        </w:rPr>
        <w:t>5</w:t>
      </w:r>
      <w:r>
        <w:rPr>
          <w:rFonts w:hint="eastAsia" w:ascii="宋体" w:hAnsi="宋体" w:eastAsia="宋体" w:cs="宋体"/>
          <w:highlight w:val="none"/>
        </w:rPr>
        <w:t xml:space="preserve"> 履约担保</w:t>
      </w:r>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 w14:paraId="5BC3BC7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w:t>
      </w:r>
      <w:r>
        <w:rPr>
          <w:rFonts w:hint="eastAsia" w:ascii="宋体" w:hAnsi="宋体" w:cs="宋体"/>
          <w:szCs w:val="21"/>
          <w:highlight w:val="none"/>
          <w:lang w:val="en-US" w:eastAsia="zh-CN"/>
        </w:rPr>
        <w:t>5</w:t>
      </w:r>
      <w:r>
        <w:rPr>
          <w:rFonts w:hint="eastAsia" w:ascii="宋体" w:hAnsi="宋体" w:cs="宋体"/>
          <w:szCs w:val="21"/>
          <w:highlight w:val="none"/>
        </w:rPr>
        <w:t>.1在签订合同前，中标人应按投标人须知前附表规定的担保形式和招标文件第四章“合同条款及格式”规定的或者事先经过招标人书面认可的履约担保格式向招标人提交履约担保。履约担保金额的相关要求见投标人须知前附表。</w:t>
      </w:r>
    </w:p>
    <w:p w14:paraId="4FC1F60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w:t>
      </w:r>
      <w:r>
        <w:rPr>
          <w:rFonts w:hint="eastAsia" w:ascii="宋体" w:hAnsi="宋体" w:cs="宋体"/>
          <w:szCs w:val="21"/>
          <w:highlight w:val="none"/>
          <w:lang w:val="en-US" w:eastAsia="zh-CN"/>
        </w:rPr>
        <w:t>5</w:t>
      </w:r>
      <w:r>
        <w:rPr>
          <w:rFonts w:hint="eastAsia" w:ascii="宋体" w:hAnsi="宋体" w:cs="宋体"/>
          <w:szCs w:val="21"/>
          <w:highlight w:val="none"/>
        </w:rPr>
        <w:t>.2 中标人不能按本章第7.6.1项要求提交履约担保的，视为放弃中标，给招标人造成的损失的，中标人还应当予以赔偿。</w:t>
      </w:r>
    </w:p>
    <w:p w14:paraId="1320C126">
      <w:pPr>
        <w:pStyle w:val="7"/>
        <w:ind w:firstLine="422" w:firstLineChars="200"/>
        <w:rPr>
          <w:rFonts w:ascii="宋体" w:hAnsi="宋体" w:eastAsia="宋体" w:cs="宋体"/>
          <w:highlight w:val="none"/>
        </w:rPr>
      </w:pPr>
      <w:bookmarkStart w:id="574" w:name="_Toc11010"/>
      <w:bookmarkStart w:id="575" w:name="_Toc15058893"/>
      <w:bookmarkStart w:id="576" w:name="_Toc152042346"/>
      <w:bookmarkStart w:id="577" w:name="_Toc324404855"/>
      <w:bookmarkStart w:id="578" w:name="_Toc246996957"/>
      <w:bookmarkStart w:id="579" w:name="_Toc506107308"/>
      <w:bookmarkStart w:id="580" w:name="_Toc246996214"/>
      <w:bookmarkStart w:id="581" w:name="_Toc296602460"/>
      <w:bookmarkStart w:id="582" w:name="_Toc35425096"/>
      <w:bookmarkStart w:id="583" w:name="_Toc152045570"/>
      <w:bookmarkStart w:id="584" w:name="_Toc35424930"/>
      <w:bookmarkStart w:id="585" w:name="_Toc247085728"/>
      <w:bookmarkStart w:id="586" w:name="_Toc179632588"/>
      <w:bookmarkStart w:id="587" w:name="_Toc144974538"/>
      <w:bookmarkStart w:id="588" w:name="_Toc78803363"/>
      <w:r>
        <w:rPr>
          <w:rFonts w:hint="eastAsia" w:ascii="宋体" w:hAnsi="宋体" w:eastAsia="宋体" w:cs="宋体"/>
          <w:highlight w:val="none"/>
        </w:rPr>
        <w:t>7.</w:t>
      </w:r>
      <w:r>
        <w:rPr>
          <w:rFonts w:hint="eastAsia" w:ascii="宋体" w:hAnsi="宋体" w:eastAsia="宋体" w:cs="宋体"/>
          <w:highlight w:val="none"/>
          <w:lang w:val="en-US" w:eastAsia="zh-CN"/>
        </w:rPr>
        <w:t>6</w:t>
      </w:r>
      <w:r>
        <w:rPr>
          <w:rFonts w:hint="eastAsia" w:ascii="宋体" w:hAnsi="宋体" w:eastAsia="宋体" w:cs="宋体"/>
          <w:highlight w:val="none"/>
        </w:rPr>
        <w:t xml:space="preserve"> 签订合同</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p>
    <w:p w14:paraId="21C3B28D">
      <w:pPr>
        <w:wordWrap w:val="0"/>
        <w:spacing w:line="440" w:lineRule="exact"/>
        <w:ind w:firstLine="420" w:firstLineChars="200"/>
        <w:jc w:val="left"/>
        <w:rPr>
          <w:rFonts w:ascii="宋体" w:hAnsi="宋体" w:cs="宋体"/>
          <w:bCs/>
          <w:szCs w:val="21"/>
          <w:highlight w:val="none"/>
        </w:rPr>
      </w:pPr>
      <w:bookmarkStart w:id="589" w:name="_Toc324404856"/>
      <w:bookmarkStart w:id="590" w:name="_Toc15058894"/>
      <w:bookmarkStart w:id="591" w:name="_Toc506107309"/>
      <w:r>
        <w:rPr>
          <w:rFonts w:hint="eastAsia" w:ascii="宋体" w:hAnsi="宋体" w:cs="宋体"/>
          <w:bCs/>
          <w:szCs w:val="21"/>
          <w:highlight w:val="none"/>
        </w:rPr>
        <w:t>7.</w:t>
      </w:r>
      <w:r>
        <w:rPr>
          <w:rFonts w:hint="eastAsia" w:ascii="宋体" w:hAnsi="宋体" w:cs="宋体"/>
          <w:bCs/>
          <w:szCs w:val="21"/>
          <w:highlight w:val="none"/>
          <w:lang w:val="en-US" w:eastAsia="zh-CN"/>
        </w:rPr>
        <w:t>6</w:t>
      </w:r>
      <w:r>
        <w:rPr>
          <w:rFonts w:hint="eastAsia" w:ascii="宋体" w:hAnsi="宋体" w:cs="宋体"/>
          <w:bCs/>
          <w:szCs w:val="21"/>
          <w:highlight w:val="none"/>
        </w:rPr>
        <w:t xml:space="preserve">.1本招标工程的施工合同将授予按本须知第7.1条规定所确定的中标人。 </w:t>
      </w:r>
    </w:p>
    <w:p w14:paraId="4F2F44A1">
      <w:pPr>
        <w:wordWrap w:val="0"/>
        <w:spacing w:line="440" w:lineRule="atLeast"/>
        <w:ind w:firstLine="420" w:firstLineChars="200"/>
        <w:rPr>
          <w:rFonts w:hint="eastAsia" w:ascii="宋体" w:hAnsi="宋体" w:cs="宋体"/>
          <w:bCs/>
          <w:szCs w:val="21"/>
        </w:rPr>
      </w:pPr>
      <w:r>
        <w:rPr>
          <w:rFonts w:hint="eastAsia" w:ascii="宋体" w:hAnsi="宋体" w:cs="宋体"/>
          <w:bCs/>
          <w:szCs w:val="21"/>
        </w:rPr>
        <w:t>7.</w:t>
      </w:r>
      <w:r>
        <w:rPr>
          <w:rFonts w:hint="eastAsia" w:ascii="宋体" w:hAnsi="宋体" w:cs="宋体"/>
          <w:bCs/>
          <w:szCs w:val="21"/>
          <w:lang w:val="en-US" w:eastAsia="zh-CN"/>
        </w:rPr>
        <w:t>6</w:t>
      </w:r>
      <w:r>
        <w:rPr>
          <w:rFonts w:hint="eastAsia" w:ascii="宋体" w:hAnsi="宋体" w:cs="宋体"/>
          <w:bCs/>
          <w:szCs w:val="21"/>
        </w:rPr>
        <w:t>.2中标人须在中标通知书发出后30日内完成履约保证金缴纳及合同签订。否则，取消中标资格。</w:t>
      </w:r>
    </w:p>
    <w:p w14:paraId="6C972B3E">
      <w:pPr>
        <w:wordWrap w:val="0"/>
        <w:spacing w:line="440" w:lineRule="atLeast"/>
        <w:ind w:firstLine="420" w:firstLineChars="200"/>
        <w:rPr>
          <w:rFonts w:hint="eastAsia" w:ascii="宋体" w:hAnsi="宋体" w:cs="宋体"/>
          <w:bCs/>
          <w:szCs w:val="21"/>
        </w:rPr>
      </w:pPr>
      <w:r>
        <w:rPr>
          <w:rFonts w:hint="eastAsia" w:ascii="宋体" w:hAnsi="宋体" w:cs="宋体"/>
          <w:bCs/>
          <w:szCs w:val="21"/>
        </w:rPr>
        <w:t>7.</w:t>
      </w:r>
      <w:r>
        <w:rPr>
          <w:rFonts w:hint="eastAsia" w:ascii="宋体" w:hAnsi="宋体" w:cs="宋体"/>
          <w:bCs/>
          <w:szCs w:val="21"/>
          <w:lang w:val="en-US" w:eastAsia="zh-CN"/>
        </w:rPr>
        <w:t>6</w:t>
      </w:r>
      <w:r>
        <w:rPr>
          <w:rFonts w:hint="eastAsia" w:ascii="宋体" w:hAnsi="宋体" w:cs="宋体"/>
          <w:bCs/>
          <w:szCs w:val="21"/>
        </w:rPr>
        <w:t>.3发出中标通知书后，招标单位无正当理由拒签合同的，给中标人造成损失的，还应当赔偿损失。</w:t>
      </w:r>
    </w:p>
    <w:p w14:paraId="4A433E83">
      <w:pPr>
        <w:wordWrap w:val="0"/>
        <w:spacing w:line="440" w:lineRule="exact"/>
        <w:ind w:firstLine="420" w:firstLineChars="200"/>
        <w:jc w:val="left"/>
        <w:rPr>
          <w:rFonts w:hint="eastAsia" w:ascii="宋体" w:hAnsi="宋体" w:cs="宋体"/>
          <w:bCs/>
          <w:szCs w:val="21"/>
          <w:highlight w:val="none"/>
        </w:rPr>
      </w:pPr>
      <w:r>
        <w:rPr>
          <w:rFonts w:hint="eastAsia" w:ascii="宋体" w:hAnsi="宋体" w:cs="宋体"/>
          <w:bCs/>
          <w:szCs w:val="21"/>
          <w:highlight w:val="none"/>
        </w:rPr>
        <w:t>7.</w:t>
      </w:r>
      <w:r>
        <w:rPr>
          <w:rFonts w:hint="eastAsia" w:ascii="宋体" w:hAnsi="宋体" w:cs="宋体"/>
          <w:bCs/>
          <w:szCs w:val="21"/>
          <w:highlight w:val="none"/>
          <w:lang w:val="en-US" w:eastAsia="zh-CN"/>
        </w:rPr>
        <w:t>6</w:t>
      </w:r>
      <w:r>
        <w:rPr>
          <w:rFonts w:hint="eastAsia" w:ascii="宋体" w:hAnsi="宋体" w:cs="宋体"/>
          <w:bCs/>
          <w:szCs w:val="21"/>
          <w:highlight w:val="none"/>
        </w:rPr>
        <w:t>.4除法定情形外，合同履行期间项目负责人不得更换。项目负责人确需变更的，应根据招标文件要求，变更后的项目负责人不低于投标文件中拟派项目负责人的资格条件。</w:t>
      </w:r>
    </w:p>
    <w:bookmarkEnd w:id="589"/>
    <w:bookmarkEnd w:id="590"/>
    <w:bookmarkEnd w:id="591"/>
    <w:p w14:paraId="7814D6B6">
      <w:pPr>
        <w:pStyle w:val="7"/>
        <w:ind w:firstLine="422" w:firstLineChars="200"/>
        <w:rPr>
          <w:rFonts w:hint="eastAsia" w:ascii="宋体" w:hAnsi="宋体" w:eastAsia="宋体" w:cs="宋体"/>
          <w:highlight w:val="none"/>
        </w:rPr>
      </w:pPr>
      <w:bookmarkStart w:id="592" w:name="_Toc78803364"/>
      <w:bookmarkStart w:id="593" w:name="_Toc31686"/>
      <w:bookmarkStart w:id="594" w:name="_Toc25375"/>
      <w:bookmarkStart w:id="595" w:name="_Toc35424931"/>
      <w:bookmarkStart w:id="596" w:name="_Toc26974"/>
      <w:bookmarkStart w:id="597" w:name="_Toc35425097"/>
      <w:bookmarkStart w:id="598" w:name="_Toc324404864"/>
      <w:bookmarkStart w:id="599" w:name="_Toc506107317"/>
      <w:bookmarkStart w:id="600" w:name="_Toc15058902"/>
      <w:bookmarkStart w:id="601" w:name="_Toc35425105"/>
      <w:bookmarkStart w:id="602" w:name="_Toc35424939"/>
      <w:bookmarkStart w:id="603" w:name="_Toc296602475"/>
      <w:r>
        <w:rPr>
          <w:rFonts w:hint="eastAsia" w:ascii="宋体" w:hAnsi="宋体" w:eastAsia="宋体" w:cs="宋体"/>
          <w:highlight w:val="none"/>
        </w:rPr>
        <w:t>8.</w:t>
      </w:r>
      <w:bookmarkEnd w:id="592"/>
      <w:r>
        <w:rPr>
          <w:rFonts w:hint="eastAsia" w:ascii="宋体" w:hAnsi="宋体" w:eastAsia="宋体" w:cs="宋体"/>
          <w:highlight w:val="none"/>
        </w:rPr>
        <w:t>变更交易方式</w:t>
      </w:r>
    </w:p>
    <w:p w14:paraId="07D5E953">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highlight w:val="none"/>
          <w:lang w:val="en-US"/>
        </w:rPr>
      </w:pPr>
      <w:bookmarkStart w:id="604" w:name="_Toc78803367"/>
      <w:r>
        <w:rPr>
          <w:rFonts w:hint="eastAsia" w:ascii="宋体" w:hAnsi="宋体" w:eastAsia="宋体" w:cs="宋体"/>
          <w:color w:val="000000"/>
          <w:kern w:val="0"/>
          <w:sz w:val="21"/>
          <w:szCs w:val="21"/>
          <w:highlight w:val="none"/>
          <w:u w:color="000000"/>
          <w:lang w:val="en-US" w:eastAsia="zh-CN" w:bidi="ar"/>
        </w:rPr>
        <w:t>8.1若有效投标人不足三家，则采用竞争性谈判方式确定中标候选人，若有效投标人只有一家则项目流标。</w:t>
      </w:r>
    </w:p>
    <w:p w14:paraId="013165E5">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9. 纪律和监督</w:t>
      </w:r>
      <w:bookmarkEnd w:id="593"/>
      <w:bookmarkEnd w:id="594"/>
      <w:bookmarkEnd w:id="595"/>
      <w:bookmarkEnd w:id="596"/>
      <w:bookmarkEnd w:id="597"/>
      <w:bookmarkEnd w:id="604"/>
    </w:p>
    <w:p w14:paraId="0A07C07B">
      <w:pPr>
        <w:pStyle w:val="7"/>
        <w:ind w:firstLine="422" w:firstLineChars="200"/>
        <w:rPr>
          <w:rFonts w:ascii="宋体" w:hAnsi="宋体" w:eastAsia="宋体" w:cs="宋体"/>
          <w:highlight w:val="none"/>
        </w:rPr>
      </w:pPr>
      <w:bookmarkStart w:id="605" w:name="_Toc506107310"/>
      <w:bookmarkStart w:id="606" w:name="_Toc152042351"/>
      <w:bookmarkStart w:id="607" w:name="_Toc78803368"/>
      <w:bookmarkStart w:id="608" w:name="_Toc324404857"/>
      <w:bookmarkStart w:id="609" w:name="_Toc15607"/>
      <w:bookmarkStart w:id="610" w:name="_Toc15058895"/>
      <w:bookmarkStart w:id="611" w:name="_Toc35424932"/>
      <w:bookmarkStart w:id="612" w:name="_Toc296590983"/>
      <w:bookmarkStart w:id="613" w:name="_Toc35425098"/>
      <w:bookmarkStart w:id="614" w:name="_Toc247085733"/>
      <w:bookmarkStart w:id="615" w:name="_Toc246996962"/>
      <w:bookmarkStart w:id="616" w:name="_Toc2855"/>
      <w:bookmarkStart w:id="617" w:name="_Toc144974543"/>
      <w:bookmarkStart w:id="618" w:name="_Toc246996219"/>
      <w:bookmarkStart w:id="619" w:name="_Toc296602462"/>
      <w:bookmarkStart w:id="620" w:name="_Toc152045575"/>
      <w:bookmarkStart w:id="621" w:name="_Toc179632593"/>
      <w:r>
        <w:rPr>
          <w:rFonts w:hint="eastAsia" w:ascii="宋体" w:hAnsi="宋体" w:eastAsia="宋体" w:cs="宋体"/>
          <w:highlight w:val="none"/>
        </w:rPr>
        <w:t>9.1 对招标人的纪律要求</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p>
    <w:p w14:paraId="7CFADF1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招标人不得泄漏招标投标活动中应当保密的情况和资料，不得与投标人串通损害国家利益、社会公共利益或者他人合法权益。</w:t>
      </w:r>
    </w:p>
    <w:p w14:paraId="1D1D96F8">
      <w:pPr>
        <w:pStyle w:val="7"/>
        <w:ind w:firstLine="422" w:firstLineChars="200"/>
        <w:rPr>
          <w:rFonts w:ascii="宋体" w:hAnsi="宋体" w:eastAsia="宋体" w:cs="宋体"/>
          <w:highlight w:val="none"/>
        </w:rPr>
      </w:pPr>
      <w:bookmarkStart w:id="622" w:name="_Toc324404858"/>
      <w:bookmarkStart w:id="623" w:name="_Toc179632594"/>
      <w:bookmarkStart w:id="624" w:name="_Toc246996220"/>
      <w:bookmarkStart w:id="625" w:name="_Toc506107311"/>
      <w:bookmarkStart w:id="626" w:name="_Toc35424933"/>
      <w:bookmarkStart w:id="627" w:name="_Toc19779"/>
      <w:bookmarkStart w:id="628" w:name="_Toc78803369"/>
      <w:bookmarkStart w:id="629" w:name="_Toc247085734"/>
      <w:bookmarkStart w:id="630" w:name="_Toc15058896"/>
      <w:bookmarkStart w:id="631" w:name="_Toc35425099"/>
      <w:bookmarkStart w:id="632" w:name="_Toc144974544"/>
      <w:bookmarkStart w:id="633" w:name="_Toc152045576"/>
      <w:bookmarkStart w:id="634" w:name="_Toc246996963"/>
      <w:bookmarkStart w:id="635" w:name="_Toc32177"/>
      <w:bookmarkStart w:id="636" w:name="_Toc296602463"/>
      <w:bookmarkStart w:id="637" w:name="_Toc152042352"/>
      <w:r>
        <w:rPr>
          <w:rFonts w:hint="eastAsia" w:ascii="宋体" w:hAnsi="宋体" w:eastAsia="宋体" w:cs="宋体"/>
          <w:highlight w:val="none"/>
        </w:rPr>
        <w:t>9.2 对投标人的纪律要求</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30C0ACB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7C76555">
      <w:pPr>
        <w:pStyle w:val="7"/>
        <w:ind w:firstLine="422" w:firstLineChars="200"/>
        <w:rPr>
          <w:rFonts w:ascii="宋体" w:hAnsi="宋体" w:eastAsia="宋体" w:cs="宋体"/>
          <w:highlight w:val="none"/>
        </w:rPr>
      </w:pPr>
      <w:bookmarkStart w:id="638" w:name="_Toc246996221"/>
      <w:bookmarkStart w:id="639" w:name="_Toc324404859"/>
      <w:bookmarkStart w:id="640" w:name="_Toc152042353"/>
      <w:bookmarkStart w:id="641" w:name="_Toc506107312"/>
      <w:bookmarkStart w:id="642" w:name="_Toc12564"/>
      <w:bookmarkStart w:id="643" w:name="_Toc35425100"/>
      <w:bookmarkStart w:id="644" w:name="_Toc152045577"/>
      <w:bookmarkStart w:id="645" w:name="_Toc35424934"/>
      <w:bookmarkStart w:id="646" w:name="_Toc78803370"/>
      <w:bookmarkStart w:id="647" w:name="_Toc296602464"/>
      <w:bookmarkStart w:id="648" w:name="_Toc179632595"/>
      <w:bookmarkStart w:id="649" w:name="_Toc13043"/>
      <w:bookmarkStart w:id="650" w:name="_Toc247085735"/>
      <w:bookmarkStart w:id="651" w:name="_Toc144974545"/>
      <w:bookmarkStart w:id="652" w:name="_Toc246996964"/>
      <w:bookmarkStart w:id="653" w:name="_Toc15058897"/>
      <w:r>
        <w:rPr>
          <w:rFonts w:hint="eastAsia" w:ascii="宋体" w:hAnsi="宋体" w:eastAsia="宋体" w:cs="宋体"/>
          <w:highlight w:val="none"/>
        </w:rPr>
        <w:t>9.3 对评标委员会成员的纪律要求</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14:paraId="656F822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485F9BC">
      <w:pPr>
        <w:pStyle w:val="7"/>
        <w:ind w:firstLine="422" w:firstLineChars="200"/>
        <w:rPr>
          <w:rFonts w:ascii="宋体" w:hAnsi="宋体" w:eastAsia="宋体" w:cs="宋体"/>
          <w:highlight w:val="none"/>
        </w:rPr>
      </w:pPr>
      <w:bookmarkStart w:id="654" w:name="_Toc246996222"/>
      <w:bookmarkStart w:id="655" w:name="_Toc324404860"/>
      <w:bookmarkStart w:id="656" w:name="_Toc247085736"/>
      <w:bookmarkStart w:id="657" w:name="_Toc296602465"/>
      <w:bookmarkStart w:id="658" w:name="_Toc32214"/>
      <w:bookmarkStart w:id="659" w:name="_Toc152045578"/>
      <w:bookmarkStart w:id="660" w:name="_Toc15058898"/>
      <w:bookmarkStart w:id="661" w:name="_Toc18329"/>
      <w:bookmarkStart w:id="662" w:name="_Toc246996965"/>
      <w:bookmarkStart w:id="663" w:name="_Toc506107313"/>
      <w:bookmarkStart w:id="664" w:name="_Toc78803371"/>
      <w:bookmarkStart w:id="665" w:name="_Toc152042354"/>
      <w:bookmarkStart w:id="666" w:name="_Toc179632596"/>
      <w:bookmarkStart w:id="667" w:name="_Toc35424935"/>
      <w:bookmarkStart w:id="668" w:name="_Toc35425101"/>
      <w:bookmarkStart w:id="669" w:name="_Toc144974546"/>
      <w:r>
        <w:rPr>
          <w:rFonts w:hint="eastAsia" w:ascii="宋体" w:hAnsi="宋体" w:eastAsia="宋体" w:cs="宋体"/>
          <w:highlight w:val="none"/>
        </w:rPr>
        <w:t>9.4 对与评标活动有关的工作人员的纪律要求</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14:paraId="0E89B733">
      <w:pPr>
        <w:spacing w:line="440" w:lineRule="exact"/>
        <w:ind w:firstLine="420" w:firstLineChars="200"/>
        <w:jc w:val="left"/>
        <w:rPr>
          <w:rFonts w:ascii="宋体" w:hAnsi="宋体" w:cs="宋体"/>
          <w:szCs w:val="21"/>
          <w:highlight w:val="none"/>
        </w:rPr>
      </w:pPr>
      <w:bookmarkStart w:id="670" w:name="_Toc152042355"/>
      <w:r>
        <w:rPr>
          <w:rFonts w:hint="eastAsia" w:ascii="宋体" w:hAnsi="宋体" w:cs="宋体"/>
          <w:szCs w:val="21"/>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670"/>
    </w:p>
    <w:p w14:paraId="1C6CC6E3">
      <w:pPr>
        <w:pStyle w:val="7"/>
        <w:ind w:firstLine="422" w:firstLineChars="200"/>
        <w:rPr>
          <w:rFonts w:ascii="宋体" w:hAnsi="宋体" w:eastAsia="宋体" w:cs="宋体"/>
          <w:highlight w:val="none"/>
        </w:rPr>
      </w:pPr>
      <w:bookmarkStart w:id="671" w:name="_Toc35424936"/>
      <w:bookmarkStart w:id="672" w:name="_Toc35425102"/>
      <w:bookmarkStart w:id="673" w:name="_Toc2811"/>
      <w:bookmarkStart w:id="674" w:name="_Toc179632597"/>
      <w:bookmarkStart w:id="675" w:name="_Toc78803372"/>
      <w:bookmarkStart w:id="676" w:name="_Toc152042356"/>
      <w:bookmarkStart w:id="677" w:name="_Toc15058899"/>
      <w:bookmarkStart w:id="678" w:name="_Toc246996966"/>
      <w:bookmarkStart w:id="679" w:name="_Toc23607"/>
      <w:bookmarkStart w:id="680" w:name="_Toc506107314"/>
      <w:bookmarkStart w:id="681" w:name="_Toc247085737"/>
      <w:bookmarkStart w:id="682" w:name="_Toc296602466"/>
      <w:bookmarkStart w:id="683" w:name="_Toc324404861"/>
      <w:bookmarkStart w:id="684" w:name="_Toc152045579"/>
      <w:bookmarkStart w:id="685" w:name="_Toc246996223"/>
      <w:r>
        <w:rPr>
          <w:rFonts w:hint="eastAsia" w:ascii="宋体" w:hAnsi="宋体" w:eastAsia="宋体" w:cs="宋体"/>
          <w:highlight w:val="none"/>
        </w:rPr>
        <w:t>9.5 投诉</w:t>
      </w:r>
      <w:bookmarkEnd w:id="669"/>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32E57D2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9.5.1投标人或者其他利害关系人认为招标投标活动不符合法律、行政法规规定的，可以自知道或者应当知道之日起10日内向有关行政监督部门投诉。投诉应当有明确的请求和必要的证明材料。</w:t>
      </w:r>
    </w:p>
    <w:p w14:paraId="0080D83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9.5.2投标人和其他利害关系人对招标文件、开标和评标结果事项投诉的，应当按照投标人须知第2.3.2款、第5.3款、和第7.1.2款的规定先向招标人提出异议。异议答复期间不计算在第9.5.1款规定的期限内。</w:t>
      </w:r>
    </w:p>
    <w:p w14:paraId="5FBC227F">
      <w:pPr>
        <w:pStyle w:val="7"/>
        <w:spacing w:beforeLines="50" w:afterLines="50"/>
        <w:ind w:firstLine="422" w:firstLineChars="200"/>
        <w:rPr>
          <w:rFonts w:ascii="宋体" w:hAnsi="宋体" w:eastAsia="宋体" w:cs="宋体"/>
          <w:highlight w:val="none"/>
        </w:rPr>
      </w:pPr>
      <w:bookmarkStart w:id="686" w:name="_Toc246996224"/>
      <w:bookmarkStart w:id="687" w:name="_Toc179632598"/>
      <w:bookmarkStart w:id="688" w:name="_Toc35425103"/>
      <w:bookmarkStart w:id="689" w:name="_Toc324404862"/>
      <w:bookmarkStart w:id="690" w:name="_Toc31643"/>
      <w:bookmarkStart w:id="691" w:name="_Toc16463"/>
      <w:bookmarkStart w:id="692" w:name="_Toc152042357"/>
      <w:bookmarkStart w:id="693" w:name="_Toc152045580"/>
      <w:bookmarkStart w:id="694" w:name="_Toc247085738"/>
      <w:bookmarkStart w:id="695" w:name="_Toc144974547"/>
      <w:bookmarkStart w:id="696" w:name="_Toc246996967"/>
      <w:bookmarkStart w:id="697" w:name="_Toc20669"/>
      <w:bookmarkStart w:id="698" w:name="_Toc78803373"/>
      <w:bookmarkStart w:id="699" w:name="_Toc15058900"/>
      <w:bookmarkStart w:id="700" w:name="_Toc506107315"/>
      <w:bookmarkStart w:id="701" w:name="_Toc35424937"/>
      <w:r>
        <w:rPr>
          <w:rFonts w:hint="eastAsia" w:ascii="宋体" w:hAnsi="宋体" w:eastAsia="宋体" w:cs="宋体"/>
          <w:highlight w:val="none"/>
        </w:rPr>
        <w:t>10.需要补充的其他内容</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14:paraId="7CEF8771">
      <w:pPr>
        <w:spacing w:line="440" w:lineRule="exact"/>
        <w:ind w:firstLine="420" w:firstLineChars="200"/>
        <w:jc w:val="left"/>
        <w:rPr>
          <w:rFonts w:ascii="宋体" w:hAnsi="宋体" w:cs="宋体"/>
          <w:szCs w:val="21"/>
          <w:highlight w:val="none"/>
        </w:rPr>
      </w:pPr>
      <w:bookmarkStart w:id="702" w:name="_Toc15058901"/>
      <w:r>
        <w:rPr>
          <w:rFonts w:hint="eastAsia" w:ascii="宋体" w:hAnsi="宋体" w:cs="宋体"/>
          <w:szCs w:val="21"/>
          <w:highlight w:val="none"/>
        </w:rPr>
        <w:t>需要补充的其他内容：见投标人须知前附表。</w:t>
      </w:r>
      <w:bookmarkEnd w:id="702"/>
    </w:p>
    <w:p w14:paraId="057A0684">
      <w:pPr>
        <w:spacing w:line="440" w:lineRule="exact"/>
        <w:jc w:val="left"/>
        <w:rPr>
          <w:rFonts w:ascii="宋体" w:hAnsi="宋体" w:cs="宋体"/>
          <w:szCs w:val="21"/>
          <w:highlight w:val="none"/>
        </w:rPr>
      </w:pPr>
    </w:p>
    <w:p w14:paraId="39FA0878">
      <w:pPr>
        <w:pageBreakBefore/>
        <w:spacing w:beforeLines="80" w:afterLines="80" w:line="440" w:lineRule="exact"/>
        <w:jc w:val="center"/>
        <w:outlineLvl w:val="1"/>
        <w:rPr>
          <w:rFonts w:ascii="宋体"/>
          <w:b/>
          <w:sz w:val="32"/>
          <w:szCs w:val="32"/>
          <w:highlight w:val="none"/>
        </w:rPr>
      </w:pPr>
      <w:bookmarkStart w:id="703" w:name="_Toc78803375"/>
      <w:r>
        <w:rPr>
          <w:rFonts w:hint="eastAsia" w:ascii="宋体"/>
          <w:b/>
          <w:sz w:val="32"/>
          <w:szCs w:val="32"/>
          <w:highlight w:val="none"/>
        </w:rPr>
        <w:t>第二章  资格审查</w:t>
      </w:r>
      <w:bookmarkEnd w:id="598"/>
      <w:r>
        <w:rPr>
          <w:rFonts w:hint="eastAsia" w:ascii="宋体"/>
          <w:b/>
          <w:sz w:val="32"/>
          <w:szCs w:val="32"/>
          <w:highlight w:val="none"/>
        </w:rPr>
        <w:t>办法</w:t>
      </w:r>
      <w:bookmarkEnd w:id="599"/>
      <w:bookmarkEnd w:id="600"/>
      <w:bookmarkEnd w:id="601"/>
      <w:bookmarkEnd w:id="602"/>
      <w:bookmarkEnd w:id="703"/>
    </w:p>
    <w:p w14:paraId="51D9022A">
      <w:pPr>
        <w:spacing w:beforeLines="50" w:afterLines="50" w:line="440" w:lineRule="exact"/>
        <w:jc w:val="center"/>
        <w:rPr>
          <w:rFonts w:ascii="宋体" w:hAnsi="宋体" w:cs="宋体"/>
          <w:b/>
          <w:bCs/>
          <w:sz w:val="28"/>
          <w:szCs w:val="22"/>
          <w:highlight w:val="none"/>
        </w:rPr>
      </w:pPr>
      <w:bookmarkStart w:id="704" w:name="_Toc15058903"/>
      <w:bookmarkStart w:id="705" w:name="_Toc506107318"/>
      <w:bookmarkStart w:id="706" w:name="_Toc324404865"/>
      <w:bookmarkStart w:id="707" w:name="_Toc35424940"/>
      <w:bookmarkStart w:id="708" w:name="_Toc35425106"/>
      <w:r>
        <w:rPr>
          <w:rFonts w:hint="eastAsia" w:ascii="宋体" w:hAnsi="宋体" w:cs="宋体"/>
          <w:b/>
          <w:bCs/>
          <w:sz w:val="28"/>
          <w:szCs w:val="22"/>
          <w:highlight w:val="none"/>
        </w:rPr>
        <w:t>资格审查办法前附表</w:t>
      </w:r>
      <w:bookmarkEnd w:id="704"/>
      <w:bookmarkEnd w:id="705"/>
      <w:bookmarkEnd w:id="706"/>
      <w:bookmarkEnd w:id="707"/>
      <w:bookmarkEnd w:id="708"/>
    </w:p>
    <w:tbl>
      <w:tblPr>
        <w:tblStyle w:val="47"/>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183"/>
        <w:gridCol w:w="1860"/>
      </w:tblGrid>
      <w:tr w14:paraId="4F1D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23" w:type="dxa"/>
            <w:gridSpan w:val="2"/>
            <w:noWrap/>
            <w:vAlign w:val="center"/>
          </w:tcPr>
          <w:p w14:paraId="182FEE71">
            <w:pPr>
              <w:spacing w:line="440" w:lineRule="exact"/>
              <w:jc w:val="center"/>
              <w:rPr>
                <w:rFonts w:ascii="宋体" w:hAnsi="宋体" w:cs="宋体"/>
                <w:b/>
                <w:bCs/>
                <w:szCs w:val="21"/>
                <w:highlight w:val="none"/>
              </w:rPr>
            </w:pPr>
            <w:r>
              <w:rPr>
                <w:rFonts w:hint="eastAsia" w:ascii="宋体" w:hAnsi="宋体" w:cs="宋体"/>
                <w:b/>
                <w:bCs/>
                <w:szCs w:val="21"/>
                <w:highlight w:val="none"/>
              </w:rPr>
              <w:t>序号</w:t>
            </w:r>
          </w:p>
        </w:tc>
        <w:tc>
          <w:tcPr>
            <w:tcW w:w="6183" w:type="dxa"/>
            <w:noWrap/>
            <w:vAlign w:val="center"/>
          </w:tcPr>
          <w:p w14:paraId="3D69A86D">
            <w:pPr>
              <w:spacing w:line="440" w:lineRule="exact"/>
              <w:jc w:val="center"/>
              <w:rPr>
                <w:rFonts w:ascii="宋体" w:hAnsi="宋体" w:cs="宋体"/>
                <w:b/>
                <w:bCs/>
                <w:szCs w:val="21"/>
                <w:highlight w:val="none"/>
              </w:rPr>
            </w:pPr>
            <w:r>
              <w:rPr>
                <w:rFonts w:hint="eastAsia" w:ascii="宋体" w:hAnsi="宋体" w:cs="宋体"/>
                <w:b/>
                <w:bCs/>
                <w:szCs w:val="21"/>
                <w:highlight w:val="none"/>
              </w:rPr>
              <w:t>审查内容</w:t>
            </w:r>
          </w:p>
        </w:tc>
        <w:tc>
          <w:tcPr>
            <w:tcW w:w="1860" w:type="dxa"/>
            <w:noWrap/>
            <w:vAlign w:val="center"/>
          </w:tcPr>
          <w:p w14:paraId="221FEFAB">
            <w:pPr>
              <w:spacing w:line="440" w:lineRule="exact"/>
              <w:jc w:val="center"/>
              <w:rPr>
                <w:rFonts w:ascii="宋体" w:hAnsi="宋体" w:cs="宋体"/>
                <w:b/>
                <w:bCs/>
                <w:szCs w:val="21"/>
                <w:highlight w:val="none"/>
              </w:rPr>
            </w:pPr>
            <w:r>
              <w:rPr>
                <w:rFonts w:hint="eastAsia" w:ascii="宋体" w:hAnsi="宋体" w:cs="宋体"/>
                <w:b/>
                <w:bCs/>
                <w:szCs w:val="21"/>
                <w:highlight w:val="none"/>
              </w:rPr>
              <w:t>评审标准</w:t>
            </w:r>
          </w:p>
        </w:tc>
      </w:tr>
      <w:tr w14:paraId="668D4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ign w:val="center"/>
          </w:tcPr>
          <w:p w14:paraId="3BA75CCA">
            <w:pPr>
              <w:spacing w:line="440" w:lineRule="exact"/>
              <w:jc w:val="center"/>
              <w:rPr>
                <w:rFonts w:ascii="宋体" w:hAnsi="宋体" w:cs="宋体"/>
                <w:szCs w:val="21"/>
                <w:highlight w:val="none"/>
              </w:rPr>
            </w:pPr>
            <w:r>
              <w:rPr>
                <w:rFonts w:hint="eastAsia" w:ascii="宋体" w:hAnsi="宋体" w:cs="宋体"/>
                <w:szCs w:val="21"/>
                <w:highlight w:val="none"/>
              </w:rPr>
              <w:t>1</w:t>
            </w:r>
          </w:p>
        </w:tc>
        <w:tc>
          <w:tcPr>
            <w:tcW w:w="1258" w:type="dxa"/>
            <w:vMerge w:val="restart"/>
            <w:noWrap/>
            <w:vAlign w:val="center"/>
          </w:tcPr>
          <w:p w14:paraId="3F96C48E">
            <w:pPr>
              <w:spacing w:line="440" w:lineRule="exact"/>
              <w:jc w:val="center"/>
              <w:rPr>
                <w:rFonts w:ascii="宋体" w:hAnsi="宋体" w:cs="宋体"/>
                <w:b/>
                <w:bCs/>
                <w:szCs w:val="21"/>
                <w:highlight w:val="none"/>
              </w:rPr>
            </w:pPr>
            <w:r>
              <w:rPr>
                <w:rFonts w:hint="eastAsia" w:ascii="宋体" w:hAnsi="宋体" w:cs="宋体"/>
                <w:b/>
                <w:bCs/>
                <w:szCs w:val="21"/>
                <w:highlight w:val="none"/>
              </w:rPr>
              <w:t>审查资料</w:t>
            </w:r>
          </w:p>
        </w:tc>
        <w:tc>
          <w:tcPr>
            <w:tcW w:w="6183" w:type="dxa"/>
            <w:noWrap/>
            <w:vAlign w:val="center"/>
          </w:tcPr>
          <w:p w14:paraId="1FBA9B11">
            <w:pPr>
              <w:spacing w:line="440" w:lineRule="exact"/>
              <w:rPr>
                <w:rFonts w:ascii="宋体" w:hAnsi="宋体" w:cs="宋体"/>
                <w:szCs w:val="21"/>
                <w:highlight w:val="none"/>
              </w:rPr>
            </w:pPr>
            <w:r>
              <w:rPr>
                <w:rFonts w:hint="eastAsia" w:ascii="宋体" w:hAnsi="宋体" w:cs="宋体"/>
                <w:szCs w:val="21"/>
                <w:highlight w:val="none"/>
              </w:rPr>
              <w:t>法定代表人身份证明文件和本人有效身份证(或法定代表人授权委托书和委托代理人有效身份证)</w:t>
            </w:r>
          </w:p>
        </w:tc>
        <w:tc>
          <w:tcPr>
            <w:tcW w:w="1860" w:type="dxa"/>
            <w:noWrap/>
            <w:vAlign w:val="center"/>
          </w:tcPr>
          <w:p w14:paraId="6526CAC8">
            <w:pPr>
              <w:spacing w:line="440" w:lineRule="exact"/>
              <w:jc w:val="center"/>
              <w:rPr>
                <w:rFonts w:ascii="宋体" w:hAnsi="宋体" w:cs="宋体"/>
                <w:b/>
                <w:szCs w:val="21"/>
                <w:highlight w:val="none"/>
              </w:rPr>
            </w:pPr>
            <w:r>
              <w:rPr>
                <w:rFonts w:hint="eastAsia" w:ascii="宋体"/>
                <w:szCs w:val="24"/>
                <w:highlight w:val="none"/>
              </w:rPr>
              <w:t>开标时核验</w:t>
            </w:r>
            <w:r>
              <w:rPr>
                <w:rFonts w:hint="eastAsia" w:ascii="宋体"/>
                <w:szCs w:val="24"/>
                <w:highlight w:val="none"/>
                <w:lang w:val="en-US" w:eastAsia="zh-CN"/>
              </w:rPr>
              <w:t>投标文件</w:t>
            </w:r>
          </w:p>
        </w:tc>
      </w:tr>
      <w:tr w14:paraId="2D787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4E74E705">
            <w:pPr>
              <w:spacing w:line="440" w:lineRule="exact"/>
              <w:jc w:val="center"/>
              <w:rPr>
                <w:rFonts w:ascii="宋体" w:hAnsi="宋体" w:cs="宋体"/>
                <w:szCs w:val="21"/>
                <w:highlight w:val="none"/>
              </w:rPr>
            </w:pPr>
          </w:p>
        </w:tc>
        <w:tc>
          <w:tcPr>
            <w:tcW w:w="1258" w:type="dxa"/>
            <w:vMerge w:val="continue"/>
            <w:noWrap/>
            <w:vAlign w:val="center"/>
          </w:tcPr>
          <w:p w14:paraId="5AAEFE3C">
            <w:pPr>
              <w:spacing w:line="440" w:lineRule="exact"/>
              <w:jc w:val="center"/>
              <w:rPr>
                <w:rFonts w:ascii="宋体" w:hAnsi="宋体" w:cs="宋体"/>
                <w:b/>
                <w:bCs/>
                <w:szCs w:val="21"/>
                <w:highlight w:val="none"/>
              </w:rPr>
            </w:pPr>
          </w:p>
        </w:tc>
        <w:tc>
          <w:tcPr>
            <w:tcW w:w="6183" w:type="dxa"/>
            <w:noWrap/>
            <w:vAlign w:val="center"/>
          </w:tcPr>
          <w:p w14:paraId="40C11A86">
            <w:pPr>
              <w:spacing w:line="440" w:lineRule="exact"/>
              <w:rPr>
                <w:rFonts w:ascii="宋体" w:hAnsi="宋体" w:cs="宋体"/>
                <w:szCs w:val="21"/>
                <w:highlight w:val="none"/>
              </w:rPr>
            </w:pPr>
            <w:r>
              <w:rPr>
                <w:rFonts w:hint="eastAsia" w:ascii="宋体" w:hAnsi="宋体" w:cs="宋体"/>
                <w:szCs w:val="21"/>
                <w:highlight w:val="none"/>
              </w:rPr>
              <w:t>诚信投标承诺书</w:t>
            </w:r>
          </w:p>
        </w:tc>
        <w:tc>
          <w:tcPr>
            <w:tcW w:w="1860" w:type="dxa"/>
            <w:vMerge w:val="restart"/>
            <w:noWrap/>
            <w:vAlign w:val="center"/>
          </w:tcPr>
          <w:p w14:paraId="4D5377AB">
            <w:pPr>
              <w:spacing w:line="440" w:lineRule="exact"/>
              <w:jc w:val="center"/>
              <w:rPr>
                <w:rFonts w:ascii="宋体" w:hAnsi="宋体" w:cs="宋体"/>
                <w:b/>
                <w:szCs w:val="21"/>
                <w:highlight w:val="none"/>
              </w:rPr>
            </w:pPr>
            <w:r>
              <w:rPr>
                <w:rFonts w:hint="eastAsia" w:ascii="宋体"/>
                <w:szCs w:val="24"/>
                <w:highlight w:val="none"/>
              </w:rPr>
              <w:t>开标时核验</w:t>
            </w:r>
            <w:r>
              <w:rPr>
                <w:rFonts w:hint="eastAsia" w:ascii="宋体"/>
                <w:szCs w:val="24"/>
                <w:highlight w:val="none"/>
                <w:lang w:val="en-US" w:eastAsia="zh-CN"/>
              </w:rPr>
              <w:t>投标文件</w:t>
            </w:r>
          </w:p>
        </w:tc>
      </w:tr>
      <w:tr w14:paraId="02899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ign w:val="center"/>
          </w:tcPr>
          <w:p w14:paraId="473C1E08">
            <w:pPr>
              <w:spacing w:line="440" w:lineRule="exact"/>
              <w:jc w:val="center"/>
              <w:rPr>
                <w:rFonts w:ascii="宋体" w:hAnsi="宋体" w:cs="宋体"/>
                <w:szCs w:val="21"/>
                <w:highlight w:val="none"/>
              </w:rPr>
            </w:pPr>
          </w:p>
        </w:tc>
        <w:tc>
          <w:tcPr>
            <w:tcW w:w="1258" w:type="dxa"/>
            <w:vMerge w:val="continue"/>
            <w:noWrap/>
            <w:vAlign w:val="center"/>
          </w:tcPr>
          <w:p w14:paraId="34F661E5">
            <w:pPr>
              <w:spacing w:line="440" w:lineRule="exact"/>
              <w:jc w:val="center"/>
              <w:rPr>
                <w:rFonts w:ascii="宋体" w:hAnsi="宋体" w:cs="宋体"/>
                <w:b/>
                <w:bCs/>
                <w:szCs w:val="21"/>
                <w:highlight w:val="none"/>
              </w:rPr>
            </w:pPr>
          </w:p>
        </w:tc>
        <w:tc>
          <w:tcPr>
            <w:tcW w:w="6183" w:type="dxa"/>
            <w:noWrap/>
            <w:vAlign w:val="center"/>
          </w:tcPr>
          <w:p w14:paraId="260BEA3E">
            <w:pPr>
              <w:spacing w:line="440" w:lineRule="exact"/>
              <w:rPr>
                <w:rFonts w:ascii="宋体" w:hAnsi="宋体" w:cs="宋体"/>
                <w:szCs w:val="21"/>
                <w:highlight w:val="none"/>
              </w:rPr>
            </w:pPr>
            <w:r>
              <w:rPr>
                <w:rFonts w:hint="eastAsia" w:ascii="宋体" w:hAnsi="宋体" w:cs="宋体"/>
                <w:szCs w:val="21"/>
                <w:highlight w:val="none"/>
              </w:rPr>
              <w:t>企业法人营业执照</w:t>
            </w:r>
          </w:p>
        </w:tc>
        <w:tc>
          <w:tcPr>
            <w:tcW w:w="1860" w:type="dxa"/>
            <w:vMerge w:val="continue"/>
            <w:noWrap/>
            <w:vAlign w:val="center"/>
          </w:tcPr>
          <w:p w14:paraId="154120EF">
            <w:pPr>
              <w:spacing w:line="440" w:lineRule="exact"/>
              <w:rPr>
                <w:rFonts w:ascii="宋体" w:hAnsi="宋体" w:cs="宋体"/>
                <w:b/>
                <w:szCs w:val="21"/>
                <w:highlight w:val="none"/>
              </w:rPr>
            </w:pPr>
          </w:p>
        </w:tc>
      </w:tr>
      <w:tr w14:paraId="21656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ign w:val="center"/>
          </w:tcPr>
          <w:p w14:paraId="6F7DE263">
            <w:pPr>
              <w:spacing w:line="440" w:lineRule="exact"/>
              <w:jc w:val="center"/>
              <w:rPr>
                <w:rFonts w:ascii="宋体" w:hAnsi="宋体" w:cs="宋体"/>
                <w:szCs w:val="21"/>
                <w:highlight w:val="none"/>
              </w:rPr>
            </w:pPr>
          </w:p>
        </w:tc>
        <w:tc>
          <w:tcPr>
            <w:tcW w:w="1258" w:type="dxa"/>
            <w:vMerge w:val="continue"/>
            <w:noWrap/>
            <w:vAlign w:val="center"/>
          </w:tcPr>
          <w:p w14:paraId="36F56C70">
            <w:pPr>
              <w:spacing w:line="440" w:lineRule="exact"/>
              <w:jc w:val="center"/>
              <w:rPr>
                <w:rFonts w:ascii="宋体" w:hAnsi="宋体" w:cs="宋体"/>
                <w:b/>
                <w:bCs/>
                <w:szCs w:val="21"/>
                <w:highlight w:val="none"/>
              </w:rPr>
            </w:pPr>
          </w:p>
        </w:tc>
        <w:tc>
          <w:tcPr>
            <w:tcW w:w="6183" w:type="dxa"/>
            <w:noWrap/>
            <w:vAlign w:val="center"/>
          </w:tcPr>
          <w:p w14:paraId="437A299C">
            <w:pPr>
              <w:spacing w:line="440" w:lineRule="exact"/>
              <w:rPr>
                <w:rFonts w:ascii="宋体" w:hAnsi="宋体" w:cs="宋体"/>
                <w:szCs w:val="21"/>
                <w:highlight w:val="none"/>
              </w:rPr>
            </w:pPr>
            <w:r>
              <w:rPr>
                <w:rFonts w:hint="eastAsia" w:ascii="宋体" w:hAnsi="宋体" w:cs="宋体"/>
                <w:szCs w:val="21"/>
                <w:highlight w:val="none"/>
              </w:rPr>
              <w:t>企业资质证书</w:t>
            </w:r>
          </w:p>
        </w:tc>
        <w:tc>
          <w:tcPr>
            <w:tcW w:w="1860" w:type="dxa"/>
            <w:vMerge w:val="continue"/>
            <w:noWrap/>
            <w:vAlign w:val="center"/>
          </w:tcPr>
          <w:p w14:paraId="65B76600">
            <w:pPr>
              <w:spacing w:line="440" w:lineRule="exact"/>
              <w:rPr>
                <w:rFonts w:ascii="宋体" w:hAnsi="宋体" w:cs="宋体"/>
                <w:szCs w:val="21"/>
                <w:highlight w:val="none"/>
              </w:rPr>
            </w:pPr>
          </w:p>
        </w:tc>
      </w:tr>
      <w:tr w14:paraId="409E6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ign w:val="center"/>
          </w:tcPr>
          <w:p w14:paraId="266B95E7">
            <w:pPr>
              <w:spacing w:line="440" w:lineRule="exact"/>
              <w:jc w:val="center"/>
              <w:rPr>
                <w:rFonts w:ascii="宋体" w:hAnsi="宋体" w:cs="宋体"/>
                <w:szCs w:val="21"/>
                <w:highlight w:val="none"/>
              </w:rPr>
            </w:pPr>
          </w:p>
        </w:tc>
        <w:tc>
          <w:tcPr>
            <w:tcW w:w="1258" w:type="dxa"/>
            <w:vMerge w:val="continue"/>
            <w:noWrap/>
            <w:vAlign w:val="center"/>
          </w:tcPr>
          <w:p w14:paraId="46CB9A34">
            <w:pPr>
              <w:spacing w:line="440" w:lineRule="exact"/>
              <w:jc w:val="center"/>
              <w:rPr>
                <w:rFonts w:ascii="宋体" w:hAnsi="宋体" w:cs="宋体"/>
                <w:b/>
                <w:bCs/>
                <w:szCs w:val="21"/>
                <w:highlight w:val="none"/>
              </w:rPr>
            </w:pPr>
          </w:p>
        </w:tc>
        <w:tc>
          <w:tcPr>
            <w:tcW w:w="6183" w:type="dxa"/>
            <w:noWrap/>
            <w:vAlign w:val="top"/>
          </w:tcPr>
          <w:p w14:paraId="057907CC">
            <w:pPr>
              <w:keepNext w:val="0"/>
              <w:keepLines w:val="0"/>
              <w:pageBreakBefore w:val="0"/>
              <w:kinsoku/>
              <w:wordWrap/>
              <w:overflowPunct/>
              <w:topLinePunct w:val="0"/>
              <w:autoSpaceDN/>
              <w:bidi w:val="0"/>
              <w:adjustRightInd/>
              <w:snapToGrid/>
              <w:spacing w:line="440" w:lineRule="exact"/>
              <w:textAlignment w:val="auto"/>
              <w:rPr>
                <w:rFonts w:ascii="宋体" w:hAnsi="宋体" w:cs="宋体"/>
                <w:szCs w:val="21"/>
                <w:highlight w:val="none"/>
              </w:rPr>
            </w:pPr>
            <w:r>
              <w:rPr>
                <w:rFonts w:hint="eastAsia" w:ascii="宋体" w:hAnsi="宋体" w:eastAsia="宋体" w:cs="宋体"/>
                <w:sz w:val="21"/>
                <w:szCs w:val="21"/>
              </w:rPr>
              <w:t>拟派项目负责人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总监理工程师</w:t>
            </w:r>
            <w:r>
              <w:rPr>
                <w:rFonts w:hint="eastAsia" w:ascii="宋体" w:hAnsi="宋体" w:eastAsia="宋体" w:cs="宋体"/>
                <w:sz w:val="21"/>
                <w:szCs w:val="21"/>
                <w:lang w:eastAsia="zh-CN"/>
              </w:rPr>
              <w:t>）</w:t>
            </w:r>
            <w:r>
              <w:rPr>
                <w:rFonts w:hint="eastAsia" w:ascii="宋体" w:hAnsi="宋体" w:eastAsia="宋体" w:cs="宋体"/>
                <w:sz w:val="21"/>
                <w:szCs w:val="21"/>
              </w:rPr>
              <w:t>的</w:t>
            </w:r>
            <w:r>
              <w:rPr>
                <w:rFonts w:hint="eastAsia" w:ascii="宋体" w:hAnsi="宋体" w:eastAsia="宋体" w:cs="宋体"/>
                <w:sz w:val="21"/>
                <w:szCs w:val="21"/>
                <w:lang w:val="en-US" w:eastAsia="zh-CN"/>
              </w:rPr>
              <w:t>有效</w:t>
            </w:r>
            <w:r>
              <w:rPr>
                <w:rFonts w:hint="eastAsia" w:ascii="宋体" w:hAnsi="宋体" w:eastAsia="宋体" w:cs="宋体"/>
                <w:sz w:val="21"/>
                <w:szCs w:val="21"/>
              </w:rPr>
              <w:t>身份证</w:t>
            </w:r>
            <w:r>
              <w:rPr>
                <w:rFonts w:hint="eastAsia" w:ascii="宋体" w:hAnsi="宋体" w:eastAsia="宋体" w:cs="宋体"/>
                <w:sz w:val="21"/>
                <w:szCs w:val="21"/>
                <w:lang w:val="en-US" w:eastAsia="zh-CN"/>
              </w:rPr>
              <w:t>及在本单位注册的国家注册监理工程师证书</w:t>
            </w:r>
          </w:p>
        </w:tc>
        <w:tc>
          <w:tcPr>
            <w:tcW w:w="1860" w:type="dxa"/>
            <w:vMerge w:val="continue"/>
            <w:noWrap/>
            <w:vAlign w:val="center"/>
          </w:tcPr>
          <w:p w14:paraId="4369E270">
            <w:pPr>
              <w:spacing w:line="440" w:lineRule="exact"/>
              <w:rPr>
                <w:rFonts w:ascii="宋体" w:hAnsi="宋体" w:cs="宋体"/>
                <w:szCs w:val="21"/>
                <w:highlight w:val="none"/>
              </w:rPr>
            </w:pPr>
          </w:p>
        </w:tc>
      </w:tr>
      <w:tr w14:paraId="4A378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65" w:type="dxa"/>
            <w:vMerge w:val="continue"/>
            <w:noWrap/>
            <w:vAlign w:val="center"/>
          </w:tcPr>
          <w:p w14:paraId="1AF178C8">
            <w:pPr>
              <w:spacing w:line="440" w:lineRule="exact"/>
              <w:jc w:val="center"/>
              <w:rPr>
                <w:rFonts w:ascii="宋体" w:hAnsi="宋体" w:cs="宋体"/>
                <w:szCs w:val="21"/>
                <w:highlight w:val="none"/>
              </w:rPr>
            </w:pPr>
          </w:p>
        </w:tc>
        <w:tc>
          <w:tcPr>
            <w:tcW w:w="1258" w:type="dxa"/>
            <w:vMerge w:val="continue"/>
            <w:noWrap/>
            <w:vAlign w:val="center"/>
          </w:tcPr>
          <w:p w14:paraId="4B7B056E">
            <w:pPr>
              <w:spacing w:line="440" w:lineRule="exact"/>
              <w:jc w:val="center"/>
              <w:rPr>
                <w:rFonts w:ascii="宋体" w:hAnsi="宋体" w:cs="宋体"/>
                <w:b/>
                <w:bCs/>
                <w:szCs w:val="21"/>
                <w:highlight w:val="none"/>
              </w:rPr>
            </w:pPr>
          </w:p>
        </w:tc>
        <w:tc>
          <w:tcPr>
            <w:tcW w:w="6183" w:type="dxa"/>
            <w:noWrap/>
            <w:vAlign w:val="top"/>
          </w:tcPr>
          <w:p w14:paraId="7C958432">
            <w:pPr>
              <w:spacing w:line="440" w:lineRule="exact"/>
              <w:rPr>
                <w:rFonts w:ascii="宋体" w:hAnsi="宋体" w:cs="宋体"/>
                <w:highlight w:val="none"/>
              </w:rPr>
            </w:pPr>
            <w:r>
              <w:rPr>
                <w:rFonts w:hint="eastAsia" w:ascii="宋体" w:hAnsi="宋体" w:cs="宋体"/>
                <w:szCs w:val="21"/>
                <w:highlight w:val="none"/>
              </w:rPr>
              <w:t>投标人的法定代表人(或委托代理人)和拟任项目负责人（总监理工程师）须持有社保部门出具的本单位为其缴纳的投标前近三个月连续的养老保险证明（含官网在线打印件，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860" w:type="dxa"/>
            <w:vMerge w:val="continue"/>
            <w:noWrap/>
            <w:vAlign w:val="center"/>
          </w:tcPr>
          <w:p w14:paraId="472F630E">
            <w:pPr>
              <w:spacing w:line="440" w:lineRule="exact"/>
              <w:rPr>
                <w:rFonts w:ascii="宋体" w:hAnsi="宋体" w:cs="宋体"/>
                <w:szCs w:val="21"/>
                <w:highlight w:val="none"/>
              </w:rPr>
            </w:pPr>
          </w:p>
        </w:tc>
      </w:tr>
      <w:tr w14:paraId="2A8C9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65" w:type="dxa"/>
            <w:vMerge w:val="continue"/>
            <w:noWrap/>
            <w:vAlign w:val="center"/>
          </w:tcPr>
          <w:p w14:paraId="3CDEDA6C">
            <w:pPr>
              <w:spacing w:line="440" w:lineRule="exact"/>
              <w:jc w:val="center"/>
              <w:rPr>
                <w:rFonts w:ascii="宋体" w:hAnsi="宋体" w:cs="宋体"/>
                <w:szCs w:val="21"/>
                <w:highlight w:val="none"/>
              </w:rPr>
            </w:pPr>
          </w:p>
        </w:tc>
        <w:tc>
          <w:tcPr>
            <w:tcW w:w="1258" w:type="dxa"/>
            <w:vMerge w:val="continue"/>
            <w:noWrap/>
            <w:vAlign w:val="center"/>
          </w:tcPr>
          <w:p w14:paraId="33335A69">
            <w:pPr>
              <w:spacing w:line="440" w:lineRule="exact"/>
              <w:jc w:val="center"/>
              <w:rPr>
                <w:rFonts w:ascii="宋体" w:hAnsi="宋体" w:cs="宋体"/>
                <w:b/>
                <w:bCs/>
                <w:szCs w:val="21"/>
                <w:highlight w:val="none"/>
              </w:rPr>
            </w:pPr>
          </w:p>
        </w:tc>
        <w:tc>
          <w:tcPr>
            <w:tcW w:w="6183" w:type="dxa"/>
            <w:noWrap/>
            <w:vAlign w:val="top"/>
          </w:tcPr>
          <w:p w14:paraId="53BC18EA">
            <w:pPr>
              <w:spacing w:line="440" w:lineRule="exact"/>
              <w:rPr>
                <w:rFonts w:hint="eastAsia" w:ascii="宋体" w:hAnsi="宋体" w:cs="宋体"/>
                <w:szCs w:val="21"/>
                <w:highlight w:val="none"/>
              </w:rPr>
            </w:pPr>
            <w:r>
              <w:rPr>
                <w:rFonts w:hint="eastAsia" w:ascii="宋体" w:hAnsi="宋体"/>
                <w:szCs w:val="21"/>
              </w:rPr>
              <w:t>监理人员</w:t>
            </w:r>
            <w:r>
              <w:rPr>
                <w:rFonts w:hint="eastAsia" w:ascii="宋体" w:hAnsi="宋体"/>
                <w:szCs w:val="21"/>
                <w:lang w:val="en-US" w:eastAsia="zh-CN"/>
              </w:rPr>
              <w:t>配备</w:t>
            </w:r>
            <w:r>
              <w:rPr>
                <w:rFonts w:hint="eastAsia" w:ascii="宋体" w:hAnsi="宋体"/>
                <w:szCs w:val="21"/>
              </w:rPr>
              <w:t>名单</w:t>
            </w:r>
          </w:p>
        </w:tc>
        <w:tc>
          <w:tcPr>
            <w:tcW w:w="1860" w:type="dxa"/>
            <w:vMerge w:val="continue"/>
            <w:noWrap/>
            <w:vAlign w:val="center"/>
          </w:tcPr>
          <w:p w14:paraId="1ABC6030">
            <w:pPr>
              <w:spacing w:line="440" w:lineRule="exact"/>
              <w:rPr>
                <w:rFonts w:ascii="宋体" w:hAnsi="宋体" w:cs="宋体"/>
                <w:szCs w:val="21"/>
                <w:highlight w:val="none"/>
              </w:rPr>
            </w:pPr>
          </w:p>
        </w:tc>
      </w:tr>
    </w:tbl>
    <w:p w14:paraId="4A16BF16">
      <w:pPr>
        <w:spacing w:line="440" w:lineRule="exact"/>
        <w:ind w:firstLine="422" w:firstLineChars="200"/>
        <w:jc w:val="left"/>
        <w:rPr>
          <w:rFonts w:ascii="宋体" w:hAnsi="宋体" w:cs="宋体"/>
          <w:b/>
          <w:bCs/>
          <w:szCs w:val="21"/>
          <w:highlight w:val="none"/>
        </w:rPr>
      </w:pPr>
      <w:r>
        <w:rPr>
          <w:rFonts w:hint="eastAsia" w:ascii="宋体" w:hAnsi="宋体" w:cs="宋体"/>
          <w:b/>
          <w:bCs/>
          <w:szCs w:val="21"/>
          <w:highlight w:val="none"/>
        </w:rPr>
        <w:t>重要提示：</w:t>
      </w:r>
    </w:p>
    <w:p w14:paraId="7B6BC4F3">
      <w:pPr>
        <w:spacing w:line="440" w:lineRule="exact"/>
        <w:ind w:firstLine="422" w:firstLineChars="200"/>
        <w:jc w:val="left"/>
        <w:rPr>
          <w:rFonts w:ascii="宋体" w:hAnsi="宋体" w:cs="宋体"/>
          <w:b/>
          <w:bCs/>
          <w:szCs w:val="21"/>
          <w:highlight w:val="none"/>
        </w:rPr>
      </w:pPr>
      <w:r>
        <w:rPr>
          <w:rFonts w:hint="eastAsia" w:ascii="宋体" w:hAnsi="宋体" w:cs="宋体"/>
          <w:b/>
          <w:bCs/>
          <w:szCs w:val="21"/>
          <w:highlight w:val="none"/>
        </w:rPr>
        <w:t>（</w:t>
      </w:r>
      <w:r>
        <w:rPr>
          <w:rFonts w:hint="eastAsia" w:ascii="宋体" w:hAnsi="宋体" w:cs="宋体"/>
          <w:b/>
          <w:bCs/>
          <w:szCs w:val="21"/>
          <w:highlight w:val="none"/>
          <w:lang w:val="en-US" w:eastAsia="zh-CN"/>
        </w:rPr>
        <w:t>1</w:t>
      </w:r>
      <w:r>
        <w:rPr>
          <w:rFonts w:hint="eastAsia" w:ascii="宋体" w:hAnsi="宋体" w:cs="宋体"/>
          <w:b/>
          <w:bCs/>
          <w:szCs w:val="21"/>
          <w:highlight w:val="none"/>
        </w:rPr>
        <w:t>）评标专家在检验投标文件过程中，如果由于投标人自身原因导致评标专家无法查看并检验投标文件中相关资料的，视为无效标处理。即使投标人将原件携带至现场的，同样按无效标处理。</w:t>
      </w:r>
    </w:p>
    <w:p w14:paraId="2FFED618">
      <w:pPr>
        <w:pStyle w:val="7"/>
        <w:spacing w:beforeLines="50" w:afterLines="50"/>
        <w:ind w:firstLine="422" w:firstLineChars="200"/>
        <w:rPr>
          <w:rFonts w:ascii="宋体" w:hAnsi="宋体" w:eastAsia="宋体" w:cs="宋体"/>
          <w:highlight w:val="none"/>
        </w:rPr>
      </w:pPr>
      <w:bookmarkStart w:id="709" w:name="_Toc506107319"/>
      <w:bookmarkStart w:id="710" w:name="_Toc324404866"/>
      <w:bookmarkStart w:id="711" w:name="_Toc35424941"/>
      <w:bookmarkStart w:id="712" w:name="_Toc78803376"/>
      <w:bookmarkStart w:id="713" w:name="_Toc15058904"/>
      <w:bookmarkStart w:id="714" w:name="_Toc27127"/>
      <w:bookmarkStart w:id="715" w:name="_Toc35425107"/>
      <w:r>
        <w:rPr>
          <w:rFonts w:hint="eastAsia" w:ascii="宋体" w:hAnsi="宋体" w:eastAsia="宋体" w:cs="宋体"/>
          <w:highlight w:val="none"/>
        </w:rPr>
        <w:t>1.审查资料</w:t>
      </w:r>
      <w:bookmarkEnd w:id="709"/>
      <w:bookmarkEnd w:id="710"/>
      <w:bookmarkEnd w:id="711"/>
      <w:bookmarkEnd w:id="712"/>
      <w:bookmarkEnd w:id="713"/>
      <w:bookmarkEnd w:id="714"/>
      <w:bookmarkEnd w:id="715"/>
    </w:p>
    <w:p w14:paraId="5C0EBE56">
      <w:pPr>
        <w:spacing w:line="440" w:lineRule="exact"/>
        <w:ind w:firstLine="420" w:firstLineChars="200"/>
        <w:jc w:val="left"/>
        <w:rPr>
          <w:rFonts w:hint="eastAsia" w:ascii="宋体" w:hAnsi="宋体" w:cs="宋体"/>
          <w:szCs w:val="21"/>
          <w:highlight w:val="none"/>
        </w:rPr>
      </w:pPr>
      <w:bookmarkStart w:id="716" w:name="_Toc15058905"/>
      <w:bookmarkStart w:id="717" w:name="_Toc324404867"/>
      <w:r>
        <w:rPr>
          <w:rFonts w:hint="eastAsia" w:ascii="宋体" w:hAnsi="宋体" w:cs="宋体"/>
          <w:szCs w:val="21"/>
          <w:highlight w:val="none"/>
        </w:rPr>
        <w:t>（1）法定代表人身份证明文件和本人有效身份证(或法定代表人授权委托书和委托代理人有效身份证)；</w:t>
      </w:r>
    </w:p>
    <w:p w14:paraId="4D305D10">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（2）诚信投标承诺书；</w:t>
      </w:r>
    </w:p>
    <w:p w14:paraId="115D7AB6">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（3）企业法人营业执照；</w:t>
      </w:r>
    </w:p>
    <w:p w14:paraId="3397E353">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（4）企业资质证书；</w:t>
      </w:r>
    </w:p>
    <w:p w14:paraId="3F9BF45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（5）拟派项目负责人（总监理工程师）的有效身份证及在本单位注册的国家注册监理工程师证书；</w:t>
      </w:r>
    </w:p>
    <w:p w14:paraId="6273991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）投标人的法定代表人(或委托代理人)</w:t>
      </w:r>
      <w:r>
        <w:rPr>
          <w:rFonts w:hint="eastAsia" w:ascii="宋体" w:hAnsi="宋体" w:cs="宋体"/>
          <w:szCs w:val="21"/>
          <w:highlight w:val="none"/>
          <w:lang w:val="en-US" w:eastAsia="zh-CN"/>
        </w:rPr>
        <w:t>和</w:t>
      </w:r>
      <w:r>
        <w:rPr>
          <w:rFonts w:hint="eastAsia" w:ascii="宋体" w:hAnsi="宋体" w:cs="宋体"/>
          <w:szCs w:val="21"/>
          <w:highlight w:val="none"/>
        </w:rPr>
        <w:t>拟任项目负责人（总监理工程师）须持有社保部门出具的本单位为其缴纳的投标前近三个月连续的养老保险证明（含官网在线打印件，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p w14:paraId="523B975C">
      <w:pPr>
        <w:spacing w:line="440" w:lineRule="exact"/>
        <w:ind w:firstLine="420" w:firstLineChars="200"/>
        <w:jc w:val="left"/>
        <w:rPr>
          <w:rFonts w:hint="eastAsia" w:ascii="宋体" w:hAnsi="宋体" w:eastAsia="宋体" w:cs="宋体"/>
          <w:highlight w:val="none"/>
          <w:lang w:val="en-US" w:eastAsia="zh-CN"/>
        </w:rPr>
      </w:pPr>
      <w:r>
        <w:rPr>
          <w:rFonts w:hint="eastAsia" w:ascii="宋体" w:hAnsi="宋体" w:cs="宋体"/>
          <w:highlight w:val="none"/>
          <w:lang w:eastAsia="zh-CN"/>
        </w:rPr>
        <w:t>（</w:t>
      </w:r>
      <w:r>
        <w:rPr>
          <w:rFonts w:hint="eastAsia" w:ascii="宋体" w:hAnsi="宋体" w:cs="宋体"/>
          <w:highlight w:val="none"/>
          <w:lang w:val="en-US" w:eastAsia="zh-CN"/>
        </w:rPr>
        <w:t>7</w:t>
      </w:r>
      <w:r>
        <w:rPr>
          <w:rFonts w:hint="eastAsia" w:ascii="宋体" w:hAnsi="宋体" w:cs="宋体"/>
          <w:highlight w:val="none"/>
          <w:lang w:eastAsia="zh-CN"/>
        </w:rPr>
        <w:t>）</w:t>
      </w:r>
      <w:r>
        <w:rPr>
          <w:rFonts w:hint="eastAsia" w:ascii="宋体" w:hAnsi="宋体"/>
          <w:szCs w:val="21"/>
        </w:rPr>
        <w:t>监理人员</w:t>
      </w:r>
      <w:r>
        <w:rPr>
          <w:rFonts w:hint="eastAsia" w:ascii="宋体" w:hAnsi="宋体"/>
          <w:szCs w:val="21"/>
          <w:lang w:val="en-US" w:eastAsia="zh-CN"/>
        </w:rPr>
        <w:t>配备</w:t>
      </w:r>
      <w:r>
        <w:rPr>
          <w:rFonts w:hint="eastAsia" w:ascii="宋体" w:hAnsi="宋体"/>
          <w:szCs w:val="21"/>
        </w:rPr>
        <w:t>名单</w:t>
      </w:r>
      <w:r>
        <w:rPr>
          <w:rFonts w:hint="eastAsia" w:ascii="宋体" w:hAnsi="宋体" w:cs="宋体"/>
          <w:highlight w:val="none"/>
          <w:lang w:eastAsia="zh-CN"/>
        </w:rPr>
        <w:t>。</w:t>
      </w:r>
    </w:p>
    <w:bookmarkEnd w:id="716"/>
    <w:p w14:paraId="093B7286">
      <w:pPr>
        <w:pStyle w:val="7"/>
        <w:spacing w:beforeLines="50" w:afterLines="50"/>
        <w:ind w:firstLine="422" w:firstLineChars="200"/>
        <w:rPr>
          <w:rFonts w:ascii="宋体" w:hAnsi="宋体" w:eastAsia="宋体" w:cs="宋体"/>
          <w:highlight w:val="none"/>
        </w:rPr>
      </w:pPr>
      <w:bookmarkStart w:id="718" w:name="_Toc15058909"/>
      <w:bookmarkStart w:id="719" w:name="_Toc78803377"/>
      <w:bookmarkStart w:id="720" w:name="_Toc506107320"/>
      <w:bookmarkStart w:id="721" w:name="_Toc35424942"/>
      <w:bookmarkStart w:id="722" w:name="_Toc35425108"/>
      <w:bookmarkStart w:id="723" w:name="_Toc12549"/>
      <w:r>
        <w:rPr>
          <w:rFonts w:hint="eastAsia" w:ascii="宋体" w:hAnsi="宋体" w:eastAsia="宋体" w:cs="宋体"/>
          <w:highlight w:val="none"/>
        </w:rPr>
        <w:t>2.审查办法</w:t>
      </w:r>
      <w:bookmarkEnd w:id="717"/>
      <w:bookmarkEnd w:id="718"/>
      <w:bookmarkEnd w:id="719"/>
      <w:bookmarkEnd w:id="720"/>
      <w:bookmarkEnd w:id="721"/>
      <w:bookmarkEnd w:id="722"/>
      <w:bookmarkEnd w:id="723"/>
    </w:p>
    <w:p w14:paraId="712A9A88">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由资格审查委员会（评标委员会）按资格审查办法前附表中资格审查必要合格条件评审表要求对投标人审查资料进行核验。</w:t>
      </w:r>
    </w:p>
    <w:p w14:paraId="2278C6A4">
      <w:pPr>
        <w:pStyle w:val="7"/>
        <w:spacing w:beforeLines="50" w:afterLines="50"/>
        <w:ind w:firstLine="422" w:firstLineChars="200"/>
        <w:rPr>
          <w:rFonts w:ascii="宋体" w:hAnsi="宋体" w:eastAsia="宋体" w:cs="宋体"/>
          <w:highlight w:val="none"/>
        </w:rPr>
      </w:pPr>
      <w:bookmarkStart w:id="724" w:name="_Toc35425109"/>
      <w:bookmarkStart w:id="725" w:name="_Toc78803378"/>
      <w:bookmarkStart w:id="726" w:name="_Toc35424943"/>
      <w:bookmarkStart w:id="727" w:name="_Toc324404868"/>
      <w:bookmarkStart w:id="728" w:name="_Toc506107321"/>
      <w:bookmarkStart w:id="729" w:name="_Toc15626"/>
      <w:bookmarkStart w:id="730" w:name="_Toc15058910"/>
      <w:r>
        <w:rPr>
          <w:rFonts w:hint="eastAsia" w:ascii="宋体" w:hAnsi="宋体" w:eastAsia="宋体" w:cs="宋体"/>
          <w:highlight w:val="none"/>
        </w:rPr>
        <w:t>3.资格审查委员会和审查标准</w:t>
      </w:r>
      <w:bookmarkEnd w:id="724"/>
      <w:bookmarkEnd w:id="725"/>
      <w:bookmarkEnd w:id="726"/>
      <w:bookmarkEnd w:id="727"/>
      <w:bookmarkEnd w:id="728"/>
      <w:bookmarkEnd w:id="729"/>
      <w:bookmarkEnd w:id="730"/>
    </w:p>
    <w:p w14:paraId="564DE573">
      <w:pPr>
        <w:spacing w:line="440" w:lineRule="exact"/>
        <w:ind w:firstLine="420" w:firstLineChars="200"/>
        <w:jc w:val="left"/>
        <w:rPr>
          <w:rFonts w:hint="eastAsia" w:ascii="宋体" w:hAnsi="宋体" w:eastAsia="宋体" w:cs="宋体"/>
          <w:szCs w:val="21"/>
          <w:highlight w:val="none"/>
        </w:rPr>
      </w:pPr>
      <w:bookmarkStart w:id="731" w:name="_Toc324404869"/>
      <w:bookmarkStart w:id="732" w:name="_Toc10330"/>
      <w:bookmarkStart w:id="733" w:name="_Toc15058911"/>
      <w:bookmarkStart w:id="734" w:name="_Toc35425110"/>
      <w:bookmarkStart w:id="735" w:name="_Toc78803379"/>
      <w:bookmarkStart w:id="736" w:name="_Toc35424944"/>
      <w:bookmarkStart w:id="737" w:name="_Toc506107322"/>
      <w:r>
        <w:rPr>
          <w:rFonts w:hint="eastAsia" w:ascii="宋体" w:hAnsi="宋体" w:eastAsia="宋体" w:cs="宋体"/>
          <w:szCs w:val="21"/>
          <w:highlight w:val="none"/>
        </w:rPr>
        <w:t>3.1资格审查由招标人依法组建的资格审查委员会（或评标委员会）负责。审查标准见资格审查办法前附表。</w:t>
      </w:r>
    </w:p>
    <w:p w14:paraId="0FC51CB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 xml:space="preserve">3.2由资格审查委员会（评标委员会）按资格审查办法前附表要求对投标人的审查资料进行核验。投标申请人有下列情形之一的，其资格审查为不合格： </w:t>
      </w:r>
    </w:p>
    <w:p w14:paraId="550E4092">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(1)法定代表人（或授权委托人）未准时参加会议；</w:t>
      </w:r>
    </w:p>
    <w:p w14:paraId="1DF3BFF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(2)法定代表人参加开标会议未携带有效的法定代表人身份证明原件和本人身份证的；委托代理人参加开标会议未携带有效的法定代表人授权书和本人身份证；</w:t>
      </w:r>
    </w:p>
    <w:p w14:paraId="6A94A0A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(3)投标人为本项目提供招标代理服务的；</w:t>
      </w:r>
    </w:p>
    <w:p w14:paraId="7FD35C33">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(4)投标人与在本项目代理机构存在相互任职或工作的；</w:t>
      </w:r>
    </w:p>
    <w:p w14:paraId="1D599A41">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5</w:t>
      </w:r>
      <w:r>
        <w:rPr>
          <w:rFonts w:hint="eastAsia" w:ascii="宋体" w:hAnsi="宋体" w:eastAsia="宋体" w:cs="宋体"/>
          <w:szCs w:val="21"/>
          <w:highlight w:val="none"/>
        </w:rPr>
        <w:t>)单位负责人为同一人或者存在直接控股、管理关系的不同单位的；</w:t>
      </w:r>
    </w:p>
    <w:p w14:paraId="29A30AA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6</w:t>
      </w:r>
      <w:r>
        <w:rPr>
          <w:rFonts w:hint="eastAsia" w:ascii="宋体" w:hAnsi="宋体" w:eastAsia="宋体" w:cs="宋体"/>
          <w:szCs w:val="21"/>
          <w:highlight w:val="none"/>
        </w:rPr>
        <w:t>)投标人基本资格条件和特定资格条件中有一项及以上不符合要求的；</w:t>
      </w:r>
    </w:p>
    <w:p w14:paraId="48FB3A2B">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7</w:t>
      </w:r>
      <w:r>
        <w:rPr>
          <w:rFonts w:hint="eastAsia" w:ascii="宋体" w:hAnsi="宋体" w:eastAsia="宋体" w:cs="宋体"/>
          <w:szCs w:val="21"/>
          <w:highlight w:val="none"/>
        </w:rPr>
        <w:t>)投标人单方面出现其他投标人材料的；</w:t>
      </w:r>
    </w:p>
    <w:p w14:paraId="38C3F72C">
      <w:pPr>
        <w:spacing w:line="440" w:lineRule="exact"/>
        <w:ind w:firstLine="420" w:firstLineChars="200"/>
        <w:jc w:val="left"/>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8</w:t>
      </w:r>
      <w:r>
        <w:rPr>
          <w:rFonts w:hint="eastAsia" w:ascii="宋体" w:hAnsi="宋体" w:eastAsia="宋体" w:cs="宋体"/>
          <w:szCs w:val="21"/>
          <w:highlight w:val="none"/>
        </w:rPr>
        <w:t>)</w:t>
      </w:r>
      <w:r>
        <w:rPr>
          <w:rFonts w:hint="eastAsia" w:ascii="宋体" w:hAnsi="宋体" w:eastAsia="宋体" w:cs="宋体"/>
          <w:szCs w:val="21"/>
          <w:highlight w:val="none"/>
          <w:lang w:eastAsia="zh-CN"/>
        </w:rPr>
        <w:t>招标文件</w:t>
      </w:r>
      <w:r>
        <w:rPr>
          <w:rFonts w:hint="eastAsia" w:ascii="宋体" w:hAnsi="宋体" w:eastAsia="宋体" w:cs="宋体"/>
          <w:szCs w:val="21"/>
          <w:highlight w:val="none"/>
        </w:rPr>
        <w:t>规定的其它无效投标情形。</w:t>
      </w:r>
    </w:p>
    <w:p w14:paraId="381B87B7">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4.审查结果</w:t>
      </w:r>
      <w:bookmarkEnd w:id="731"/>
      <w:bookmarkEnd w:id="732"/>
      <w:bookmarkEnd w:id="733"/>
      <w:bookmarkEnd w:id="734"/>
      <w:bookmarkEnd w:id="735"/>
      <w:bookmarkEnd w:id="736"/>
      <w:bookmarkEnd w:id="737"/>
    </w:p>
    <w:p w14:paraId="60910B80">
      <w:pPr>
        <w:spacing w:line="440" w:lineRule="exact"/>
        <w:ind w:firstLine="420" w:firstLineChars="200"/>
        <w:jc w:val="left"/>
        <w:rPr>
          <w:rFonts w:ascii="宋体" w:hAnsi="宋体" w:cs="宋体"/>
          <w:szCs w:val="21"/>
          <w:highlight w:val="none"/>
        </w:rPr>
      </w:pPr>
      <w:r>
        <w:rPr>
          <w:rFonts w:hint="eastAsia" w:ascii="宋体" w:hAnsi="宋体" w:cs="宋体"/>
          <w:highlight w:val="none"/>
        </w:rPr>
        <w:t>只有通过资格审查的投标人才能进入下一步的评标程序。</w:t>
      </w:r>
      <w:bookmarkStart w:id="738" w:name="_Toc506107323"/>
    </w:p>
    <w:p w14:paraId="14B5B762">
      <w:pPr>
        <w:pStyle w:val="6"/>
        <w:spacing w:beforeLines="50" w:afterLines="50"/>
        <w:rPr>
          <w:highlight w:val="none"/>
        </w:rPr>
      </w:pPr>
      <w:bookmarkStart w:id="739" w:name="_Toc35425111"/>
      <w:bookmarkStart w:id="740" w:name="_Toc15058912"/>
      <w:bookmarkStart w:id="741" w:name="_Toc35424945"/>
      <w:r>
        <w:rPr>
          <w:rFonts w:hint="eastAsia"/>
          <w:highlight w:val="none"/>
        </w:rPr>
        <w:br w:type="page"/>
      </w:r>
      <w:bookmarkStart w:id="742" w:name="_Toc78803380"/>
      <w:r>
        <w:rPr>
          <w:rFonts w:hint="eastAsia" w:ascii="Arial" w:hAnsi="Arial"/>
          <w:kern w:val="0"/>
          <w:sz w:val="32"/>
          <w:szCs w:val="32"/>
          <w:highlight w:val="none"/>
        </w:rPr>
        <w:t>第三章  评标办法</w:t>
      </w:r>
      <w:bookmarkEnd w:id="603"/>
      <w:bookmarkEnd w:id="738"/>
      <w:bookmarkEnd w:id="739"/>
      <w:bookmarkEnd w:id="740"/>
      <w:bookmarkEnd w:id="741"/>
      <w:bookmarkEnd w:id="742"/>
    </w:p>
    <w:p w14:paraId="7D6E66DB">
      <w:pPr>
        <w:pStyle w:val="7"/>
        <w:spacing w:beforeLines="50" w:afterLines="50"/>
        <w:ind w:firstLine="422" w:firstLineChars="200"/>
        <w:rPr>
          <w:rFonts w:hint="eastAsia" w:ascii="宋体" w:hAnsi="宋体" w:eastAsia="宋体" w:cs="宋体"/>
          <w:highlight w:val="none"/>
        </w:rPr>
      </w:pPr>
      <w:bookmarkStart w:id="743" w:name="_Toc31590"/>
      <w:bookmarkStart w:id="744" w:name="_Toc324404873"/>
      <w:bookmarkStart w:id="745" w:name="_Toc15058914"/>
      <w:bookmarkStart w:id="746" w:name="_Toc35425114"/>
      <w:bookmarkStart w:id="747" w:name="_Toc35424948"/>
      <w:bookmarkStart w:id="748" w:name="_Toc506107325"/>
      <w:bookmarkStart w:id="749" w:name="_Toc78803382"/>
      <w:bookmarkStart w:id="750" w:name="_Toc11945"/>
      <w:bookmarkStart w:id="751" w:name="_Toc296602478"/>
      <w:bookmarkStart w:id="752" w:name="_Toc246996976"/>
      <w:bookmarkStart w:id="753" w:name="_Toc179632608"/>
      <w:bookmarkStart w:id="754" w:name="_Toc246996233"/>
      <w:bookmarkStart w:id="755" w:name="_Toc247085748"/>
      <w:bookmarkStart w:id="756" w:name="_Toc152045590"/>
      <w:bookmarkStart w:id="757" w:name="_Toc144974557"/>
      <w:bookmarkStart w:id="758" w:name="_Toc152042367"/>
      <w:r>
        <w:rPr>
          <w:rFonts w:hint="eastAsia" w:ascii="宋体" w:hAnsi="宋体" w:eastAsia="宋体" w:cs="宋体"/>
          <w:highlight w:val="none"/>
        </w:rPr>
        <w:t>1. 评标方法</w:t>
      </w:r>
      <w:bookmarkEnd w:id="743"/>
    </w:p>
    <w:p w14:paraId="3C074E29">
      <w:pPr>
        <w:widowControl/>
        <w:spacing w:line="440" w:lineRule="exact"/>
        <w:ind w:firstLine="422" w:firstLineChars="200"/>
        <w:jc w:val="left"/>
        <w:rPr>
          <w:rFonts w:hint="eastAsia" w:ascii="宋体" w:hAnsi="宋体" w:cs="宋体"/>
          <w:b/>
          <w:color w:val="auto"/>
          <w:szCs w:val="21"/>
        </w:rPr>
      </w:pPr>
      <w:r>
        <w:rPr>
          <w:rFonts w:hint="eastAsia" w:ascii="宋体" w:hAnsi="宋体" w:cs="宋体"/>
          <w:b/>
          <w:color w:val="auto"/>
          <w:szCs w:val="21"/>
        </w:rPr>
        <w:t>本次评标采用经评审的最低投标价法。评标委员会对满足</w:t>
      </w:r>
      <w:r>
        <w:rPr>
          <w:rFonts w:hint="eastAsia" w:ascii="宋体" w:hAnsi="宋体" w:cs="宋体"/>
          <w:b/>
          <w:color w:val="auto"/>
          <w:szCs w:val="21"/>
          <w:lang w:eastAsia="zh-CN"/>
        </w:rPr>
        <w:t>招标文件</w:t>
      </w:r>
      <w:r>
        <w:rPr>
          <w:rFonts w:hint="eastAsia" w:ascii="宋体" w:hAnsi="宋体" w:cs="宋体"/>
          <w:b/>
          <w:color w:val="auto"/>
          <w:szCs w:val="21"/>
        </w:rPr>
        <w:t>实</w:t>
      </w:r>
      <w:bookmarkStart w:id="759" w:name="_Toc60061526"/>
      <w:r>
        <w:rPr>
          <w:rFonts w:hint="eastAsia" w:ascii="宋体" w:hAnsi="宋体" w:cs="宋体"/>
          <w:b/>
          <w:color w:val="auto"/>
          <w:szCs w:val="21"/>
        </w:rPr>
        <w:t>质性要求的投标</w:t>
      </w:r>
      <w:bookmarkEnd w:id="759"/>
      <w:r>
        <w:rPr>
          <w:rFonts w:hint="eastAsia" w:ascii="宋体" w:hAnsi="宋体" w:cs="宋体"/>
          <w:b/>
          <w:color w:val="auto"/>
          <w:szCs w:val="21"/>
        </w:rPr>
        <w:t>文件，最终按投标报价最低原则，推荐投标报价最低的为第一中标候选人，但投标报价低于其成本的除外。投标报价最低的投标人有两名或两名以上相同时，由招标人或评标委员会主任委员抽签确定第一中标候选人。</w:t>
      </w:r>
    </w:p>
    <w:p w14:paraId="735BFCE9">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2.评标委员会的职责</w:t>
      </w:r>
      <w:bookmarkEnd w:id="744"/>
      <w:bookmarkEnd w:id="745"/>
      <w:bookmarkEnd w:id="746"/>
      <w:bookmarkEnd w:id="747"/>
      <w:bookmarkEnd w:id="748"/>
      <w:bookmarkEnd w:id="749"/>
      <w:bookmarkEnd w:id="750"/>
    </w:p>
    <w:p w14:paraId="2B95209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7730D5E7">
      <w:pPr>
        <w:spacing w:line="440" w:lineRule="exact"/>
        <w:ind w:firstLine="420" w:firstLineChars="200"/>
        <w:jc w:val="left"/>
        <w:rPr>
          <w:rFonts w:ascii="宋体" w:hAnsi="宋体" w:cs="宋体"/>
          <w:szCs w:val="21"/>
          <w:highlight w:val="none"/>
        </w:rPr>
      </w:pPr>
      <w:bookmarkStart w:id="760" w:name="_Toc78803383"/>
      <w:r>
        <w:rPr>
          <w:rFonts w:hint="eastAsia" w:ascii="宋体" w:hAnsi="宋体" w:cs="宋体"/>
          <w:szCs w:val="21"/>
          <w:highlight w:val="none"/>
        </w:rPr>
        <w:t>评标委员会应加强对报价合理性审查。评标评审委员会认为投标人的报价明显低于其他通过符合性审查投标人的报价，有可能影响项目质量或者不能诚信履约的，应当要求其线上远程在开标大厅合理的时间内提供书面说明，必要时提交相关证明材料；投标人不能证明其报价合理性的，评标评审委员会应当将其作为无效投标处理。</w:t>
      </w:r>
      <w:bookmarkEnd w:id="760"/>
    </w:p>
    <w:p w14:paraId="3A6F8653">
      <w:pPr>
        <w:pStyle w:val="7"/>
        <w:spacing w:beforeLines="50" w:afterLines="50"/>
        <w:ind w:firstLine="422" w:firstLineChars="200"/>
        <w:rPr>
          <w:rFonts w:ascii="宋体" w:hAnsi="宋体" w:eastAsia="宋体" w:cs="宋体"/>
          <w:highlight w:val="none"/>
        </w:rPr>
      </w:pPr>
      <w:bookmarkStart w:id="761" w:name="_Toc15058915"/>
      <w:bookmarkStart w:id="762" w:name="_Toc17377"/>
      <w:bookmarkStart w:id="763" w:name="_Toc35425115"/>
      <w:bookmarkStart w:id="764" w:name="_Toc35424949"/>
      <w:bookmarkStart w:id="765" w:name="_Toc78803384"/>
      <w:bookmarkStart w:id="766" w:name="_Toc506107326"/>
      <w:bookmarkStart w:id="767" w:name="_Toc324404874"/>
      <w:r>
        <w:rPr>
          <w:rFonts w:hint="eastAsia" w:ascii="宋体" w:hAnsi="宋体" w:eastAsia="宋体" w:cs="宋体"/>
          <w:highlight w:val="none"/>
        </w:rPr>
        <w:t>3.评标程序</w:t>
      </w:r>
      <w:bookmarkEnd w:id="761"/>
      <w:bookmarkEnd w:id="762"/>
      <w:bookmarkEnd w:id="763"/>
      <w:bookmarkEnd w:id="764"/>
      <w:bookmarkEnd w:id="765"/>
      <w:bookmarkEnd w:id="766"/>
      <w:bookmarkEnd w:id="767"/>
    </w:p>
    <w:p w14:paraId="735598F5">
      <w:pPr>
        <w:pStyle w:val="7"/>
        <w:ind w:firstLine="422" w:firstLineChars="200"/>
        <w:rPr>
          <w:rFonts w:ascii="宋体" w:hAnsi="宋体" w:eastAsia="宋体" w:cs="宋体"/>
          <w:highlight w:val="none"/>
        </w:rPr>
      </w:pPr>
      <w:bookmarkStart w:id="768" w:name="_Toc78803385"/>
      <w:bookmarkStart w:id="769" w:name="_Toc15058916"/>
      <w:bookmarkStart w:id="770" w:name="_Toc35425116"/>
      <w:bookmarkStart w:id="771" w:name="_Toc27389"/>
      <w:bookmarkStart w:id="772" w:name="_Toc35424950"/>
      <w:r>
        <w:rPr>
          <w:rFonts w:hint="eastAsia" w:ascii="宋体" w:hAnsi="宋体" w:eastAsia="宋体" w:cs="宋体"/>
          <w:highlight w:val="none"/>
        </w:rPr>
        <w:t>3.1评标准备工作</w:t>
      </w:r>
      <w:bookmarkEnd w:id="768"/>
      <w:bookmarkEnd w:id="769"/>
      <w:bookmarkEnd w:id="770"/>
      <w:bookmarkEnd w:id="771"/>
      <w:bookmarkEnd w:id="772"/>
    </w:p>
    <w:p w14:paraId="4148752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评标委员会熟悉评标工作情况：</w:t>
      </w:r>
    </w:p>
    <w:p w14:paraId="6A20E53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（1）阅读由招标人或者其委托的工程代理机构编制的招标项目情况材料。</w:t>
      </w:r>
    </w:p>
    <w:p w14:paraId="462A434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0A4CDE7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3813D22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（4）核对评标工作用表。</w:t>
      </w:r>
    </w:p>
    <w:p w14:paraId="05EAC286">
      <w:pPr>
        <w:spacing w:line="440" w:lineRule="exact"/>
        <w:ind w:firstLine="422" w:firstLineChars="200"/>
        <w:rPr>
          <w:rFonts w:ascii="宋体" w:hAnsi="宋体" w:cs="宋体"/>
          <w:color w:val="auto"/>
          <w:szCs w:val="21"/>
          <w:highlight w:val="none"/>
        </w:rPr>
      </w:pPr>
      <w:bookmarkStart w:id="773" w:name="_Toc26895"/>
      <w:bookmarkStart w:id="774" w:name="_Toc18087"/>
      <w:bookmarkStart w:id="775" w:name="_Toc78803388"/>
      <w:bookmarkStart w:id="776" w:name="_Toc35425119"/>
      <w:bookmarkStart w:id="777" w:name="_Toc35424953"/>
      <w:bookmarkStart w:id="778" w:name="_Toc12200"/>
      <w:bookmarkStart w:id="779" w:name="_Toc324404875"/>
      <w:bookmarkStart w:id="780" w:name="_Toc35425120"/>
      <w:bookmarkStart w:id="781" w:name="_Toc15058919"/>
      <w:bookmarkStart w:id="782" w:name="_Toc506107327"/>
      <w:bookmarkStart w:id="783" w:name="_Toc35424954"/>
      <w:r>
        <w:rPr>
          <w:rStyle w:val="197"/>
          <w:rFonts w:hint="eastAsia" w:ascii="宋体" w:hAnsi="宋体" w:eastAsia="宋体" w:cs="宋体"/>
          <w:highlight w:val="none"/>
        </w:rPr>
        <w:t>3.</w:t>
      </w:r>
      <w:r>
        <w:rPr>
          <w:rStyle w:val="197"/>
          <w:rFonts w:hint="eastAsia" w:ascii="宋体" w:hAnsi="宋体" w:cs="宋体"/>
          <w:highlight w:val="none"/>
          <w:lang w:val="en-US"/>
        </w:rPr>
        <w:t>2</w:t>
      </w:r>
      <w:r>
        <w:rPr>
          <w:rStyle w:val="197"/>
          <w:rFonts w:hint="eastAsia" w:ascii="宋体" w:hAnsi="宋体" w:eastAsia="宋体" w:cs="宋体"/>
          <w:highlight w:val="none"/>
        </w:rPr>
        <w:t>推荐中标候选人</w:t>
      </w:r>
      <w:bookmarkEnd w:id="773"/>
      <w:bookmarkEnd w:id="774"/>
      <w:bookmarkEnd w:id="775"/>
      <w:bookmarkEnd w:id="776"/>
      <w:bookmarkEnd w:id="777"/>
      <w:r>
        <w:rPr>
          <w:rFonts w:hint="eastAsia" w:ascii="宋体" w:hAnsi="宋体" w:cs="宋体"/>
          <w:b/>
          <w:bCs/>
          <w:highlight w:val="none"/>
        </w:rPr>
        <w:t>：</w:t>
      </w:r>
      <w:r>
        <w:rPr>
          <w:rFonts w:hint="eastAsia" w:ascii="宋体" w:hAnsi="宋体" w:cs="宋体"/>
          <w:color w:val="auto"/>
          <w:szCs w:val="21"/>
          <w:highlight w:val="none"/>
          <w:lang w:val="en-US" w:eastAsia="zh-CN"/>
        </w:rPr>
        <w:t>资格审查、投标文件</w:t>
      </w:r>
      <w:r>
        <w:rPr>
          <w:rFonts w:hint="eastAsia" w:ascii="宋体" w:hAnsi="宋体" w:cs="宋体"/>
          <w:color w:val="auto"/>
          <w:szCs w:val="21"/>
          <w:highlight w:val="none"/>
        </w:rPr>
        <w:t>评审后，推荐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名</w:t>
      </w:r>
      <w:r>
        <w:rPr>
          <w:rFonts w:hint="eastAsia" w:ascii="宋体" w:hAnsi="宋体" w:cs="宋体"/>
          <w:color w:val="auto"/>
          <w:szCs w:val="21"/>
          <w:highlight w:val="none"/>
          <w:lang w:eastAsia="zh-CN"/>
        </w:rPr>
        <w:t>中标候选人</w:t>
      </w:r>
      <w:r>
        <w:rPr>
          <w:rFonts w:hint="eastAsia" w:ascii="宋体" w:hAnsi="宋体" w:cs="宋体"/>
          <w:color w:val="auto"/>
          <w:szCs w:val="21"/>
          <w:highlight w:val="none"/>
        </w:rPr>
        <w:t>，并标明排序。</w:t>
      </w:r>
    </w:p>
    <w:p w14:paraId="77C132CE">
      <w:pPr>
        <w:pStyle w:val="7"/>
        <w:spacing w:beforeLines="50" w:afterLines="50"/>
        <w:ind w:firstLine="422" w:firstLineChars="200"/>
        <w:rPr>
          <w:rFonts w:ascii="宋体" w:hAnsi="宋体" w:eastAsia="宋体" w:cs="宋体"/>
          <w:highlight w:val="none"/>
        </w:rPr>
      </w:pPr>
      <w:bookmarkStart w:id="784" w:name="_Toc78803389"/>
      <w:r>
        <w:rPr>
          <w:rFonts w:hint="eastAsia" w:ascii="宋体" w:hAnsi="宋体" w:eastAsia="宋体" w:cs="宋体"/>
          <w:highlight w:val="none"/>
        </w:rPr>
        <w:t>4.评审内容</w:t>
      </w:r>
      <w:bookmarkEnd w:id="778"/>
      <w:bookmarkEnd w:id="779"/>
      <w:bookmarkEnd w:id="780"/>
      <w:bookmarkEnd w:id="781"/>
      <w:bookmarkEnd w:id="782"/>
      <w:bookmarkEnd w:id="783"/>
      <w:bookmarkEnd w:id="784"/>
    </w:p>
    <w:p w14:paraId="2024F9D9">
      <w:pPr>
        <w:spacing w:line="440" w:lineRule="exact"/>
        <w:ind w:firstLine="420" w:firstLineChars="200"/>
        <w:jc w:val="left"/>
        <w:rPr>
          <w:rFonts w:hint="eastAsia" w:ascii="黑体" w:hAnsi="黑体" w:cs="黑体"/>
          <w:color w:val="auto"/>
          <w:szCs w:val="21"/>
          <w:highlight w:val="none"/>
        </w:rPr>
      </w:pPr>
      <w:bookmarkStart w:id="785" w:name="_Toc37230761"/>
      <w:bookmarkStart w:id="786" w:name="_Toc15058920"/>
      <w:bookmarkStart w:id="787" w:name="_Toc506107328"/>
      <w:bookmarkStart w:id="788" w:name="_Toc35425123"/>
      <w:bookmarkStart w:id="789" w:name="_Toc78803392"/>
      <w:bookmarkStart w:id="790" w:name="_Toc35424957"/>
      <w:bookmarkStart w:id="791" w:name="_Toc324404876"/>
      <w:bookmarkStart w:id="792" w:name="_Toc15058922"/>
      <w:bookmarkStart w:id="793" w:name="_Toc13125"/>
      <w:r>
        <w:rPr>
          <w:rFonts w:hint="eastAsia" w:ascii="黑体" w:hAnsi="黑体" w:cs="黑体"/>
          <w:color w:val="auto"/>
          <w:szCs w:val="21"/>
          <w:highlight w:val="none"/>
        </w:rPr>
        <w:t>4.1</w:t>
      </w:r>
      <w:bookmarkEnd w:id="785"/>
      <w:bookmarkEnd w:id="786"/>
      <w:bookmarkStart w:id="794" w:name="_Toc37230762"/>
      <w:bookmarkStart w:id="795" w:name="_Toc15058921"/>
      <w:r>
        <w:rPr>
          <w:rFonts w:hint="eastAsia" w:ascii="黑体" w:hAnsi="黑体" w:cs="黑体"/>
          <w:color w:val="auto"/>
          <w:szCs w:val="21"/>
          <w:highlight w:val="none"/>
          <w:lang w:val="en-US" w:eastAsia="zh-CN"/>
        </w:rPr>
        <w:t>投标文件</w:t>
      </w:r>
      <w:r>
        <w:rPr>
          <w:rFonts w:hint="eastAsia" w:ascii="黑体" w:hAnsi="黑体" w:cs="黑体"/>
          <w:color w:val="auto"/>
          <w:szCs w:val="21"/>
          <w:highlight w:val="none"/>
        </w:rPr>
        <w:t>评审</w:t>
      </w:r>
      <w:bookmarkEnd w:id="794"/>
      <w:bookmarkEnd w:id="795"/>
    </w:p>
    <w:p w14:paraId="52DC2245">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只有通过</w:t>
      </w:r>
      <w:r>
        <w:rPr>
          <w:rFonts w:hint="eastAsia" w:ascii="宋体" w:hAnsi="宋体" w:cs="宋体"/>
          <w:color w:val="auto"/>
          <w:szCs w:val="21"/>
          <w:highlight w:val="none"/>
          <w:lang w:val="en-US" w:eastAsia="zh-CN"/>
        </w:rPr>
        <w:t>资格</w:t>
      </w:r>
      <w:r>
        <w:rPr>
          <w:rFonts w:hint="eastAsia" w:ascii="宋体" w:hAnsi="宋体" w:cs="宋体"/>
          <w:color w:val="auto"/>
          <w:szCs w:val="21"/>
          <w:highlight w:val="none"/>
        </w:rPr>
        <w:t>评审的</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才能够进入本阶段评审。</w:t>
      </w:r>
    </w:p>
    <w:tbl>
      <w:tblPr>
        <w:tblStyle w:val="47"/>
        <w:tblW w:w="9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774"/>
        <w:gridCol w:w="801"/>
        <w:gridCol w:w="2165"/>
        <w:gridCol w:w="5346"/>
      </w:tblGrid>
      <w:tr w14:paraId="2F9A6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7" w:type="dxa"/>
            <w:gridSpan w:val="2"/>
            <w:noWrap w:val="0"/>
            <w:vAlign w:val="center"/>
          </w:tcPr>
          <w:p w14:paraId="731F3D43">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条款号</w:t>
            </w:r>
          </w:p>
        </w:tc>
        <w:tc>
          <w:tcPr>
            <w:tcW w:w="2966" w:type="dxa"/>
            <w:gridSpan w:val="2"/>
            <w:noWrap w:val="0"/>
            <w:vAlign w:val="center"/>
          </w:tcPr>
          <w:p w14:paraId="7A0BF28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评审因素</w:t>
            </w:r>
          </w:p>
        </w:tc>
        <w:tc>
          <w:tcPr>
            <w:tcW w:w="5346" w:type="dxa"/>
            <w:noWrap w:val="0"/>
            <w:vAlign w:val="center"/>
          </w:tcPr>
          <w:p w14:paraId="46CEB29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评审标准</w:t>
            </w:r>
          </w:p>
        </w:tc>
      </w:tr>
      <w:tr w14:paraId="368ED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restart"/>
            <w:noWrap w:val="0"/>
            <w:vAlign w:val="center"/>
          </w:tcPr>
          <w:p w14:paraId="40FE535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4.2.1</w:t>
            </w:r>
          </w:p>
        </w:tc>
        <w:tc>
          <w:tcPr>
            <w:tcW w:w="774" w:type="dxa"/>
            <w:vMerge w:val="restart"/>
            <w:noWrap w:val="0"/>
            <w:vAlign w:val="center"/>
          </w:tcPr>
          <w:p w14:paraId="5FBCA337">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形式评审标准</w:t>
            </w:r>
          </w:p>
        </w:tc>
        <w:tc>
          <w:tcPr>
            <w:tcW w:w="2966" w:type="dxa"/>
            <w:gridSpan w:val="2"/>
            <w:noWrap w:val="0"/>
            <w:vAlign w:val="center"/>
          </w:tcPr>
          <w:p w14:paraId="600F0A4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响应函签字盖章</w:t>
            </w:r>
          </w:p>
        </w:tc>
        <w:tc>
          <w:tcPr>
            <w:tcW w:w="5346" w:type="dxa"/>
            <w:noWrap w:val="0"/>
            <w:vAlign w:val="center"/>
          </w:tcPr>
          <w:p w14:paraId="207B47A7">
            <w:pPr>
              <w:spacing w:line="440" w:lineRule="exact"/>
              <w:jc w:val="left"/>
              <w:rPr>
                <w:rFonts w:hint="eastAsia" w:ascii="宋体" w:hAnsi="宋体" w:cs="宋体"/>
                <w:color w:val="auto"/>
                <w:szCs w:val="21"/>
                <w:highlight w:val="none"/>
              </w:rPr>
            </w:pPr>
            <w:r>
              <w:rPr>
                <w:rFonts w:hint="eastAsia" w:ascii="宋体" w:hAnsi="宋体"/>
                <w:color w:val="auto"/>
                <w:szCs w:val="21"/>
                <w:highlight w:val="none"/>
                <w:lang w:eastAsia="zh-CN"/>
              </w:rPr>
              <w:t>投标单位</w:t>
            </w:r>
            <w:r>
              <w:rPr>
                <w:rFonts w:hint="eastAsia" w:ascii="宋体" w:hAnsi="宋体"/>
                <w:color w:val="auto"/>
                <w:szCs w:val="21"/>
                <w:highlight w:val="none"/>
              </w:rPr>
              <w:t>及其法定代表人（或委托代理人）签字（或盖章）。</w:t>
            </w:r>
          </w:p>
        </w:tc>
      </w:tr>
      <w:tr w14:paraId="2C44C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noWrap w:val="0"/>
            <w:vAlign w:val="center"/>
          </w:tcPr>
          <w:p w14:paraId="7DF6BA7D">
            <w:pPr>
              <w:widowControl/>
              <w:spacing w:line="440" w:lineRule="exact"/>
              <w:jc w:val="left"/>
              <w:rPr>
                <w:rFonts w:hint="eastAsia" w:ascii="宋体" w:hAnsi="宋体" w:cs="宋体"/>
                <w:color w:val="auto"/>
                <w:szCs w:val="21"/>
                <w:highlight w:val="none"/>
              </w:rPr>
            </w:pPr>
          </w:p>
        </w:tc>
        <w:tc>
          <w:tcPr>
            <w:tcW w:w="774" w:type="dxa"/>
            <w:vMerge w:val="continue"/>
            <w:noWrap w:val="0"/>
            <w:vAlign w:val="center"/>
          </w:tcPr>
          <w:p w14:paraId="08FD90EA">
            <w:pPr>
              <w:widowControl/>
              <w:spacing w:line="440" w:lineRule="exact"/>
              <w:jc w:val="left"/>
              <w:rPr>
                <w:rFonts w:hint="eastAsia" w:ascii="宋体" w:hAnsi="宋体" w:cs="宋体"/>
                <w:color w:val="auto"/>
                <w:szCs w:val="21"/>
                <w:highlight w:val="none"/>
              </w:rPr>
            </w:pPr>
          </w:p>
        </w:tc>
        <w:tc>
          <w:tcPr>
            <w:tcW w:w="2966" w:type="dxa"/>
            <w:gridSpan w:val="2"/>
            <w:noWrap w:val="0"/>
            <w:vAlign w:val="center"/>
          </w:tcPr>
          <w:p w14:paraId="7737F3B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格式</w:t>
            </w:r>
          </w:p>
        </w:tc>
        <w:tc>
          <w:tcPr>
            <w:tcW w:w="5346" w:type="dxa"/>
            <w:noWrap w:val="0"/>
            <w:vAlign w:val="center"/>
          </w:tcPr>
          <w:p w14:paraId="430655E8">
            <w:pPr>
              <w:spacing w:line="440" w:lineRule="exact"/>
              <w:jc w:val="left"/>
              <w:rPr>
                <w:rFonts w:hint="eastAsia" w:ascii="宋体" w:hAnsi="宋体" w:cs="宋体"/>
                <w:color w:val="auto"/>
                <w:szCs w:val="21"/>
                <w:highlight w:val="none"/>
              </w:rPr>
            </w:pPr>
            <w:r>
              <w:rPr>
                <w:rFonts w:hint="eastAsia" w:ascii="宋体" w:hAnsi="宋体"/>
                <w:color w:val="auto"/>
                <w:szCs w:val="21"/>
                <w:highlight w:val="none"/>
              </w:rPr>
              <w:t>符合“</w:t>
            </w:r>
            <w:r>
              <w:rPr>
                <w:rFonts w:hint="eastAsia" w:ascii="宋体" w:hAnsi="宋体"/>
                <w:color w:val="auto"/>
                <w:szCs w:val="21"/>
                <w:highlight w:val="none"/>
                <w:lang w:eastAsia="zh-CN"/>
              </w:rPr>
              <w:t>投标文件</w:t>
            </w:r>
            <w:r>
              <w:rPr>
                <w:rFonts w:hint="eastAsia" w:ascii="宋体" w:hAnsi="宋体"/>
                <w:color w:val="auto"/>
                <w:szCs w:val="21"/>
                <w:highlight w:val="none"/>
              </w:rPr>
              <w:t>格式”的要求。</w:t>
            </w:r>
          </w:p>
        </w:tc>
      </w:tr>
      <w:tr w14:paraId="38D2F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noWrap w:val="0"/>
            <w:vAlign w:val="center"/>
          </w:tcPr>
          <w:p w14:paraId="21EE10A2">
            <w:pPr>
              <w:widowControl/>
              <w:spacing w:line="440" w:lineRule="exact"/>
              <w:jc w:val="left"/>
              <w:rPr>
                <w:rFonts w:hint="eastAsia" w:ascii="宋体" w:hAnsi="宋体" w:cs="宋体"/>
                <w:color w:val="auto"/>
                <w:szCs w:val="21"/>
                <w:highlight w:val="none"/>
              </w:rPr>
            </w:pPr>
          </w:p>
        </w:tc>
        <w:tc>
          <w:tcPr>
            <w:tcW w:w="774" w:type="dxa"/>
            <w:vMerge w:val="continue"/>
            <w:noWrap w:val="0"/>
            <w:vAlign w:val="center"/>
          </w:tcPr>
          <w:p w14:paraId="0B421C6B">
            <w:pPr>
              <w:widowControl/>
              <w:spacing w:line="440" w:lineRule="exact"/>
              <w:jc w:val="left"/>
              <w:rPr>
                <w:rFonts w:hint="eastAsia" w:ascii="宋体" w:hAnsi="宋体" w:cs="宋体"/>
                <w:color w:val="auto"/>
                <w:szCs w:val="21"/>
                <w:highlight w:val="none"/>
              </w:rPr>
            </w:pPr>
          </w:p>
        </w:tc>
        <w:tc>
          <w:tcPr>
            <w:tcW w:w="2966" w:type="dxa"/>
            <w:gridSpan w:val="2"/>
            <w:noWrap w:val="0"/>
            <w:vAlign w:val="center"/>
          </w:tcPr>
          <w:p w14:paraId="44612A37">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文件签字盖章</w:t>
            </w:r>
          </w:p>
        </w:tc>
        <w:tc>
          <w:tcPr>
            <w:tcW w:w="5346" w:type="dxa"/>
            <w:noWrap w:val="0"/>
            <w:vAlign w:val="center"/>
          </w:tcPr>
          <w:p w14:paraId="3A6ED9FD">
            <w:pPr>
              <w:spacing w:line="440" w:lineRule="exact"/>
              <w:jc w:val="left"/>
              <w:rPr>
                <w:rFonts w:hint="eastAsia" w:ascii="宋体" w:hAnsi="宋体" w:cs="宋体"/>
                <w:color w:val="auto"/>
                <w:szCs w:val="21"/>
                <w:highlight w:val="none"/>
              </w:rPr>
            </w:pPr>
            <w:r>
              <w:rPr>
                <w:rFonts w:hint="eastAsia" w:ascii="宋体" w:hAnsi="宋体"/>
                <w:color w:val="auto"/>
                <w:szCs w:val="21"/>
                <w:highlight w:val="none"/>
              </w:rPr>
              <w:t>按</w:t>
            </w:r>
            <w:r>
              <w:rPr>
                <w:rFonts w:hint="eastAsia" w:ascii="宋体" w:hAnsi="宋体"/>
                <w:color w:val="auto"/>
                <w:szCs w:val="21"/>
                <w:highlight w:val="none"/>
                <w:lang w:eastAsia="zh-CN"/>
              </w:rPr>
              <w:t>投标文件</w:t>
            </w:r>
            <w:r>
              <w:rPr>
                <w:rFonts w:hint="eastAsia" w:ascii="宋体" w:hAnsi="宋体"/>
                <w:color w:val="auto"/>
                <w:szCs w:val="21"/>
                <w:highlight w:val="none"/>
              </w:rPr>
              <w:t>格式要求签章</w:t>
            </w:r>
          </w:p>
        </w:tc>
      </w:tr>
      <w:tr w14:paraId="571F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noWrap w:val="0"/>
            <w:vAlign w:val="center"/>
          </w:tcPr>
          <w:p w14:paraId="73926EBB">
            <w:pPr>
              <w:widowControl/>
              <w:spacing w:line="440" w:lineRule="exact"/>
              <w:jc w:val="left"/>
              <w:rPr>
                <w:rFonts w:hint="eastAsia" w:ascii="宋体" w:hAnsi="宋体" w:cs="宋体"/>
                <w:color w:val="auto"/>
                <w:szCs w:val="21"/>
                <w:highlight w:val="none"/>
              </w:rPr>
            </w:pPr>
          </w:p>
        </w:tc>
        <w:tc>
          <w:tcPr>
            <w:tcW w:w="774" w:type="dxa"/>
            <w:vMerge w:val="continue"/>
            <w:noWrap w:val="0"/>
            <w:vAlign w:val="center"/>
          </w:tcPr>
          <w:p w14:paraId="418FCF66">
            <w:pPr>
              <w:widowControl/>
              <w:spacing w:line="440" w:lineRule="exact"/>
              <w:jc w:val="left"/>
              <w:rPr>
                <w:rFonts w:hint="eastAsia" w:ascii="宋体" w:hAnsi="宋体" w:cs="宋体"/>
                <w:color w:val="auto"/>
                <w:szCs w:val="21"/>
                <w:highlight w:val="none"/>
              </w:rPr>
            </w:pPr>
          </w:p>
        </w:tc>
        <w:tc>
          <w:tcPr>
            <w:tcW w:w="2966" w:type="dxa"/>
            <w:gridSpan w:val="2"/>
            <w:noWrap w:val="0"/>
            <w:vAlign w:val="center"/>
          </w:tcPr>
          <w:p w14:paraId="734FE573">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报价唯一</w:t>
            </w:r>
          </w:p>
        </w:tc>
        <w:tc>
          <w:tcPr>
            <w:tcW w:w="5346" w:type="dxa"/>
            <w:noWrap w:val="0"/>
            <w:vAlign w:val="center"/>
          </w:tcPr>
          <w:p w14:paraId="66DB80AE">
            <w:pPr>
              <w:spacing w:line="440" w:lineRule="exact"/>
              <w:jc w:val="left"/>
              <w:rPr>
                <w:rFonts w:hint="eastAsia" w:ascii="宋体" w:hAnsi="宋体" w:cs="宋体"/>
                <w:color w:val="auto"/>
                <w:szCs w:val="21"/>
                <w:highlight w:val="none"/>
              </w:rPr>
            </w:pPr>
            <w:r>
              <w:rPr>
                <w:rFonts w:hint="eastAsia" w:ascii="宋体" w:hAnsi="宋体"/>
                <w:color w:val="auto"/>
                <w:szCs w:val="21"/>
                <w:highlight w:val="none"/>
              </w:rPr>
              <w:t>只能有一个报价</w:t>
            </w:r>
          </w:p>
        </w:tc>
      </w:tr>
      <w:tr w14:paraId="1BECF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restart"/>
            <w:noWrap w:val="0"/>
            <w:vAlign w:val="center"/>
          </w:tcPr>
          <w:p w14:paraId="3A5AB54F">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4.2.2</w:t>
            </w:r>
          </w:p>
        </w:tc>
        <w:tc>
          <w:tcPr>
            <w:tcW w:w="774" w:type="dxa"/>
            <w:vMerge w:val="restart"/>
            <w:noWrap w:val="0"/>
            <w:vAlign w:val="center"/>
          </w:tcPr>
          <w:p w14:paraId="2C30395F">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响应性评审标准</w:t>
            </w:r>
          </w:p>
          <w:p w14:paraId="2B88B2AD">
            <w:pPr>
              <w:spacing w:line="440" w:lineRule="exact"/>
              <w:jc w:val="left"/>
              <w:rPr>
                <w:rFonts w:hint="eastAsia" w:ascii="宋体" w:hAnsi="宋体" w:cs="宋体"/>
                <w:color w:val="auto"/>
                <w:szCs w:val="21"/>
                <w:highlight w:val="none"/>
              </w:rPr>
            </w:pPr>
          </w:p>
        </w:tc>
        <w:tc>
          <w:tcPr>
            <w:tcW w:w="2966" w:type="dxa"/>
            <w:gridSpan w:val="2"/>
            <w:noWrap w:val="0"/>
            <w:vAlign w:val="center"/>
          </w:tcPr>
          <w:p w14:paraId="785A2288">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工期</w:t>
            </w:r>
          </w:p>
        </w:tc>
        <w:tc>
          <w:tcPr>
            <w:tcW w:w="5346" w:type="dxa"/>
            <w:noWrap w:val="0"/>
            <w:vAlign w:val="center"/>
          </w:tcPr>
          <w:p w14:paraId="6A0E141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须知前附表规定</w:t>
            </w:r>
          </w:p>
        </w:tc>
      </w:tr>
      <w:tr w14:paraId="12255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continue"/>
            <w:noWrap w:val="0"/>
            <w:vAlign w:val="center"/>
          </w:tcPr>
          <w:p w14:paraId="2C5979B0">
            <w:pPr>
              <w:widowControl/>
              <w:spacing w:line="440" w:lineRule="exact"/>
              <w:jc w:val="left"/>
              <w:rPr>
                <w:rFonts w:hint="eastAsia" w:ascii="宋体" w:hAnsi="宋体" w:cs="宋体"/>
                <w:color w:val="auto"/>
                <w:szCs w:val="21"/>
                <w:highlight w:val="none"/>
              </w:rPr>
            </w:pPr>
          </w:p>
        </w:tc>
        <w:tc>
          <w:tcPr>
            <w:tcW w:w="774" w:type="dxa"/>
            <w:vMerge w:val="continue"/>
            <w:noWrap w:val="0"/>
            <w:vAlign w:val="center"/>
          </w:tcPr>
          <w:p w14:paraId="0F244716">
            <w:pPr>
              <w:widowControl/>
              <w:spacing w:line="440" w:lineRule="exact"/>
              <w:jc w:val="left"/>
              <w:rPr>
                <w:rFonts w:hint="eastAsia" w:ascii="宋体" w:hAnsi="宋体" w:cs="宋体"/>
                <w:color w:val="auto"/>
                <w:szCs w:val="21"/>
                <w:highlight w:val="none"/>
              </w:rPr>
            </w:pPr>
          </w:p>
        </w:tc>
        <w:tc>
          <w:tcPr>
            <w:tcW w:w="2966" w:type="dxa"/>
            <w:gridSpan w:val="2"/>
            <w:noWrap w:val="0"/>
            <w:vAlign w:val="center"/>
          </w:tcPr>
          <w:p w14:paraId="1D5A4C60">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工程质量</w:t>
            </w:r>
          </w:p>
        </w:tc>
        <w:tc>
          <w:tcPr>
            <w:tcW w:w="5346" w:type="dxa"/>
            <w:noWrap w:val="0"/>
            <w:vAlign w:val="center"/>
          </w:tcPr>
          <w:p w14:paraId="2E626F76">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须知前附表规定</w:t>
            </w:r>
          </w:p>
        </w:tc>
      </w:tr>
      <w:tr w14:paraId="367E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73" w:type="dxa"/>
            <w:vMerge w:val="continue"/>
            <w:noWrap w:val="0"/>
            <w:vAlign w:val="center"/>
          </w:tcPr>
          <w:p w14:paraId="1D4DE04B">
            <w:pPr>
              <w:widowControl/>
              <w:spacing w:line="440" w:lineRule="exact"/>
              <w:jc w:val="left"/>
              <w:rPr>
                <w:rFonts w:hint="eastAsia" w:ascii="宋体" w:hAnsi="宋体" w:cs="宋体"/>
                <w:color w:val="auto"/>
                <w:szCs w:val="21"/>
                <w:highlight w:val="none"/>
              </w:rPr>
            </w:pPr>
          </w:p>
        </w:tc>
        <w:tc>
          <w:tcPr>
            <w:tcW w:w="774" w:type="dxa"/>
            <w:vMerge w:val="continue"/>
            <w:noWrap w:val="0"/>
            <w:vAlign w:val="center"/>
          </w:tcPr>
          <w:p w14:paraId="0A5EB005">
            <w:pPr>
              <w:widowControl/>
              <w:spacing w:line="440" w:lineRule="exact"/>
              <w:jc w:val="left"/>
              <w:rPr>
                <w:rFonts w:hint="eastAsia" w:ascii="宋体" w:hAnsi="宋体" w:cs="宋体"/>
                <w:color w:val="auto"/>
                <w:szCs w:val="21"/>
                <w:highlight w:val="none"/>
              </w:rPr>
            </w:pPr>
          </w:p>
        </w:tc>
        <w:tc>
          <w:tcPr>
            <w:tcW w:w="2966" w:type="dxa"/>
            <w:gridSpan w:val="2"/>
            <w:noWrap w:val="0"/>
            <w:vAlign w:val="center"/>
          </w:tcPr>
          <w:p w14:paraId="74A8FD37">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有效期</w:t>
            </w:r>
          </w:p>
        </w:tc>
        <w:tc>
          <w:tcPr>
            <w:tcW w:w="5346" w:type="dxa"/>
            <w:noWrap w:val="0"/>
            <w:vAlign w:val="center"/>
          </w:tcPr>
          <w:p w14:paraId="75EBBC42">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符合</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须知前附表规定</w:t>
            </w:r>
          </w:p>
        </w:tc>
      </w:tr>
      <w:tr w14:paraId="2B46D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3" w:type="dxa"/>
            <w:vMerge w:val="restart"/>
            <w:noWrap w:val="0"/>
            <w:vAlign w:val="center"/>
          </w:tcPr>
          <w:p w14:paraId="4C974E65">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4.2</w:t>
            </w:r>
          </w:p>
        </w:tc>
        <w:tc>
          <w:tcPr>
            <w:tcW w:w="774" w:type="dxa"/>
            <w:vMerge w:val="restart"/>
            <w:noWrap w:val="0"/>
            <w:vAlign w:val="center"/>
          </w:tcPr>
          <w:p w14:paraId="61EBA99A">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详细评审标准</w:t>
            </w:r>
          </w:p>
          <w:p w14:paraId="54D94799">
            <w:pPr>
              <w:snapToGrid w:val="0"/>
              <w:spacing w:line="440" w:lineRule="exact"/>
              <w:jc w:val="left"/>
              <w:rPr>
                <w:rFonts w:hint="eastAsia" w:ascii="宋体" w:hAnsi="宋体" w:cs="宋体"/>
                <w:color w:val="auto"/>
                <w:szCs w:val="21"/>
                <w:highlight w:val="none"/>
              </w:rPr>
            </w:pPr>
          </w:p>
        </w:tc>
        <w:tc>
          <w:tcPr>
            <w:tcW w:w="2966" w:type="dxa"/>
            <w:gridSpan w:val="2"/>
            <w:noWrap w:val="0"/>
            <w:vAlign w:val="center"/>
          </w:tcPr>
          <w:p w14:paraId="110CAC0F">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报价评审</w:t>
            </w:r>
          </w:p>
        </w:tc>
        <w:tc>
          <w:tcPr>
            <w:tcW w:w="5346" w:type="dxa"/>
            <w:noWrap w:val="0"/>
            <w:vAlign w:val="center"/>
          </w:tcPr>
          <w:p w14:paraId="4AAC1DF4">
            <w:pPr>
              <w:keepNext w:val="0"/>
              <w:keepLines w:val="0"/>
              <w:pageBreakBefore w:val="0"/>
              <w:widowControl w:val="0"/>
              <w:kinsoku/>
              <w:wordWrap w:val="0"/>
              <w:overflowPunct/>
              <w:topLinePunct w:val="0"/>
              <w:autoSpaceDE/>
              <w:autoSpaceDN/>
              <w:bidi w:val="0"/>
              <w:adjustRightInd/>
              <w:snapToGrid w:val="0"/>
              <w:spacing w:line="440" w:lineRule="exact"/>
              <w:jc w:val="left"/>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不得高于最高</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限价，也不得低于工程成本价</w:t>
            </w:r>
            <w:r>
              <w:rPr>
                <w:rFonts w:hint="eastAsia" w:ascii="宋体" w:hAnsi="宋体" w:cs="宋体"/>
                <w:color w:val="auto"/>
                <w:szCs w:val="21"/>
                <w:highlight w:val="none"/>
                <w:lang w:eastAsia="zh-CN"/>
              </w:rPr>
              <w:t>。</w:t>
            </w:r>
          </w:p>
          <w:p w14:paraId="7DECA149">
            <w:pPr>
              <w:pStyle w:val="2"/>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hAnsi="宋体" w:cs="宋体"/>
                <w:color w:val="auto"/>
                <w:kern w:val="2"/>
                <w:sz w:val="21"/>
                <w:szCs w:val="21"/>
                <w:highlight w:val="none"/>
                <w:lang w:val="en-US" w:eastAsia="zh-CN" w:bidi="ar-SA"/>
              </w:rPr>
              <w:t>2、投标</w:t>
            </w:r>
            <w:r>
              <w:rPr>
                <w:rFonts w:hint="eastAsia" w:ascii="宋体" w:hAnsi="宋体" w:eastAsia="宋体" w:cs="宋体"/>
                <w:color w:val="auto"/>
                <w:kern w:val="2"/>
                <w:sz w:val="21"/>
                <w:szCs w:val="21"/>
                <w:highlight w:val="none"/>
                <w:lang w:val="en-US" w:eastAsia="zh-CN" w:bidi="ar-SA"/>
              </w:rPr>
              <w:t>报价评审时，各投标人的监理费用按换算后的投标报价（扣除其可抵扣的进项税后），暂按14300000元计算各投标人的监理费用投标报价。</w:t>
            </w:r>
          </w:p>
          <w:p w14:paraId="304E736F">
            <w:pPr>
              <w:pStyle w:val="2"/>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例如，投标监理费率为</w:t>
            </w:r>
            <w:r>
              <w:rPr>
                <w:rFonts w:hint="eastAsia" w:hAnsi="宋体" w:cs="宋体"/>
                <w:color w:val="auto"/>
                <w:kern w:val="2"/>
                <w:sz w:val="21"/>
                <w:szCs w:val="21"/>
                <w:highlight w:val="none"/>
                <w:lang w:val="en-US" w:eastAsia="zh-CN" w:bidi="ar-SA"/>
              </w:rPr>
              <w:t>0.78</w:t>
            </w:r>
            <w:r>
              <w:rPr>
                <w:rFonts w:hint="eastAsia" w:ascii="宋体" w:hAnsi="宋体" w:eastAsia="宋体" w:cs="宋体"/>
                <w:color w:val="auto"/>
                <w:kern w:val="2"/>
                <w:sz w:val="21"/>
                <w:szCs w:val="21"/>
                <w:highlight w:val="none"/>
                <w:lang w:val="en-US" w:eastAsia="zh-CN" w:bidi="ar-SA"/>
              </w:rPr>
              <w:t>%</w:t>
            </w:r>
            <w:r>
              <w:rPr>
                <w:rFonts w:hint="eastAsia"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可抵扣的进项</w:t>
            </w:r>
            <w:r>
              <w:rPr>
                <w:rFonts w:hint="eastAsia" w:hAnsi="宋体" w:cs="宋体"/>
                <w:color w:val="auto"/>
                <w:kern w:val="2"/>
                <w:sz w:val="21"/>
                <w:szCs w:val="21"/>
                <w:highlight w:val="none"/>
                <w:lang w:val="en-US" w:eastAsia="zh-CN" w:bidi="ar-SA"/>
              </w:rPr>
              <w:t>税率为6%，</w:t>
            </w:r>
            <w:r>
              <w:rPr>
                <w:rFonts w:hint="eastAsia" w:ascii="宋体" w:hAnsi="宋体" w:eastAsia="宋体" w:cs="宋体"/>
                <w:color w:val="auto"/>
                <w:kern w:val="2"/>
                <w:sz w:val="21"/>
                <w:szCs w:val="21"/>
                <w:highlight w:val="none"/>
                <w:lang w:val="en-US" w:eastAsia="zh-CN" w:bidi="ar-SA"/>
              </w:rPr>
              <w:t>则</w:t>
            </w:r>
            <w:r>
              <w:rPr>
                <w:rFonts w:hint="eastAsia" w:hAnsi="宋体" w:cs="宋体"/>
                <w:color w:val="auto"/>
                <w:kern w:val="2"/>
                <w:sz w:val="21"/>
                <w:szCs w:val="21"/>
                <w:highlight w:val="none"/>
                <w:lang w:val="en-US" w:eastAsia="zh-CN" w:bidi="ar-SA"/>
              </w:rPr>
              <w:t>其评审的</w:t>
            </w:r>
            <w:r>
              <w:rPr>
                <w:rFonts w:hint="eastAsia" w:ascii="宋体" w:hAnsi="宋体" w:eastAsia="宋体" w:cs="宋体"/>
                <w:color w:val="auto"/>
                <w:kern w:val="2"/>
                <w:sz w:val="21"/>
                <w:szCs w:val="21"/>
                <w:highlight w:val="none"/>
                <w:lang w:val="en-US" w:eastAsia="zh-CN" w:bidi="ar-SA"/>
              </w:rPr>
              <w:t>投标报价为</w:t>
            </w:r>
            <w:r>
              <w:rPr>
                <w:rFonts w:hint="eastAsia" w:hAnsi="宋体" w:cs="宋体"/>
                <w:color w:val="auto"/>
                <w:kern w:val="2"/>
                <w:sz w:val="21"/>
                <w:szCs w:val="21"/>
                <w:highlight w:val="none"/>
                <w:lang w:val="en-US" w:eastAsia="zh-CN" w:bidi="ar-SA"/>
              </w:rPr>
              <w:t>1430</w:t>
            </w:r>
            <w:r>
              <w:rPr>
                <w:rFonts w:hint="eastAsia" w:ascii="宋体" w:hAnsi="宋体" w:eastAsia="宋体" w:cs="宋体"/>
                <w:color w:val="auto"/>
                <w:kern w:val="2"/>
                <w:sz w:val="21"/>
                <w:szCs w:val="21"/>
                <w:highlight w:val="none"/>
                <w:lang w:val="en-US" w:eastAsia="zh-CN" w:bidi="ar-SA"/>
              </w:rPr>
              <w:t>0000*0.</w:t>
            </w:r>
            <w:r>
              <w:rPr>
                <w:rFonts w:hint="eastAsia" w:hAnsi="宋体" w:cs="宋体"/>
                <w:color w:val="auto"/>
                <w:kern w:val="2"/>
                <w:sz w:val="21"/>
                <w:szCs w:val="21"/>
                <w:highlight w:val="none"/>
                <w:lang w:val="en-US" w:eastAsia="zh-CN" w:bidi="ar-SA"/>
              </w:rPr>
              <w:t>7</w:t>
            </w:r>
            <w:r>
              <w:rPr>
                <w:rFonts w:hint="eastAsia" w:ascii="宋体" w:hAnsi="宋体" w:eastAsia="宋体" w:cs="宋体"/>
                <w:color w:val="auto"/>
                <w:kern w:val="2"/>
                <w:sz w:val="21"/>
                <w:szCs w:val="21"/>
                <w:highlight w:val="none"/>
                <w:lang w:val="en-US" w:eastAsia="zh-CN" w:bidi="ar-SA"/>
              </w:rPr>
              <w:t>8%</w:t>
            </w:r>
            <w:r>
              <w:rPr>
                <w:rFonts w:hint="eastAsia" w:hAnsi="宋体" w:cs="宋体"/>
                <w:color w:val="auto"/>
                <w:kern w:val="2"/>
                <w:sz w:val="21"/>
                <w:szCs w:val="21"/>
                <w:highlight w:val="none"/>
                <w:lang w:val="en-US" w:eastAsia="zh-CN" w:bidi="ar-SA"/>
              </w:rPr>
              <w:t>/（1+6%）=105226.41</w:t>
            </w:r>
            <w:r>
              <w:rPr>
                <w:rFonts w:hint="eastAsia" w:ascii="宋体" w:hAnsi="宋体" w:eastAsia="宋体" w:cs="宋体"/>
                <w:color w:val="auto"/>
                <w:kern w:val="2"/>
                <w:sz w:val="21"/>
                <w:szCs w:val="21"/>
                <w:highlight w:val="none"/>
                <w:lang w:val="en-US" w:eastAsia="zh-CN" w:bidi="ar-SA"/>
              </w:rPr>
              <w:t>元。</w:t>
            </w:r>
          </w:p>
          <w:p w14:paraId="7FBB60B9">
            <w:pPr>
              <w:pStyle w:val="2"/>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投标报价仅用于商务评分，最终按投标费率签订合同。</w:t>
            </w:r>
          </w:p>
        </w:tc>
      </w:tr>
      <w:tr w14:paraId="3BDAA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873" w:type="dxa"/>
            <w:vMerge w:val="continue"/>
            <w:noWrap w:val="0"/>
            <w:vAlign w:val="center"/>
          </w:tcPr>
          <w:p w14:paraId="671E2C69">
            <w:pPr>
              <w:snapToGrid w:val="0"/>
              <w:spacing w:line="440" w:lineRule="exact"/>
              <w:jc w:val="left"/>
              <w:rPr>
                <w:rFonts w:hint="eastAsia" w:ascii="宋体" w:hAnsi="宋体" w:cs="宋体"/>
                <w:color w:val="auto"/>
                <w:szCs w:val="21"/>
                <w:highlight w:val="none"/>
              </w:rPr>
            </w:pPr>
          </w:p>
        </w:tc>
        <w:tc>
          <w:tcPr>
            <w:tcW w:w="774" w:type="dxa"/>
            <w:vMerge w:val="continue"/>
            <w:noWrap w:val="0"/>
            <w:vAlign w:val="center"/>
          </w:tcPr>
          <w:p w14:paraId="25A956C8">
            <w:pPr>
              <w:snapToGrid w:val="0"/>
              <w:spacing w:line="440" w:lineRule="exact"/>
              <w:jc w:val="left"/>
              <w:rPr>
                <w:rFonts w:hint="eastAsia" w:ascii="宋体" w:hAnsi="宋体" w:cs="宋体"/>
                <w:color w:val="auto"/>
                <w:szCs w:val="21"/>
                <w:highlight w:val="none"/>
              </w:rPr>
            </w:pPr>
          </w:p>
        </w:tc>
        <w:tc>
          <w:tcPr>
            <w:tcW w:w="801" w:type="dxa"/>
            <w:vMerge w:val="restart"/>
            <w:noWrap w:val="0"/>
            <w:vAlign w:val="center"/>
          </w:tcPr>
          <w:p w14:paraId="5C92360E">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工程成本评 审</w:t>
            </w:r>
          </w:p>
        </w:tc>
        <w:tc>
          <w:tcPr>
            <w:tcW w:w="7511" w:type="dxa"/>
            <w:gridSpan w:val="2"/>
            <w:noWrap w:val="0"/>
            <w:vAlign w:val="center"/>
          </w:tcPr>
          <w:p w14:paraId="09213072">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报价出现下列情形之一的，由评审委员会重点评审后界定其报价是否低于工程成本</w:t>
            </w:r>
          </w:p>
        </w:tc>
      </w:tr>
      <w:tr w14:paraId="20845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873" w:type="dxa"/>
            <w:vMerge w:val="continue"/>
            <w:noWrap w:val="0"/>
            <w:vAlign w:val="center"/>
          </w:tcPr>
          <w:p w14:paraId="04EED908">
            <w:pPr>
              <w:snapToGrid w:val="0"/>
              <w:spacing w:line="440" w:lineRule="exact"/>
              <w:jc w:val="left"/>
              <w:rPr>
                <w:rFonts w:hint="eastAsia" w:ascii="宋体" w:hAnsi="宋体" w:cs="宋体"/>
                <w:color w:val="auto"/>
                <w:szCs w:val="21"/>
                <w:highlight w:val="none"/>
              </w:rPr>
            </w:pPr>
          </w:p>
        </w:tc>
        <w:tc>
          <w:tcPr>
            <w:tcW w:w="774" w:type="dxa"/>
            <w:vMerge w:val="continue"/>
            <w:noWrap w:val="0"/>
            <w:vAlign w:val="center"/>
          </w:tcPr>
          <w:p w14:paraId="706E40B7">
            <w:pPr>
              <w:snapToGrid w:val="0"/>
              <w:spacing w:line="440" w:lineRule="exact"/>
              <w:jc w:val="left"/>
              <w:rPr>
                <w:rFonts w:hint="eastAsia" w:ascii="宋体" w:hAnsi="宋体" w:cs="宋体"/>
                <w:color w:val="auto"/>
                <w:szCs w:val="21"/>
                <w:highlight w:val="none"/>
              </w:rPr>
            </w:pPr>
          </w:p>
        </w:tc>
        <w:tc>
          <w:tcPr>
            <w:tcW w:w="801" w:type="dxa"/>
            <w:vMerge w:val="continue"/>
            <w:noWrap w:val="0"/>
            <w:vAlign w:val="center"/>
          </w:tcPr>
          <w:p w14:paraId="193D2226">
            <w:pPr>
              <w:snapToGrid w:val="0"/>
              <w:spacing w:line="440" w:lineRule="exact"/>
              <w:jc w:val="left"/>
              <w:rPr>
                <w:rFonts w:hint="eastAsia" w:ascii="宋体" w:hAnsi="宋体" w:cs="宋体"/>
                <w:color w:val="auto"/>
                <w:szCs w:val="21"/>
                <w:highlight w:val="none"/>
              </w:rPr>
            </w:pPr>
          </w:p>
        </w:tc>
        <w:tc>
          <w:tcPr>
            <w:tcW w:w="2165" w:type="dxa"/>
            <w:noWrap w:val="0"/>
            <w:vAlign w:val="center"/>
          </w:tcPr>
          <w:p w14:paraId="31CA1EEE">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w:t>
            </w:r>
          </w:p>
        </w:tc>
        <w:tc>
          <w:tcPr>
            <w:tcW w:w="5346" w:type="dxa"/>
            <w:noWrap w:val="0"/>
            <w:vAlign w:val="center"/>
          </w:tcPr>
          <w:p w14:paraId="051FB671">
            <w:pPr>
              <w:snapToGrid w:val="0"/>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评审投标</w:t>
            </w:r>
            <w:r>
              <w:rPr>
                <w:rFonts w:hint="eastAsia" w:ascii="宋体" w:hAnsi="宋体" w:cs="宋体"/>
                <w:color w:val="auto"/>
                <w:szCs w:val="21"/>
                <w:highlight w:val="none"/>
              </w:rPr>
              <w:t>报价低于同一工程有效</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w:t>
            </w:r>
            <w:r>
              <w:rPr>
                <w:rFonts w:hint="eastAsia" w:ascii="宋体" w:hAnsi="宋体" w:cs="宋体"/>
                <w:color w:val="auto"/>
                <w:szCs w:val="21"/>
                <w:highlight w:val="none"/>
                <w:lang w:val="en-US" w:eastAsia="zh-CN"/>
              </w:rPr>
              <w:t>评审价的</w:t>
            </w:r>
            <w:r>
              <w:rPr>
                <w:rFonts w:hint="eastAsia" w:ascii="宋体" w:hAnsi="宋体" w:cs="宋体"/>
                <w:color w:val="auto"/>
                <w:szCs w:val="21"/>
                <w:highlight w:val="none"/>
              </w:rPr>
              <w:t>平均值10%以上</w:t>
            </w:r>
          </w:p>
        </w:tc>
      </w:tr>
    </w:tbl>
    <w:p w14:paraId="0A6F679A">
      <w:pPr>
        <w:spacing w:line="440" w:lineRule="exact"/>
        <w:ind w:left="420" w:leftChars="200"/>
        <w:jc w:val="left"/>
        <w:rPr>
          <w:rFonts w:hint="eastAsia" w:ascii="宋体" w:hAnsi="宋体" w:cs="宋体"/>
          <w:color w:val="auto"/>
          <w:szCs w:val="21"/>
          <w:highlight w:val="none"/>
        </w:rPr>
      </w:pPr>
      <w:r>
        <w:rPr>
          <w:rFonts w:hint="eastAsia" w:ascii="宋体" w:hAnsi="宋体" w:cs="宋体"/>
          <w:color w:val="auto"/>
          <w:szCs w:val="21"/>
          <w:highlight w:val="none"/>
        </w:rPr>
        <w:t>评审委员会依据上述标准对</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进行初步评审。有一项不符合评审标准的，作无效</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处理。</w:t>
      </w:r>
    </w:p>
    <w:p w14:paraId="10A9613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4.2详细评审标准：见评审表。</w:t>
      </w:r>
    </w:p>
    <w:p w14:paraId="55CB7A6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4.2.1评审委员会审查</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，审核包括工程</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报价的校核、审查全部数据计算的正确性、分析各种费用构成的合理性和正确性等内容，看其是否有计算或表达上的错误，</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报价有错误的，评审委员会按以下原则对</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报价进行修正。</w:t>
      </w:r>
    </w:p>
    <w:p w14:paraId="5AC5098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中的大写金额与小写金额不一致的，以大写金额为准。</w:t>
      </w:r>
    </w:p>
    <w:p w14:paraId="46A407E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（2）总价金额与依据单价计算出的结果不一致的，以单价金额为准修正总价，但单价金额小数点有明显错误的除外。</w:t>
      </w:r>
    </w:p>
    <w:p w14:paraId="606D950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按上述修正错误的原则及方法调整或修正</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的投标报价，调整或修正的价格经</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书面确认后具有约束力。中</w:t>
      </w:r>
      <w:r>
        <w:rPr>
          <w:rFonts w:hint="eastAsia" w:ascii="宋体" w:hAnsi="宋体" w:cs="宋体"/>
          <w:color w:val="auto"/>
          <w:szCs w:val="21"/>
          <w:highlight w:val="none"/>
          <w:lang w:val="en-US" w:eastAsia="zh-CN"/>
        </w:rPr>
        <w:t>标</w:t>
      </w:r>
      <w:r>
        <w:rPr>
          <w:rFonts w:hint="eastAsia" w:ascii="宋体" w:hAnsi="宋体" w:cs="宋体"/>
          <w:color w:val="auto"/>
          <w:szCs w:val="21"/>
          <w:highlight w:val="none"/>
        </w:rPr>
        <w:t>价原则上以调整或修正后的价格为准，调整或修正后的价格与</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报价相比，价格低的为中</w:t>
      </w:r>
      <w:r>
        <w:rPr>
          <w:rFonts w:hint="eastAsia" w:ascii="宋体" w:hAnsi="宋体" w:cs="宋体"/>
          <w:color w:val="auto"/>
          <w:szCs w:val="21"/>
          <w:highlight w:val="none"/>
          <w:lang w:val="en-US" w:eastAsia="zh-CN"/>
        </w:rPr>
        <w:t>标</w:t>
      </w:r>
      <w:r>
        <w:rPr>
          <w:rFonts w:hint="eastAsia" w:ascii="宋体" w:hAnsi="宋体" w:cs="宋体"/>
          <w:color w:val="auto"/>
          <w:szCs w:val="21"/>
          <w:highlight w:val="none"/>
        </w:rPr>
        <w:t>价。</w:t>
      </w:r>
      <w:r>
        <w:rPr>
          <w:rFonts w:hint="eastAsia" w:ascii="宋体" w:hAnsi="宋体" w:cs="宋体"/>
          <w:color w:val="auto"/>
          <w:szCs w:val="21"/>
          <w:highlight w:val="none"/>
          <w:lang w:eastAsia="zh-CN"/>
        </w:rPr>
        <w:t>投标单位</w:t>
      </w:r>
      <w:r>
        <w:rPr>
          <w:rFonts w:hint="eastAsia" w:ascii="宋体" w:hAnsi="宋体" w:cs="宋体"/>
          <w:color w:val="auto"/>
          <w:szCs w:val="21"/>
          <w:highlight w:val="none"/>
        </w:rPr>
        <w:t>不接受的，其</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将被拒绝。</w:t>
      </w:r>
    </w:p>
    <w:p w14:paraId="211BE771">
      <w:pPr>
        <w:pStyle w:val="7"/>
        <w:spacing w:beforeLines="50" w:afterLines="50"/>
        <w:ind w:firstLine="422" w:firstLineChars="200"/>
        <w:rPr>
          <w:rFonts w:ascii="宋体" w:hAnsi="宋体" w:eastAsia="宋体" w:cs="宋体"/>
          <w:highlight w:val="none"/>
        </w:rPr>
      </w:pPr>
      <w:r>
        <w:rPr>
          <w:rFonts w:hint="eastAsia" w:ascii="宋体" w:hAnsi="宋体" w:eastAsia="宋体" w:cs="宋体"/>
          <w:highlight w:val="none"/>
        </w:rPr>
        <w:t>5.无效投标条款</w:t>
      </w:r>
      <w:bookmarkEnd w:id="787"/>
      <w:bookmarkEnd w:id="788"/>
      <w:bookmarkEnd w:id="789"/>
      <w:bookmarkEnd w:id="790"/>
      <w:bookmarkEnd w:id="791"/>
      <w:bookmarkEnd w:id="792"/>
      <w:bookmarkEnd w:id="793"/>
    </w:p>
    <w:p w14:paraId="0403F93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5.1投标人存在下列情形的招标人将拒收投标文件：</w:t>
      </w:r>
    </w:p>
    <w:p w14:paraId="52F4DB4A">
      <w:pPr>
        <w:spacing w:line="400" w:lineRule="exact"/>
        <w:ind w:firstLine="420" w:firstLineChars="200"/>
        <w:rPr>
          <w:rFonts w:hint="eastAsia" w:ascii="宋体"/>
          <w:color w:val="auto"/>
          <w:szCs w:val="21"/>
        </w:rPr>
      </w:pPr>
      <w:r>
        <w:rPr>
          <w:rFonts w:hint="eastAsia" w:ascii="宋体" w:hAnsi="宋体" w:cs="宋体"/>
          <w:color w:val="auto"/>
          <w:szCs w:val="21"/>
        </w:rPr>
        <w:t xml:space="preserve"> </w:t>
      </w:r>
      <w:r>
        <w:rPr>
          <w:rFonts w:hint="eastAsia" w:ascii="宋体"/>
          <w:color w:val="auto"/>
          <w:szCs w:val="21"/>
        </w:rPr>
        <w:t>(1)逾期送达的或者未送达指定地点的投标文件的，投标将被拒绝。</w:t>
      </w:r>
    </w:p>
    <w:p w14:paraId="7387025F">
      <w:pPr>
        <w:spacing w:line="400" w:lineRule="exact"/>
        <w:ind w:firstLine="420" w:firstLineChars="200"/>
        <w:rPr>
          <w:rFonts w:hint="eastAsia" w:ascii="宋体"/>
          <w:color w:val="auto"/>
          <w:szCs w:val="21"/>
        </w:rPr>
      </w:pPr>
      <w:r>
        <w:rPr>
          <w:rFonts w:hint="eastAsia" w:ascii="宋体" w:hAnsi="宋体" w:cs="宋体"/>
          <w:color w:val="auto"/>
          <w:szCs w:val="21"/>
        </w:rPr>
        <w:t xml:space="preserve"> </w:t>
      </w:r>
      <w:r>
        <w:rPr>
          <w:rFonts w:hint="eastAsia" w:ascii="宋体"/>
          <w:color w:val="auto"/>
          <w:szCs w:val="21"/>
        </w:rPr>
        <w:t>(</w:t>
      </w:r>
      <w:r>
        <w:rPr>
          <w:rFonts w:hint="eastAsia" w:ascii="宋体"/>
          <w:color w:val="auto"/>
          <w:szCs w:val="21"/>
          <w:lang w:val="en-US" w:eastAsia="zh-CN"/>
        </w:rPr>
        <w:t>2</w:t>
      </w:r>
      <w:r>
        <w:rPr>
          <w:rFonts w:hint="eastAsia" w:ascii="宋体"/>
          <w:color w:val="auto"/>
          <w:szCs w:val="21"/>
        </w:rPr>
        <w:t>)未按第二章第</w:t>
      </w:r>
      <w:r>
        <w:rPr>
          <w:rFonts w:hint="eastAsia" w:ascii="宋体"/>
          <w:color w:val="auto"/>
          <w:szCs w:val="21"/>
          <w:lang w:val="en-US" w:eastAsia="zh-CN"/>
        </w:rPr>
        <w:t>4</w:t>
      </w:r>
      <w:r>
        <w:rPr>
          <w:rFonts w:hint="eastAsia" w:ascii="宋体"/>
          <w:color w:val="auto"/>
          <w:szCs w:val="21"/>
        </w:rPr>
        <w:t>项</w:t>
      </w:r>
      <w:r>
        <w:rPr>
          <w:rFonts w:hint="eastAsia" w:ascii="宋体"/>
          <w:color w:val="auto"/>
          <w:szCs w:val="21"/>
          <w:lang w:val="en-US" w:eastAsia="zh-CN"/>
        </w:rPr>
        <w:t>中</w:t>
      </w:r>
      <w:r>
        <w:rPr>
          <w:rFonts w:hint="eastAsia" w:ascii="宋体"/>
          <w:color w:val="auto"/>
          <w:szCs w:val="21"/>
        </w:rPr>
        <w:t>要求密封和加写标记的投标文件，其投标文件将被拒收。</w:t>
      </w:r>
    </w:p>
    <w:p w14:paraId="2728148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w:t>
      </w:r>
      <w:r>
        <w:rPr>
          <w:rFonts w:hint="eastAsia" w:ascii="宋体" w:hAnsi="宋体" w:cs="宋体"/>
          <w:szCs w:val="21"/>
          <w:highlight w:val="none"/>
          <w:lang w:val="en-US" w:eastAsia="zh-CN"/>
        </w:rPr>
        <w:t>2</w:t>
      </w:r>
      <w:r>
        <w:rPr>
          <w:rFonts w:hint="eastAsia" w:ascii="宋体" w:hAnsi="宋体" w:cs="宋体"/>
          <w:szCs w:val="21"/>
          <w:highlight w:val="none"/>
        </w:rPr>
        <w:t>投标人有下列情形的，经评审后其投标作无效投标处理无效投标：</w:t>
      </w:r>
    </w:p>
    <w:p w14:paraId="172D0C0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w:t>
      </w:r>
      <w:r>
        <w:rPr>
          <w:rFonts w:hint="eastAsia" w:ascii="宋体" w:hAnsi="宋体" w:cs="宋体"/>
          <w:szCs w:val="21"/>
          <w:highlight w:val="none"/>
          <w:lang w:val="en-US" w:eastAsia="zh-CN"/>
        </w:rPr>
        <w:t>2</w:t>
      </w:r>
      <w:r>
        <w:rPr>
          <w:rFonts w:hint="eastAsia" w:ascii="宋体" w:hAnsi="宋体" w:cs="宋体"/>
          <w:szCs w:val="21"/>
          <w:highlight w:val="none"/>
        </w:rPr>
        <w:t>.1</w:t>
      </w:r>
      <w:r>
        <w:rPr>
          <w:rFonts w:hint="eastAsia" w:ascii="宋体" w:hAnsi="宋体" w:cs="宋体"/>
          <w:szCs w:val="21"/>
          <w:highlight w:val="none"/>
          <w:lang w:val="en-US" w:eastAsia="zh-CN"/>
        </w:rPr>
        <w:t>投标文件</w:t>
      </w:r>
      <w:r>
        <w:rPr>
          <w:rFonts w:hint="eastAsia" w:ascii="宋体" w:hAnsi="宋体" w:cs="宋体"/>
          <w:szCs w:val="21"/>
          <w:highlight w:val="none"/>
        </w:rPr>
        <w:t>评审</w:t>
      </w:r>
    </w:p>
    <w:p w14:paraId="6EBE5CA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(1)评标委员会依据《评审表》进行形式性评审和响应性评审。有一项不符合评审标准的，做无效投标处理；</w:t>
      </w:r>
    </w:p>
    <w:p w14:paraId="3B696FD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（2）详细评审标准中有任何一项不能通过评审的，作无效投标处理。</w:t>
      </w:r>
    </w:p>
    <w:p w14:paraId="2DD5505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w:t>
      </w:r>
      <w:r>
        <w:rPr>
          <w:rFonts w:hint="eastAsia" w:ascii="宋体" w:hAnsi="宋体" w:cs="宋体"/>
          <w:szCs w:val="21"/>
          <w:highlight w:val="none"/>
          <w:lang w:val="en-US" w:eastAsia="zh-CN"/>
        </w:rPr>
        <w:t>3</w:t>
      </w:r>
      <w:r>
        <w:rPr>
          <w:rFonts w:hint="eastAsia" w:ascii="宋体" w:hAnsi="宋体" w:cs="宋体"/>
          <w:szCs w:val="21"/>
          <w:highlight w:val="none"/>
        </w:rPr>
        <w:t>其他无效投标情况：</w:t>
      </w:r>
    </w:p>
    <w:p w14:paraId="43C9A24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744E23E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EAD860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）投标人有串通投标、弄虚作假、行贿等违法行为。</w:t>
      </w:r>
    </w:p>
    <w:p w14:paraId="0DDF13E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）投标文件没有对招标文件的实质性要求和条件作出响应。</w:t>
      </w:r>
    </w:p>
    <w:p w14:paraId="263316A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）未按规定的格式填写导致实质性内容不全以及实质上不响应，或者关键字迹模糊、无法辨认。</w:t>
      </w:r>
    </w:p>
    <w:p w14:paraId="0AA9B61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）同一投标人提交两个以上不同的投标文件或者投标报价，但招标文件规定提交备选投标的除外。</w:t>
      </w:r>
    </w:p>
    <w:p w14:paraId="7D6DC9D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）投标文件中存在招标人不能接受的其他实质性条件。</w:t>
      </w:r>
    </w:p>
    <w:p w14:paraId="6F4CCA4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）投标文件中填报的拟任项目负责人与资格审查通过的项目负责人前后不一致的。</w:t>
      </w:r>
    </w:p>
    <w:p w14:paraId="200FDE4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9</w:t>
      </w:r>
      <w:r>
        <w:rPr>
          <w:rFonts w:hint="eastAsia" w:ascii="宋体" w:hAnsi="宋体" w:cs="宋体"/>
          <w:szCs w:val="21"/>
          <w:highlight w:val="none"/>
        </w:rPr>
        <w:t>）投标人拒不按照要求对投标文件进行澄清、说明、补正的，或评标委员会根据招标文件的规定对招标文件的计算错误进行修正后，投标人不接受修正的投标报价的。</w:t>
      </w:r>
    </w:p>
    <w:p w14:paraId="179CD51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）投标人单方面出现其他投标人材料。</w:t>
      </w:r>
    </w:p>
    <w:p w14:paraId="58BC9A3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）法律、法规规定的其他情形。</w:t>
      </w:r>
    </w:p>
    <w:p w14:paraId="6A5D8059">
      <w:pPr>
        <w:pStyle w:val="7"/>
        <w:spacing w:beforeLines="50" w:afterLines="50"/>
        <w:ind w:firstLine="422" w:firstLineChars="200"/>
        <w:rPr>
          <w:rFonts w:ascii="宋体" w:hAnsi="宋体" w:eastAsia="宋体" w:cs="宋体"/>
          <w:highlight w:val="none"/>
        </w:rPr>
      </w:pPr>
      <w:bookmarkStart w:id="796" w:name="_Toc35425124"/>
      <w:bookmarkStart w:id="797" w:name="_Toc15058923"/>
      <w:bookmarkStart w:id="798" w:name="_Toc27846"/>
      <w:bookmarkStart w:id="799" w:name="_Toc78803393"/>
      <w:bookmarkStart w:id="800" w:name="_Toc506107329"/>
      <w:bookmarkStart w:id="801" w:name="_Toc324404877"/>
      <w:bookmarkStart w:id="802" w:name="_Toc35424958"/>
      <w:r>
        <w:rPr>
          <w:rFonts w:hint="eastAsia" w:ascii="宋体" w:hAnsi="宋体" w:eastAsia="宋体" w:cs="宋体"/>
          <w:highlight w:val="none"/>
        </w:rPr>
        <w:t>6.投标文件的澄清和补正</w:t>
      </w:r>
      <w:bookmarkEnd w:id="796"/>
      <w:bookmarkEnd w:id="797"/>
      <w:bookmarkEnd w:id="798"/>
      <w:bookmarkEnd w:id="799"/>
      <w:bookmarkEnd w:id="800"/>
      <w:bookmarkEnd w:id="801"/>
      <w:bookmarkEnd w:id="802"/>
    </w:p>
    <w:p w14:paraId="5516B79E">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6CE11A7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6.2澄清、说明和补正不得改变投标文件的实质性内容（算术性错误修正的除外）。投标人的书面澄清、说明和补正属于投标文件的组成部分。</w:t>
      </w:r>
    </w:p>
    <w:p w14:paraId="19C2A63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6.3评标委员会对投标人提交的澄清、说明和补正有疑问的，可以要求投标人进一步澄清、说明或补正、直至满足评标委员会的要求。</w:t>
      </w:r>
    </w:p>
    <w:p w14:paraId="153A75B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按照投标文件规定进行澄清、补正后的投标报价经投标人的法定代表人或其委托代理人确认后即为该投标人的最终投标报价。投标人一旦中标，此报价即为中标价。</w:t>
      </w:r>
    </w:p>
    <w:p w14:paraId="2441B8CE">
      <w:pPr>
        <w:pStyle w:val="7"/>
        <w:spacing w:beforeLines="50" w:afterLines="50"/>
        <w:ind w:firstLine="422" w:firstLineChars="200"/>
        <w:rPr>
          <w:rFonts w:ascii="宋体" w:hAnsi="宋体" w:eastAsia="宋体" w:cs="宋体"/>
          <w:highlight w:val="none"/>
        </w:rPr>
      </w:pPr>
      <w:bookmarkStart w:id="803" w:name="_Toc35425126"/>
      <w:bookmarkStart w:id="804" w:name="_Toc78803395"/>
      <w:bookmarkStart w:id="805" w:name="_Toc15058925"/>
      <w:bookmarkStart w:id="806" w:name="_Toc506107331"/>
      <w:bookmarkStart w:id="807" w:name="_Toc22863"/>
      <w:bookmarkStart w:id="808" w:name="_Toc35424960"/>
      <w:bookmarkStart w:id="809" w:name="_Toc324404879"/>
      <w:r>
        <w:rPr>
          <w:rFonts w:hint="eastAsia" w:ascii="宋体" w:hAnsi="宋体" w:eastAsia="宋体" w:cs="宋体"/>
          <w:highlight w:val="none"/>
          <w:lang w:val="en-US" w:eastAsia="zh-CN"/>
        </w:rPr>
        <w:t>7</w:t>
      </w:r>
      <w:r>
        <w:rPr>
          <w:rFonts w:hint="eastAsia" w:ascii="宋体" w:hAnsi="宋体" w:eastAsia="宋体" w:cs="宋体"/>
          <w:highlight w:val="none"/>
        </w:rPr>
        <w:t>.评审结果</w:t>
      </w:r>
      <w:bookmarkEnd w:id="803"/>
      <w:bookmarkEnd w:id="804"/>
      <w:bookmarkEnd w:id="805"/>
      <w:bookmarkEnd w:id="806"/>
      <w:bookmarkEnd w:id="807"/>
      <w:bookmarkEnd w:id="808"/>
      <w:bookmarkEnd w:id="809"/>
    </w:p>
    <w:p w14:paraId="595237F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.1除投标人须知前附表授权直接确定中标人外，评标委员会按照</w:t>
      </w:r>
      <w:r>
        <w:rPr>
          <w:rFonts w:hint="eastAsia" w:ascii="宋体" w:hAnsi="宋体" w:cs="宋体"/>
          <w:color w:val="auto"/>
          <w:szCs w:val="21"/>
          <w:highlight w:val="none"/>
          <w:lang w:val="en-US" w:eastAsia="zh-CN"/>
        </w:rPr>
        <w:t>评标</w:t>
      </w:r>
      <w:r>
        <w:rPr>
          <w:rFonts w:hint="eastAsia" w:ascii="宋体" w:hAnsi="宋体" w:cs="宋体"/>
          <w:color w:val="auto"/>
          <w:szCs w:val="21"/>
          <w:highlight w:val="none"/>
        </w:rPr>
        <w:t>办法规定</w:t>
      </w:r>
      <w:r>
        <w:rPr>
          <w:rFonts w:hint="eastAsia" w:ascii="宋体" w:hAnsi="宋体" w:cs="宋体"/>
          <w:szCs w:val="21"/>
          <w:highlight w:val="none"/>
        </w:rPr>
        <w:t>推荐中标候选人。</w:t>
      </w:r>
    </w:p>
    <w:p w14:paraId="258287E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.2评标委员会完成评标后，应当向招标人提交书面评标报告。评标报告应当如实记载以下内容：</w:t>
      </w:r>
    </w:p>
    <w:p w14:paraId="5D018A6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（1）基本情况和数据表。</w:t>
      </w:r>
    </w:p>
    <w:p w14:paraId="63558EEA">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（2）评标委员会成员名单。</w:t>
      </w:r>
    </w:p>
    <w:p w14:paraId="119DF47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（3）开标记录。</w:t>
      </w:r>
    </w:p>
    <w:p w14:paraId="0706DBC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（4）符合要求的投标人一览表。</w:t>
      </w:r>
    </w:p>
    <w:p w14:paraId="65499F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（5）废标情况说明。</w:t>
      </w:r>
    </w:p>
    <w:p w14:paraId="662848E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（6）评标标准、评标方法或者评标因素。</w:t>
      </w:r>
    </w:p>
    <w:p w14:paraId="5CA70B9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（7）经评审的价格一览表。</w:t>
      </w:r>
    </w:p>
    <w:p w14:paraId="33A9FDF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（8）经评审的投标人排序。</w:t>
      </w:r>
    </w:p>
    <w:p w14:paraId="7768731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（9）推荐的中标候选人名单与签订合同前要处理的事宜。</w:t>
      </w:r>
    </w:p>
    <w:p w14:paraId="6753149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353D7F4C">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8.3评标委员会推荐的中标候选人应当限定在</w:t>
      </w:r>
      <w:r>
        <w:rPr>
          <w:rFonts w:hint="eastAsia" w:ascii="宋体" w:hAnsi="宋体" w:cs="宋体"/>
          <w:color w:val="auto"/>
          <w:szCs w:val="21"/>
          <w:highlight w:val="none"/>
          <w:u w:val="single"/>
          <w:lang w:val="en-US" w:eastAsia="zh-CN"/>
        </w:rPr>
        <w:t xml:space="preserve">3 </w:t>
      </w:r>
      <w:r>
        <w:rPr>
          <w:rFonts w:hint="eastAsia" w:ascii="宋体" w:hAnsi="宋体" w:cs="宋体"/>
          <w:color w:val="auto"/>
          <w:szCs w:val="21"/>
          <w:highlight w:val="none"/>
        </w:rPr>
        <w:t>名。</w:t>
      </w:r>
    </w:p>
    <w:p w14:paraId="07EAA14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8.4依法必须进行招标的项目，招标人应当确定排名第一的中标候选人为中标人。第一中标候选人放弃中标、因不可抗力提出不能履行合同，不按招标文件要求提交履约保证金，或者被查实存在影响中标结果的违法行为等情形，不符合中标条件的，投标保证金不予退还，招标人可以按照评标委员会提出的中标候选人名单排序依次确定其他中标候选人为中标人，也可以依法重新组织招标。</w:t>
      </w:r>
    </w:p>
    <w:p w14:paraId="310873F9">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06AAE553">
      <w:pPr>
        <w:pStyle w:val="7"/>
        <w:spacing w:beforeLines="50" w:afterLines="50"/>
        <w:ind w:firstLine="422" w:firstLineChars="200"/>
        <w:rPr>
          <w:rFonts w:ascii="宋体" w:hAnsi="宋体" w:eastAsia="宋体" w:cs="宋体"/>
          <w:highlight w:val="none"/>
        </w:rPr>
      </w:pPr>
      <w:bookmarkStart w:id="810" w:name="_Toc35425127"/>
      <w:bookmarkStart w:id="811" w:name="_Toc15058926"/>
      <w:bookmarkStart w:id="812" w:name="_Toc78803396"/>
      <w:bookmarkStart w:id="813" w:name="_Toc506107332"/>
      <w:bookmarkStart w:id="814" w:name="_Toc1576"/>
      <w:bookmarkStart w:id="815" w:name="_Toc324404880"/>
      <w:bookmarkStart w:id="816" w:name="_Toc35424961"/>
      <w:r>
        <w:rPr>
          <w:rFonts w:hint="eastAsia" w:ascii="宋体" w:hAnsi="宋体" w:eastAsia="宋体" w:cs="宋体"/>
          <w:highlight w:val="none"/>
        </w:rPr>
        <w:t>9.其他</w:t>
      </w:r>
      <w:bookmarkEnd w:id="810"/>
      <w:bookmarkEnd w:id="811"/>
      <w:bookmarkEnd w:id="812"/>
      <w:bookmarkEnd w:id="813"/>
      <w:bookmarkEnd w:id="814"/>
      <w:bookmarkEnd w:id="815"/>
      <w:bookmarkEnd w:id="816"/>
    </w:p>
    <w:p w14:paraId="6389B533">
      <w:pPr>
        <w:spacing w:line="440" w:lineRule="exact"/>
        <w:ind w:firstLine="420" w:firstLineChars="200"/>
        <w:jc w:val="left"/>
        <w:rPr>
          <w:highlight w:val="none"/>
        </w:rPr>
      </w:pPr>
      <w:r>
        <w:rPr>
          <w:rFonts w:hint="eastAsia" w:ascii="宋体" w:hAnsi="宋体" w:cs="宋体"/>
          <w:szCs w:val="21"/>
          <w:highlight w:val="none"/>
        </w:rPr>
        <w:t>投标人提供的与投标文件有关的各类证书、证明、文件、资料等的真实性、合法性由投标人负全责。</w:t>
      </w:r>
      <w:bookmarkEnd w:id="751"/>
      <w:bookmarkEnd w:id="752"/>
      <w:bookmarkEnd w:id="753"/>
      <w:bookmarkEnd w:id="754"/>
      <w:bookmarkEnd w:id="755"/>
      <w:bookmarkEnd w:id="756"/>
      <w:bookmarkEnd w:id="757"/>
      <w:bookmarkEnd w:id="758"/>
      <w:bookmarkStart w:id="817" w:name="_Toc324404881"/>
      <w:bookmarkStart w:id="818" w:name="_Toc246996252"/>
      <w:bookmarkStart w:id="819" w:name="_Toc246996995"/>
      <w:bookmarkStart w:id="820" w:name="_Toc417623601"/>
      <w:bookmarkStart w:id="821" w:name="_Toc247085767"/>
      <w:bookmarkStart w:id="822" w:name="_Toc152042387"/>
      <w:bookmarkStart w:id="823" w:name="_Toc144974577"/>
      <w:bookmarkStart w:id="824" w:name="_Toc152045609"/>
      <w:bookmarkStart w:id="825" w:name="_Toc179632627"/>
    </w:p>
    <w:bookmarkEnd w:id="817"/>
    <w:bookmarkEnd w:id="818"/>
    <w:bookmarkEnd w:id="819"/>
    <w:bookmarkEnd w:id="820"/>
    <w:bookmarkEnd w:id="821"/>
    <w:bookmarkEnd w:id="822"/>
    <w:bookmarkEnd w:id="823"/>
    <w:bookmarkEnd w:id="824"/>
    <w:bookmarkEnd w:id="825"/>
    <w:p w14:paraId="4DE7C586">
      <w:pPr>
        <w:rPr>
          <w:rFonts w:hint="eastAsia"/>
        </w:rPr>
      </w:pPr>
      <w:bookmarkStart w:id="826" w:name="_Toc15058927"/>
      <w:bookmarkStart w:id="827" w:name="_Toc35425128"/>
      <w:bookmarkStart w:id="828" w:name="_Toc506107333"/>
      <w:bookmarkStart w:id="829" w:name="_Toc35424962"/>
      <w:bookmarkStart w:id="830" w:name="_Toc152045767"/>
      <w:bookmarkStart w:id="831" w:name="_Toc144974826"/>
      <w:bookmarkStart w:id="832" w:name="_Toc152042546"/>
      <w:bookmarkStart w:id="833" w:name="_Toc179632785"/>
      <w:r>
        <w:rPr>
          <w:rFonts w:hint="eastAsia"/>
          <w:highlight w:val="none"/>
        </w:rPr>
        <w:br w:type="page"/>
      </w:r>
      <w:bookmarkStart w:id="834" w:name="_Toc78803397"/>
    </w:p>
    <w:bookmarkEnd w:id="826"/>
    <w:bookmarkEnd w:id="827"/>
    <w:bookmarkEnd w:id="828"/>
    <w:bookmarkEnd w:id="829"/>
    <w:bookmarkEnd w:id="834"/>
    <w:p w14:paraId="23935356">
      <w:pPr>
        <w:pStyle w:val="6"/>
      </w:pPr>
      <w:bookmarkStart w:id="835" w:name="_Toc16721"/>
      <w:r>
        <w:rPr>
          <w:rFonts w:hint="eastAsia" w:ascii="Arial" w:hAnsi="Arial"/>
          <w:kern w:val="0"/>
          <w:sz w:val="32"/>
          <w:szCs w:val="32"/>
        </w:rPr>
        <w:t>第</w:t>
      </w:r>
      <w:r>
        <w:rPr>
          <w:rFonts w:hint="eastAsia" w:ascii="Arial" w:hAnsi="Arial"/>
          <w:kern w:val="0"/>
          <w:sz w:val="32"/>
          <w:szCs w:val="32"/>
          <w:lang w:val="en-US" w:eastAsia="zh-CN"/>
        </w:rPr>
        <w:t>四</w:t>
      </w:r>
      <w:r>
        <w:rPr>
          <w:rFonts w:hint="eastAsia" w:ascii="Arial" w:hAnsi="Arial"/>
          <w:kern w:val="0"/>
          <w:sz w:val="32"/>
          <w:szCs w:val="32"/>
        </w:rPr>
        <w:t>章  合同条款及格式</w:t>
      </w:r>
      <w:bookmarkEnd w:id="835"/>
    </w:p>
    <w:p w14:paraId="1F2D2D53">
      <w:pPr>
        <w:spacing w:line="360" w:lineRule="auto"/>
        <w:jc w:val="center"/>
        <w:rPr>
          <w:rFonts w:ascii="仿宋_GB2312" w:eastAsia="仿宋_GB2312"/>
          <w:b/>
          <w:sz w:val="28"/>
          <w:szCs w:val="28"/>
        </w:rPr>
      </w:pPr>
    </w:p>
    <w:p w14:paraId="7247B7F2">
      <w:pPr>
        <w:spacing w:line="360" w:lineRule="auto"/>
        <w:rPr>
          <w:rFonts w:hint="eastAsia" w:ascii="华文中宋" w:hAnsi="华文中宋" w:eastAsia="华文中宋"/>
          <w:b/>
          <w:bCs/>
          <w:sz w:val="48"/>
          <w:szCs w:val="48"/>
        </w:rPr>
      </w:pPr>
      <w:r>
        <w:rPr>
          <w:rFonts w:hint="eastAsia" w:ascii="仿宋_GB2312" w:eastAsia="仿宋_GB2312"/>
          <w:b/>
          <w:sz w:val="32"/>
          <w:szCs w:val="32"/>
        </w:rPr>
        <w:t>（ＧＦ－2012－0202）</w:t>
      </w:r>
    </w:p>
    <w:p w14:paraId="336FA747">
      <w:pPr>
        <w:spacing w:line="360" w:lineRule="auto"/>
        <w:jc w:val="center"/>
        <w:rPr>
          <w:rFonts w:hint="eastAsia" w:ascii="华文中宋" w:hAnsi="华文中宋" w:eastAsia="华文中宋"/>
          <w:b/>
          <w:bCs/>
          <w:sz w:val="48"/>
          <w:szCs w:val="48"/>
        </w:rPr>
      </w:pPr>
    </w:p>
    <w:p w14:paraId="4A349E8C">
      <w:pPr>
        <w:spacing w:line="360" w:lineRule="auto"/>
        <w:jc w:val="center"/>
        <w:rPr>
          <w:rFonts w:hint="eastAsia" w:ascii="华文中宋" w:hAnsi="华文中宋" w:eastAsia="华文中宋"/>
          <w:b/>
          <w:bCs/>
          <w:sz w:val="52"/>
          <w:szCs w:val="52"/>
        </w:rPr>
      </w:pPr>
      <w:r>
        <w:rPr>
          <w:rFonts w:hint="eastAsia" w:ascii="华文中宋" w:hAnsi="华文中宋" w:eastAsia="华文中宋"/>
          <w:b/>
          <w:bCs/>
          <w:sz w:val="52"/>
          <w:szCs w:val="52"/>
        </w:rPr>
        <w:t>建设工程监理合同</w:t>
      </w:r>
    </w:p>
    <w:p w14:paraId="3126978A">
      <w:pPr>
        <w:spacing w:line="360" w:lineRule="auto"/>
        <w:jc w:val="center"/>
        <w:rPr>
          <w:rFonts w:hint="eastAsia" w:ascii="华文楷体" w:hAnsi="华文楷体" w:eastAsia="华文楷体"/>
          <w:b/>
          <w:bCs/>
          <w:sz w:val="52"/>
          <w:szCs w:val="52"/>
        </w:rPr>
      </w:pPr>
      <w:r>
        <w:rPr>
          <w:rFonts w:hint="eastAsia" w:ascii="华文楷体" w:hAnsi="华文楷体" w:eastAsia="华文楷体"/>
          <w:b/>
          <w:bCs/>
          <w:sz w:val="52"/>
          <w:szCs w:val="52"/>
          <w:lang w:eastAsia="zh-CN"/>
        </w:rPr>
        <w:t>（</w:t>
      </w:r>
      <w:r>
        <w:rPr>
          <w:rFonts w:hint="eastAsia" w:ascii="华文楷体" w:hAnsi="华文楷体" w:eastAsia="华文楷体"/>
          <w:b/>
          <w:bCs/>
          <w:sz w:val="52"/>
          <w:szCs w:val="52"/>
        </w:rPr>
        <w:t>示范文本</w:t>
      </w:r>
      <w:r>
        <w:rPr>
          <w:rFonts w:hint="eastAsia" w:ascii="华文楷体" w:hAnsi="华文楷体" w:eastAsia="华文楷体"/>
          <w:b/>
          <w:bCs/>
          <w:sz w:val="52"/>
          <w:szCs w:val="52"/>
          <w:lang w:eastAsia="zh-CN"/>
        </w:rPr>
        <w:t>）</w:t>
      </w:r>
    </w:p>
    <w:p w14:paraId="3EC3F1B7">
      <w:pPr>
        <w:rPr>
          <w:rFonts w:hint="eastAsia"/>
        </w:rPr>
      </w:pPr>
    </w:p>
    <w:p w14:paraId="404C50E7">
      <w:pPr>
        <w:spacing w:line="360" w:lineRule="auto"/>
        <w:rPr>
          <w:rFonts w:hint="eastAsia" w:ascii="仿宋_GB2312" w:hAnsi="宋体" w:eastAsia="仿宋_GB2312"/>
          <w:b/>
          <w:bCs/>
          <w:sz w:val="24"/>
        </w:rPr>
      </w:pPr>
    </w:p>
    <w:p w14:paraId="1224D053">
      <w:pPr>
        <w:pStyle w:val="2"/>
        <w:rPr>
          <w:rFonts w:hint="eastAsia" w:ascii="仿宋_GB2312" w:hAnsi="宋体" w:eastAsia="仿宋_GB2312"/>
          <w:b/>
          <w:bCs/>
          <w:sz w:val="24"/>
        </w:rPr>
      </w:pPr>
    </w:p>
    <w:p w14:paraId="4F618688">
      <w:pPr>
        <w:rPr>
          <w:rFonts w:hint="eastAsia" w:ascii="仿宋_GB2312" w:hAnsi="宋体" w:eastAsia="仿宋_GB2312"/>
          <w:b/>
          <w:bCs/>
          <w:sz w:val="24"/>
        </w:rPr>
      </w:pPr>
    </w:p>
    <w:p w14:paraId="7FC903F7">
      <w:pPr>
        <w:pStyle w:val="2"/>
        <w:rPr>
          <w:rFonts w:hint="eastAsia" w:ascii="仿宋_GB2312" w:hAnsi="宋体" w:eastAsia="仿宋_GB2312"/>
          <w:b/>
          <w:bCs/>
          <w:sz w:val="24"/>
        </w:rPr>
      </w:pPr>
    </w:p>
    <w:p w14:paraId="441BA694">
      <w:pPr>
        <w:rPr>
          <w:rFonts w:hint="eastAsia" w:ascii="仿宋_GB2312" w:hAnsi="宋体" w:eastAsia="仿宋_GB2312"/>
          <w:b/>
          <w:bCs/>
          <w:sz w:val="24"/>
        </w:rPr>
      </w:pPr>
    </w:p>
    <w:p w14:paraId="45787685">
      <w:pPr>
        <w:pStyle w:val="2"/>
        <w:rPr>
          <w:rFonts w:hint="eastAsia" w:ascii="仿宋_GB2312" w:hAnsi="宋体" w:eastAsia="仿宋_GB2312"/>
          <w:b/>
          <w:bCs/>
          <w:sz w:val="24"/>
        </w:rPr>
      </w:pPr>
    </w:p>
    <w:p w14:paraId="1CB29C23">
      <w:pPr>
        <w:rPr>
          <w:rFonts w:hint="eastAsia" w:ascii="仿宋_GB2312" w:hAnsi="宋体" w:eastAsia="仿宋_GB2312"/>
          <w:b/>
          <w:bCs/>
          <w:sz w:val="24"/>
        </w:rPr>
      </w:pPr>
    </w:p>
    <w:p w14:paraId="27971D67">
      <w:pPr>
        <w:pStyle w:val="2"/>
        <w:rPr>
          <w:rFonts w:hint="eastAsia" w:ascii="仿宋_GB2312" w:hAnsi="宋体" w:eastAsia="仿宋_GB2312"/>
          <w:b/>
          <w:bCs/>
          <w:sz w:val="24"/>
        </w:rPr>
      </w:pPr>
    </w:p>
    <w:p w14:paraId="559F7205">
      <w:pPr>
        <w:rPr>
          <w:rFonts w:hint="eastAsia" w:ascii="仿宋_GB2312" w:hAnsi="宋体" w:eastAsia="仿宋_GB2312"/>
          <w:b/>
          <w:bCs/>
          <w:sz w:val="24"/>
        </w:rPr>
      </w:pPr>
    </w:p>
    <w:p w14:paraId="6CF79EFF">
      <w:pPr>
        <w:pStyle w:val="2"/>
        <w:rPr>
          <w:rFonts w:hint="eastAsia" w:ascii="仿宋_GB2312" w:hAnsi="宋体" w:eastAsia="仿宋_GB2312"/>
          <w:b/>
          <w:bCs/>
          <w:sz w:val="24"/>
        </w:rPr>
      </w:pPr>
    </w:p>
    <w:p w14:paraId="62281F12">
      <w:pPr>
        <w:rPr>
          <w:rFonts w:hint="eastAsia" w:ascii="仿宋_GB2312" w:hAnsi="宋体" w:eastAsia="仿宋_GB2312"/>
          <w:b/>
          <w:bCs/>
          <w:sz w:val="24"/>
        </w:rPr>
      </w:pPr>
    </w:p>
    <w:p w14:paraId="4E303AE4">
      <w:pPr>
        <w:pStyle w:val="2"/>
        <w:rPr>
          <w:rFonts w:hint="eastAsia" w:ascii="仿宋_GB2312" w:hAnsi="宋体" w:eastAsia="仿宋_GB2312"/>
          <w:b/>
          <w:bCs/>
          <w:sz w:val="24"/>
        </w:rPr>
      </w:pPr>
    </w:p>
    <w:p w14:paraId="2F2B3080">
      <w:pPr>
        <w:rPr>
          <w:rFonts w:hint="eastAsia" w:ascii="仿宋_GB2312" w:hAnsi="宋体" w:eastAsia="仿宋_GB2312"/>
          <w:b/>
          <w:bCs/>
          <w:sz w:val="24"/>
        </w:rPr>
      </w:pPr>
    </w:p>
    <w:p w14:paraId="71E8B2C1">
      <w:pPr>
        <w:pStyle w:val="2"/>
        <w:rPr>
          <w:rFonts w:hint="eastAsia"/>
        </w:rPr>
      </w:pPr>
    </w:p>
    <w:p w14:paraId="5BDD3ADF">
      <w:pPr>
        <w:spacing w:line="360" w:lineRule="auto"/>
        <w:jc w:val="center"/>
        <w:rPr>
          <w:rFonts w:hint="eastAsia" w:ascii="华文中宋" w:hAnsi="华文中宋" w:eastAsia="华文中宋"/>
          <w:b/>
        </w:rPr>
      </w:pPr>
      <w:r>
        <w:rPr>
          <w:rFonts w:hint="eastAsia" w:ascii="仿宋_GB2312" w:hAnsi="宋体" w:eastAsia="仿宋_GB2312"/>
          <w:b/>
          <w:bCs/>
          <w:sz w:val="32"/>
          <w:szCs w:val="32"/>
        </w:rPr>
        <w:t xml:space="preserve">  </w:t>
      </w:r>
      <w:r>
        <w:rPr>
          <w:rFonts w:hint="eastAsia" w:ascii="华文中宋" w:hAnsi="华文中宋" w:eastAsia="华文中宋"/>
          <w:b/>
          <w:bCs/>
          <w:sz w:val="32"/>
          <w:szCs w:val="32"/>
        </w:rPr>
        <w:t>住房和城乡建设部</w:t>
      </w:r>
    </w:p>
    <w:p w14:paraId="29CB4E9E">
      <w:pPr>
        <w:spacing w:line="360" w:lineRule="auto"/>
        <w:jc w:val="center"/>
        <w:rPr>
          <w:rFonts w:hint="eastAsia" w:ascii="华文中宋" w:hAnsi="华文中宋" w:eastAsia="华文中宋"/>
          <w:b/>
          <w:sz w:val="32"/>
          <w:szCs w:val="32"/>
        </w:rPr>
      </w:pPr>
      <w:r>
        <w:rPr>
          <w:rFonts w:hint="eastAsia" w:ascii="华文中宋" w:hAnsi="华文中宋" w:eastAsia="华文中宋"/>
          <w:b/>
        </w:rPr>
        <w:t xml:space="preserve">                                                          </w:t>
      </w:r>
      <w:r>
        <w:rPr>
          <w:rFonts w:hint="eastAsia" w:ascii="华文中宋" w:hAnsi="华文中宋" w:eastAsia="华文中宋"/>
          <w:b/>
          <w:sz w:val="32"/>
          <w:szCs w:val="32"/>
        </w:rPr>
        <w:t>制定</w:t>
      </w:r>
    </w:p>
    <w:p w14:paraId="1129009B">
      <w:pPr>
        <w:spacing w:line="360" w:lineRule="auto"/>
        <w:jc w:val="center"/>
        <w:rPr>
          <w:rFonts w:hint="eastAsia" w:ascii="华文中宋" w:hAnsi="华文中宋" w:eastAsia="华文中宋"/>
          <w:b/>
        </w:rPr>
      </w:pPr>
      <w:r>
        <w:rPr>
          <w:rFonts w:hint="eastAsia" w:ascii="华文中宋" w:hAnsi="华文中宋" w:eastAsia="华文中宋"/>
          <w:b/>
          <w:bCs/>
          <w:sz w:val="32"/>
          <w:szCs w:val="32"/>
        </w:rPr>
        <w:t xml:space="preserve">   国家工商行政管理总局</w:t>
      </w:r>
    </w:p>
    <w:p w14:paraId="50C2DEE9">
      <w:pPr>
        <w:rPr>
          <w:rFonts w:hint="eastAsia"/>
        </w:rPr>
      </w:pPr>
      <w:r>
        <w:rPr>
          <w:rFonts w:hint="eastAsia"/>
        </w:rPr>
        <w:br w:type="page"/>
      </w:r>
    </w:p>
    <w:p w14:paraId="1666F5F2">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outlineLvl w:val="0"/>
        <w:rPr>
          <w:rFonts w:hint="eastAsia" w:ascii="仿宋_GB2312" w:hAnsi="宋体" w:eastAsia="仿宋_GB2312"/>
          <w:b/>
          <w:sz w:val="13"/>
          <w:szCs w:val="13"/>
        </w:rPr>
      </w:pPr>
      <w:r>
        <w:rPr>
          <w:rFonts w:hint="eastAsia" w:ascii="宋体" w:hAnsi="宋体" w:eastAsia="宋体" w:cs="宋体"/>
          <w:b/>
          <w:bCs/>
          <w:sz w:val="32"/>
          <w:szCs w:val="32"/>
        </w:rPr>
        <w:t xml:space="preserve"> </w:t>
      </w:r>
      <w:bookmarkStart w:id="836" w:name="_Toc7788"/>
      <w:bookmarkStart w:id="837" w:name="_Toc19644"/>
      <w:r>
        <w:rPr>
          <w:rFonts w:hint="eastAsia" w:ascii="宋体" w:hAnsi="宋体" w:eastAsia="宋体" w:cs="宋体"/>
          <w:b/>
          <w:bCs/>
          <w:sz w:val="32"/>
          <w:szCs w:val="32"/>
        </w:rPr>
        <w:t>第一部分  协议书</w:t>
      </w:r>
      <w:bookmarkEnd w:id="836"/>
      <w:bookmarkEnd w:id="837"/>
    </w:p>
    <w:p w14:paraId="41952DF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rPr>
        <w:t>委托人（全称）：</w:t>
      </w:r>
      <w:r>
        <w:rPr>
          <w:rFonts w:hint="eastAsia" w:ascii="宋体" w:hAnsi="宋体" w:eastAsia="宋体" w:cs="宋体"/>
          <w:b/>
          <w:sz w:val="21"/>
          <w:szCs w:val="21"/>
          <w:u w:val="single"/>
        </w:rPr>
        <w:t xml:space="preserve">  </w:t>
      </w:r>
      <w:r>
        <w:rPr>
          <w:rFonts w:hint="eastAsia" w:ascii="宋体" w:hAnsi="宋体" w:eastAsia="宋体" w:cs="宋体"/>
          <w:b/>
          <w:sz w:val="21"/>
          <w:szCs w:val="21"/>
          <w:u w:val="single"/>
          <w:lang w:val="en-US" w:eastAsia="zh-CN"/>
        </w:rPr>
        <w:t xml:space="preserve">                             </w:t>
      </w:r>
      <w:r>
        <w:rPr>
          <w:rFonts w:hint="eastAsia" w:ascii="宋体" w:hAnsi="宋体" w:eastAsia="宋体" w:cs="宋体"/>
          <w:b/>
          <w:sz w:val="21"/>
          <w:szCs w:val="21"/>
          <w:u w:val="single"/>
        </w:rPr>
        <w:t xml:space="preserve">  </w:t>
      </w:r>
      <w:r>
        <w:rPr>
          <w:rFonts w:hint="eastAsia" w:ascii="宋体" w:hAnsi="宋体" w:eastAsia="宋体" w:cs="宋体"/>
          <w:b/>
          <w:sz w:val="21"/>
          <w:szCs w:val="21"/>
          <w:u w:val="single"/>
          <w:lang w:val="en-US" w:eastAsia="zh-CN"/>
        </w:rPr>
        <w:t xml:space="preserve">   </w:t>
      </w:r>
      <w:r>
        <w:rPr>
          <w:rFonts w:hint="eastAsia" w:ascii="宋体" w:hAnsi="宋体" w:eastAsia="宋体" w:cs="宋体"/>
          <w:b/>
          <w:sz w:val="21"/>
          <w:szCs w:val="21"/>
          <w:u w:val="single"/>
        </w:rPr>
        <w:t xml:space="preserve">   </w:t>
      </w:r>
    </w:p>
    <w:p w14:paraId="4599C39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sz w:val="21"/>
          <w:szCs w:val="21"/>
        </w:rPr>
      </w:pPr>
      <w:r>
        <w:rPr>
          <w:rFonts w:hint="eastAsia" w:ascii="宋体" w:hAnsi="宋体" w:eastAsia="宋体" w:cs="宋体"/>
          <w:b/>
          <w:sz w:val="21"/>
          <w:szCs w:val="21"/>
        </w:rPr>
        <w:t>监理人（全称）：</w:t>
      </w:r>
      <w:r>
        <w:rPr>
          <w:rFonts w:hint="eastAsia" w:ascii="宋体" w:hAnsi="宋体" w:eastAsia="宋体" w:cs="宋体"/>
          <w:b/>
          <w:sz w:val="21"/>
          <w:szCs w:val="21"/>
          <w:u w:val="single"/>
        </w:rPr>
        <w:t xml:space="preserve">                                   </w:t>
      </w:r>
      <w:r>
        <w:rPr>
          <w:rFonts w:hint="eastAsia" w:ascii="宋体" w:hAnsi="宋体" w:eastAsia="宋体" w:cs="宋体"/>
          <w:sz w:val="21"/>
          <w:szCs w:val="21"/>
          <w:u w:val="single"/>
        </w:rPr>
        <w:t xml:space="preserve">   </w:t>
      </w:r>
    </w:p>
    <w:p w14:paraId="51D252C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根据《</w:t>
      </w:r>
      <w:r>
        <w:rPr>
          <w:rFonts w:hint="eastAsia" w:ascii="宋体" w:hAnsi="宋体" w:cs="宋体"/>
          <w:sz w:val="21"/>
          <w:szCs w:val="21"/>
          <w:lang w:eastAsia="zh-CN"/>
        </w:rPr>
        <w:t>中华人民共和国民法典</w:t>
      </w:r>
      <w:r>
        <w:rPr>
          <w:rFonts w:hint="eastAsia" w:ascii="宋体" w:hAnsi="宋体" w:eastAsia="宋体" w:cs="宋体"/>
          <w:sz w:val="21"/>
          <w:szCs w:val="21"/>
        </w:rPr>
        <w:t>》、《中华人民共和国建筑法》及其他有关法律、法规，遵循平等、自愿、公平和诚信的原则，双方就下述工程委托监理与相关服务事项协商一致，订立本合同。</w:t>
      </w:r>
    </w:p>
    <w:p w14:paraId="5E6E70E4">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left="0" w:leftChars="0" w:firstLine="422" w:firstLineChars="200"/>
        <w:jc w:val="left"/>
        <w:textAlignment w:val="auto"/>
        <w:outlineLvl w:val="0"/>
        <w:rPr>
          <w:rFonts w:hint="eastAsia" w:ascii="宋体" w:hAnsi="宋体" w:eastAsia="宋体" w:cs="宋体"/>
          <w:b/>
          <w:sz w:val="21"/>
          <w:szCs w:val="21"/>
        </w:rPr>
      </w:pPr>
      <w:bookmarkStart w:id="838" w:name="_Toc20679"/>
      <w:bookmarkStart w:id="839" w:name="_Toc681"/>
      <w:bookmarkStart w:id="840" w:name="_Toc9153"/>
      <w:r>
        <w:rPr>
          <w:rFonts w:hint="eastAsia" w:ascii="宋体" w:hAnsi="宋体" w:eastAsia="宋体" w:cs="宋体"/>
          <w:b/>
          <w:sz w:val="21"/>
          <w:szCs w:val="21"/>
        </w:rPr>
        <w:t>一、工程概况</w:t>
      </w:r>
      <w:bookmarkEnd w:id="838"/>
      <w:bookmarkEnd w:id="839"/>
      <w:bookmarkEnd w:id="840"/>
    </w:p>
    <w:p w14:paraId="430B43A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工程名称：</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69A0D7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工程地点：</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DD9A1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 工程规模：</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521259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 工程</w:t>
      </w:r>
      <w:r>
        <w:rPr>
          <w:rFonts w:hint="eastAsia" w:ascii="宋体" w:hAnsi="宋体" w:eastAsia="宋体" w:cs="宋体"/>
          <w:kern w:val="0"/>
          <w:sz w:val="21"/>
          <w:szCs w:val="21"/>
        </w:rPr>
        <w:t>概算投资额或建筑安装工程费</w:t>
      </w:r>
      <w:r>
        <w:rPr>
          <w:rFonts w:hint="eastAsia" w:ascii="宋体" w:hAnsi="宋体" w:eastAsia="宋体" w:cs="宋体"/>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4897EB3">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left="0" w:leftChars="0" w:firstLine="422" w:firstLineChars="200"/>
        <w:jc w:val="left"/>
        <w:textAlignment w:val="auto"/>
        <w:outlineLvl w:val="0"/>
        <w:rPr>
          <w:rFonts w:hint="eastAsia" w:ascii="宋体" w:hAnsi="宋体" w:eastAsia="宋体" w:cs="宋体"/>
          <w:b/>
          <w:sz w:val="21"/>
          <w:szCs w:val="21"/>
        </w:rPr>
      </w:pPr>
      <w:bookmarkStart w:id="841" w:name="_Toc5109"/>
      <w:r>
        <w:rPr>
          <w:rFonts w:hint="eastAsia" w:ascii="宋体" w:hAnsi="宋体" w:eastAsia="宋体" w:cs="宋体"/>
          <w:b/>
          <w:sz w:val="21"/>
          <w:szCs w:val="21"/>
        </w:rPr>
        <w:t>二、词语限定</w:t>
      </w:r>
      <w:bookmarkEnd w:id="841"/>
    </w:p>
    <w:p w14:paraId="45F434C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协议书中相关词语的含义与通用条件中的定义与解释相同。</w:t>
      </w:r>
    </w:p>
    <w:p w14:paraId="44DF1908">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left="0" w:leftChars="0" w:firstLine="422" w:firstLineChars="200"/>
        <w:jc w:val="left"/>
        <w:textAlignment w:val="auto"/>
        <w:outlineLvl w:val="0"/>
        <w:rPr>
          <w:rFonts w:hint="eastAsia" w:ascii="宋体" w:hAnsi="宋体" w:eastAsia="宋体" w:cs="宋体"/>
          <w:b/>
          <w:sz w:val="21"/>
          <w:szCs w:val="21"/>
        </w:rPr>
      </w:pPr>
      <w:bookmarkStart w:id="842" w:name="_Toc22199"/>
      <w:bookmarkStart w:id="843" w:name="_Toc21994"/>
      <w:bookmarkStart w:id="844" w:name="_Toc28974"/>
      <w:r>
        <w:rPr>
          <w:rFonts w:hint="eastAsia" w:ascii="宋体" w:hAnsi="宋体" w:eastAsia="宋体" w:cs="宋体"/>
          <w:b/>
          <w:sz w:val="21"/>
          <w:szCs w:val="21"/>
        </w:rPr>
        <w:t>三、组成本合同的文件</w:t>
      </w:r>
      <w:bookmarkEnd w:id="842"/>
      <w:bookmarkEnd w:id="843"/>
      <w:bookmarkEnd w:id="844"/>
    </w:p>
    <w:p w14:paraId="6D32AE1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协议书；</w:t>
      </w:r>
    </w:p>
    <w:p w14:paraId="672780D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中标通知书（适用于招标工程）或委托书（适用于非招标工程）；</w:t>
      </w:r>
    </w:p>
    <w:p w14:paraId="2FDD0AF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 投标文件（适用于招标工程）或监理与相关服务建议书（适用于非招标工程）；</w:t>
      </w:r>
    </w:p>
    <w:p w14:paraId="08D3959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 专用条件；</w:t>
      </w:r>
    </w:p>
    <w:p w14:paraId="7027195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5. 通用条件；</w:t>
      </w:r>
    </w:p>
    <w:p w14:paraId="00B100D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 附录，即：</w:t>
      </w:r>
    </w:p>
    <w:p w14:paraId="3C4E206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附录A  相关服务的范围和内容</w:t>
      </w:r>
    </w:p>
    <w:p w14:paraId="52DF806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附录B  委托人派遣的人员和提供的</w:t>
      </w:r>
      <w:r>
        <w:rPr>
          <w:rFonts w:hint="eastAsia" w:ascii="宋体" w:hAnsi="宋体" w:eastAsia="宋体" w:cs="宋体"/>
          <w:bCs/>
          <w:sz w:val="21"/>
          <w:szCs w:val="21"/>
        </w:rPr>
        <w:t>房屋、资料</w:t>
      </w:r>
      <w:r>
        <w:rPr>
          <w:rFonts w:hint="eastAsia" w:ascii="宋体" w:hAnsi="宋体" w:eastAsia="宋体" w:cs="宋体"/>
          <w:sz w:val="21"/>
          <w:szCs w:val="21"/>
        </w:rPr>
        <w:t>、设备</w:t>
      </w:r>
    </w:p>
    <w:p w14:paraId="3E7EFAF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本合同签订后，双方依法签订的补充协议也是本合同文件的组成部分。</w:t>
      </w:r>
    </w:p>
    <w:p w14:paraId="4E82D6A0">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left="0" w:leftChars="0" w:firstLine="422" w:firstLineChars="200"/>
        <w:jc w:val="left"/>
        <w:textAlignment w:val="auto"/>
        <w:outlineLvl w:val="0"/>
        <w:rPr>
          <w:rFonts w:hint="eastAsia" w:ascii="宋体" w:hAnsi="宋体" w:eastAsia="宋体" w:cs="宋体"/>
          <w:b/>
          <w:sz w:val="21"/>
          <w:szCs w:val="21"/>
        </w:rPr>
      </w:pPr>
      <w:bookmarkStart w:id="845" w:name="_Toc1406"/>
      <w:bookmarkStart w:id="846" w:name="_Toc7338"/>
      <w:bookmarkStart w:id="847" w:name="_Toc16696"/>
      <w:r>
        <w:rPr>
          <w:rFonts w:hint="eastAsia" w:ascii="宋体" w:hAnsi="宋体" w:eastAsia="宋体" w:cs="宋体"/>
          <w:b/>
          <w:sz w:val="21"/>
          <w:szCs w:val="21"/>
        </w:rPr>
        <w:t>四、总监理工程师</w:t>
      </w:r>
      <w:bookmarkEnd w:id="845"/>
      <w:bookmarkEnd w:id="846"/>
      <w:bookmarkEnd w:id="847"/>
    </w:p>
    <w:p w14:paraId="3B247B9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总监理工程师姓名：</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，身份证号码：</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，注册号：</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p>
    <w:p w14:paraId="6CC2A381">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left="0" w:leftChars="0" w:firstLine="422" w:firstLineChars="200"/>
        <w:jc w:val="left"/>
        <w:textAlignment w:val="auto"/>
        <w:outlineLvl w:val="0"/>
        <w:rPr>
          <w:rFonts w:hint="eastAsia" w:ascii="宋体" w:hAnsi="宋体" w:eastAsia="宋体" w:cs="宋体"/>
          <w:b/>
          <w:sz w:val="21"/>
          <w:szCs w:val="21"/>
        </w:rPr>
      </w:pPr>
      <w:bookmarkStart w:id="848" w:name="_Toc30508"/>
      <w:bookmarkStart w:id="849" w:name="_Toc12474"/>
      <w:bookmarkStart w:id="850" w:name="_Toc16314"/>
      <w:r>
        <w:rPr>
          <w:rFonts w:hint="eastAsia" w:ascii="宋体" w:hAnsi="宋体" w:eastAsia="宋体" w:cs="宋体"/>
          <w:b/>
          <w:sz w:val="21"/>
          <w:szCs w:val="21"/>
        </w:rPr>
        <w:t>五、签约酬金</w:t>
      </w:r>
      <w:bookmarkEnd w:id="848"/>
      <w:bookmarkEnd w:id="849"/>
      <w:bookmarkEnd w:id="850"/>
    </w:p>
    <w:p w14:paraId="39356A3B">
      <w:pPr>
        <w:adjustRightInd w:val="0"/>
        <w:snapToGrid w:val="0"/>
        <w:spacing w:line="440" w:lineRule="exact"/>
        <w:ind w:firstLine="422" w:firstLineChars="200"/>
        <w:rPr>
          <w:rFonts w:hint="eastAsia" w:ascii="宋体" w:hAnsi="宋体" w:cs="宋体"/>
          <w:szCs w:val="21"/>
        </w:rPr>
      </w:pPr>
      <w:r>
        <w:rPr>
          <w:rFonts w:hint="eastAsia" w:ascii="宋体" w:hAnsi="宋体" w:cs="宋体"/>
          <w:b/>
          <w:szCs w:val="21"/>
          <w:lang w:val="en-US" w:eastAsia="zh-CN" w:bidi="ar-SA"/>
        </w:rPr>
        <w:t>监理费率</w:t>
      </w:r>
      <w:r>
        <w:rPr>
          <w:rFonts w:hint="eastAsia" w:ascii="宋体" w:hAnsi="宋体" w:eastAsia="宋体" w:cs="宋体"/>
          <w:b/>
          <w:szCs w:val="21"/>
          <w:u w:val="single"/>
          <w:lang w:bidi="ar-SA"/>
        </w:rPr>
        <w:t xml:space="preserve">     </w:t>
      </w:r>
      <w:r>
        <w:rPr>
          <w:rFonts w:hint="eastAsia" w:ascii="宋体" w:hAnsi="宋体" w:eastAsia="宋体" w:cs="宋体"/>
          <w:b/>
          <w:szCs w:val="21"/>
          <w:lang w:bidi="ar-SA"/>
        </w:rPr>
        <w:t>%，</w:t>
      </w:r>
      <w:r>
        <w:rPr>
          <w:rFonts w:hint="eastAsia" w:ascii="宋体" w:hAnsi="宋体" w:cs="宋体"/>
          <w:szCs w:val="21"/>
        </w:rPr>
        <w:t>签约酬金（大写）：</w:t>
      </w:r>
      <w:r>
        <w:rPr>
          <w:rFonts w:hint="eastAsia" w:ascii="宋体" w:hAnsi="宋体" w:cs="宋体"/>
          <w:szCs w:val="21"/>
          <w:u w:val="single"/>
        </w:rPr>
        <w:t xml:space="preserve">                            </w:t>
      </w:r>
      <w:r>
        <w:rPr>
          <w:rFonts w:hint="eastAsia" w:ascii="宋体" w:hAnsi="宋体" w:cs="宋体"/>
          <w:szCs w:val="21"/>
        </w:rPr>
        <w:t>（¥</w:t>
      </w:r>
      <w:r>
        <w:rPr>
          <w:rFonts w:hint="eastAsia" w:ascii="宋体" w:hAnsi="宋体" w:cs="宋体"/>
          <w:szCs w:val="21"/>
          <w:u w:val="single"/>
        </w:rPr>
        <w:t xml:space="preserve">                  </w:t>
      </w:r>
      <w:r>
        <w:rPr>
          <w:rFonts w:hint="eastAsia" w:ascii="宋体" w:hAnsi="宋体" w:cs="宋体"/>
          <w:szCs w:val="21"/>
        </w:rPr>
        <w:t>）。</w:t>
      </w:r>
    </w:p>
    <w:p w14:paraId="71594673">
      <w:pPr>
        <w:keepNext w:val="0"/>
        <w:keepLines w:val="0"/>
        <w:pageBreakBefore w:val="0"/>
        <w:widowControl/>
        <w:kinsoku/>
        <w:wordWrap/>
        <w:overflowPunct/>
        <w:topLinePunct w:val="0"/>
        <w:autoSpaceDE/>
        <w:autoSpaceDN/>
        <w:bidi w:val="0"/>
        <w:adjustRightInd w:val="0"/>
        <w:spacing w:line="440" w:lineRule="exact"/>
        <w:ind w:firstLine="422" w:firstLineChars="200"/>
        <w:jc w:val="left"/>
        <w:textAlignment w:val="auto"/>
        <w:rPr>
          <w:rFonts w:hint="eastAsia" w:ascii="宋体" w:hAnsi="宋体" w:eastAsia="宋体" w:cs="宋体"/>
          <w:b/>
          <w:szCs w:val="21"/>
          <w:lang w:eastAsia="zh-CN" w:bidi="ar-SA"/>
        </w:rPr>
      </w:pPr>
      <w:r>
        <w:rPr>
          <w:rFonts w:hint="eastAsia" w:ascii="宋体" w:hAnsi="宋体" w:eastAsia="宋体" w:cs="宋体"/>
          <w:b/>
          <w:szCs w:val="21"/>
          <w:lang w:bidi="ar-SA"/>
        </w:rPr>
        <w:t>无论任何原因导致的工期延长，委托人均不再增加监理费用</w:t>
      </w:r>
      <w:r>
        <w:rPr>
          <w:rFonts w:hint="eastAsia" w:ascii="宋体" w:hAnsi="宋体" w:cs="宋体"/>
          <w:b/>
          <w:szCs w:val="21"/>
          <w:lang w:eastAsia="zh-CN" w:bidi="ar-SA"/>
        </w:rPr>
        <w:t>。</w:t>
      </w:r>
    </w:p>
    <w:p w14:paraId="4841C1A3">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包括：</w:t>
      </w:r>
    </w:p>
    <w:p w14:paraId="19779064">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监理酬金：</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F43D9C2">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相关服务酬金：</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BB4D45F">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其中：</w:t>
      </w:r>
    </w:p>
    <w:p w14:paraId="5D8681B3">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（1）勘察阶段服务</w:t>
      </w:r>
      <w:r>
        <w:rPr>
          <w:rFonts w:hint="eastAsia" w:ascii="宋体" w:hAnsi="宋体" w:eastAsia="宋体" w:cs="宋体"/>
          <w:sz w:val="21"/>
          <w:szCs w:val="21"/>
        </w:rPr>
        <w:t>酬金：</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8253832">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（2）设计阶段服务</w:t>
      </w:r>
      <w:r>
        <w:rPr>
          <w:rFonts w:hint="eastAsia" w:ascii="宋体" w:hAnsi="宋体" w:eastAsia="宋体" w:cs="宋体"/>
          <w:sz w:val="21"/>
          <w:szCs w:val="21"/>
        </w:rPr>
        <w:t>酬金：</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2306CE5">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（3）保修阶段服务</w:t>
      </w:r>
      <w:r>
        <w:rPr>
          <w:rFonts w:hint="eastAsia" w:ascii="宋体" w:hAnsi="宋体" w:eastAsia="宋体" w:cs="宋体"/>
          <w:sz w:val="21"/>
          <w:szCs w:val="21"/>
        </w:rPr>
        <w:t>酬金：</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A9B7FD0">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其他相关服务酬金：</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7021AA02">
      <w:pPr>
        <w:keepNext w:val="0"/>
        <w:keepLines w:val="0"/>
        <w:pageBreakBefore w:val="0"/>
        <w:widowControl w:val="0"/>
        <w:kinsoku/>
        <w:wordWrap/>
        <w:overflowPunct/>
        <w:topLinePunct w:val="0"/>
        <w:autoSpaceDE/>
        <w:autoSpaceDN/>
        <w:bidi w:val="0"/>
        <w:adjustRightInd/>
        <w:snapToGrid/>
        <w:spacing w:before="95" w:beforeLines="30" w:after="95" w:afterLines="30" w:line="400" w:lineRule="exact"/>
        <w:ind w:left="0" w:leftChars="0" w:firstLine="422" w:firstLineChars="200"/>
        <w:jc w:val="left"/>
        <w:textAlignment w:val="auto"/>
        <w:outlineLvl w:val="0"/>
        <w:rPr>
          <w:rFonts w:hint="eastAsia" w:ascii="宋体" w:hAnsi="宋体" w:eastAsia="宋体" w:cs="宋体"/>
          <w:b/>
          <w:sz w:val="21"/>
          <w:szCs w:val="21"/>
        </w:rPr>
      </w:pPr>
      <w:bookmarkStart w:id="851" w:name="_Toc19082"/>
      <w:bookmarkStart w:id="852" w:name="_Toc9390"/>
      <w:bookmarkStart w:id="853" w:name="_Toc16163"/>
      <w:r>
        <w:rPr>
          <w:rFonts w:hint="eastAsia" w:ascii="宋体" w:hAnsi="宋体" w:eastAsia="宋体" w:cs="宋体"/>
          <w:b/>
          <w:sz w:val="21"/>
          <w:szCs w:val="21"/>
        </w:rPr>
        <w:t>六、期限</w:t>
      </w:r>
      <w:bookmarkEnd w:id="851"/>
      <w:bookmarkEnd w:id="852"/>
      <w:bookmarkEnd w:id="853"/>
    </w:p>
    <w:p w14:paraId="70C99A91">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 xml:space="preserve">1. </w:t>
      </w:r>
      <w:r>
        <w:rPr>
          <w:rFonts w:hint="eastAsia" w:ascii="宋体" w:hAnsi="宋体" w:eastAsia="宋体" w:cs="宋体"/>
          <w:sz w:val="21"/>
          <w:szCs w:val="21"/>
        </w:rPr>
        <w:t>监理期限：自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日始，至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日止</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同施工工期</w:t>
      </w:r>
      <w:r>
        <w:rPr>
          <w:rFonts w:hint="eastAsia" w:ascii="宋体" w:hAnsi="宋体" w:eastAsia="宋体" w:cs="宋体"/>
          <w:sz w:val="21"/>
          <w:szCs w:val="21"/>
          <w:lang w:eastAsia="zh-CN"/>
        </w:rPr>
        <w:t>）</w:t>
      </w:r>
      <w:r>
        <w:rPr>
          <w:rFonts w:hint="eastAsia" w:ascii="宋体" w:hAnsi="宋体" w:eastAsia="宋体" w:cs="宋体"/>
          <w:sz w:val="21"/>
          <w:szCs w:val="21"/>
        </w:rPr>
        <w:t>。</w:t>
      </w:r>
    </w:p>
    <w:p w14:paraId="1CC119F2">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 xml:space="preserve">2. </w:t>
      </w:r>
      <w:r>
        <w:rPr>
          <w:rFonts w:hint="eastAsia" w:ascii="宋体" w:hAnsi="宋体" w:eastAsia="宋体" w:cs="宋体"/>
          <w:sz w:val="21"/>
          <w:szCs w:val="21"/>
        </w:rPr>
        <w:t>相关服务期限：</w:t>
      </w:r>
    </w:p>
    <w:p w14:paraId="5865BA9C">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（1）勘察阶段</w:t>
      </w:r>
      <w:r>
        <w:rPr>
          <w:rFonts w:hint="eastAsia" w:ascii="宋体" w:hAnsi="宋体" w:eastAsia="宋体" w:cs="宋体"/>
          <w:sz w:val="21"/>
          <w:szCs w:val="21"/>
        </w:rPr>
        <w:t>服务期限自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日始，至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日止。</w:t>
      </w:r>
    </w:p>
    <w:p w14:paraId="1B030F4B">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（2）设计阶段</w:t>
      </w:r>
      <w:r>
        <w:rPr>
          <w:rFonts w:hint="eastAsia" w:ascii="宋体" w:hAnsi="宋体" w:eastAsia="宋体" w:cs="宋体"/>
          <w:sz w:val="21"/>
          <w:szCs w:val="21"/>
        </w:rPr>
        <w:t>服务期限自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日始，至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日止。</w:t>
      </w:r>
    </w:p>
    <w:p w14:paraId="32979870">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（3）保修阶段</w:t>
      </w:r>
      <w:r>
        <w:rPr>
          <w:rFonts w:hint="eastAsia" w:ascii="宋体" w:hAnsi="宋体" w:eastAsia="宋体" w:cs="宋体"/>
          <w:sz w:val="21"/>
          <w:szCs w:val="21"/>
        </w:rPr>
        <w:t>服务期限自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日始，至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日止。</w:t>
      </w:r>
    </w:p>
    <w:p w14:paraId="47265DA0">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（4）</w:t>
      </w:r>
      <w:r>
        <w:rPr>
          <w:rFonts w:hint="eastAsia" w:ascii="宋体" w:hAnsi="宋体" w:eastAsia="宋体" w:cs="宋体"/>
          <w:sz w:val="21"/>
          <w:szCs w:val="21"/>
        </w:rPr>
        <w:t>其他相关服务期限自</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日始，至</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日止。</w:t>
      </w:r>
    </w:p>
    <w:p w14:paraId="0CDCDA24">
      <w:pPr>
        <w:keepNext w:val="0"/>
        <w:keepLines w:val="0"/>
        <w:pageBreakBefore w:val="0"/>
        <w:widowControl w:val="0"/>
        <w:kinsoku/>
        <w:wordWrap/>
        <w:overflowPunct/>
        <w:topLinePunct w:val="0"/>
        <w:autoSpaceDE/>
        <w:autoSpaceDN/>
        <w:bidi w:val="0"/>
        <w:adjustRightInd/>
        <w:snapToGrid/>
        <w:spacing w:before="95" w:beforeLines="30" w:after="95" w:afterLines="30" w:line="400" w:lineRule="exact"/>
        <w:ind w:left="0" w:leftChars="0" w:firstLine="422" w:firstLineChars="200"/>
        <w:jc w:val="left"/>
        <w:textAlignment w:val="auto"/>
        <w:outlineLvl w:val="0"/>
        <w:rPr>
          <w:rFonts w:hint="eastAsia" w:ascii="宋体" w:hAnsi="宋体" w:eastAsia="宋体" w:cs="宋体"/>
          <w:b/>
          <w:sz w:val="21"/>
          <w:szCs w:val="21"/>
          <w:lang w:val="en-US" w:eastAsia="zh-CN"/>
        </w:rPr>
      </w:pPr>
      <w:bookmarkStart w:id="854" w:name="_Toc3907"/>
      <w:bookmarkStart w:id="855" w:name="_Toc27015"/>
      <w:bookmarkStart w:id="856" w:name="_Toc12274"/>
      <w:r>
        <w:rPr>
          <w:rFonts w:hint="eastAsia" w:ascii="宋体" w:hAnsi="宋体" w:eastAsia="宋体" w:cs="宋体"/>
          <w:b/>
          <w:sz w:val="21"/>
          <w:szCs w:val="21"/>
        </w:rPr>
        <w:t>七、双方承诺</w:t>
      </w:r>
      <w:bookmarkEnd w:id="854"/>
      <w:bookmarkEnd w:id="855"/>
      <w:bookmarkEnd w:id="856"/>
      <w:r>
        <w:rPr>
          <w:rFonts w:hint="eastAsia" w:ascii="宋体" w:hAnsi="宋体" w:eastAsia="宋体" w:cs="宋体"/>
          <w:b/>
          <w:sz w:val="21"/>
          <w:szCs w:val="21"/>
          <w:lang w:val="en-US" w:eastAsia="zh-CN"/>
        </w:rPr>
        <w:t xml:space="preserve"> </w:t>
      </w:r>
    </w:p>
    <w:p w14:paraId="3B5A3B5A">
      <w:pPr>
        <w:keepNext w:val="0"/>
        <w:keepLines w:val="0"/>
        <w:pageBreakBefore w:val="0"/>
        <w:widowControl w:val="0"/>
        <w:kinsoku/>
        <w:wordWrap/>
        <w:overflowPunct/>
        <w:topLinePunct w:val="0"/>
        <w:autoSpaceDE/>
        <w:autoSpaceDN/>
        <w:bidi w:val="0"/>
        <w:spacing w:line="400" w:lineRule="exact"/>
        <w:ind w:left="0" w:leftChars="0" w:firstLine="420" w:firstLineChars="200"/>
        <w:jc w:val="left"/>
        <w:textAlignment w:val="auto"/>
        <w:outlineLvl w:val="0"/>
        <w:rPr>
          <w:rFonts w:hint="eastAsia" w:ascii="宋体" w:hAnsi="宋体" w:eastAsia="宋体" w:cs="宋体"/>
          <w:b/>
          <w:sz w:val="21"/>
          <w:szCs w:val="21"/>
        </w:rPr>
      </w:pPr>
      <w:bookmarkStart w:id="857" w:name="_Toc17889"/>
      <w:bookmarkStart w:id="858" w:name="_Toc2209"/>
      <w:bookmarkStart w:id="859" w:name="_Toc25648"/>
      <w:r>
        <w:rPr>
          <w:rFonts w:hint="eastAsia" w:ascii="宋体" w:hAnsi="宋体" w:eastAsia="宋体" w:cs="宋体"/>
          <w:sz w:val="21"/>
          <w:szCs w:val="21"/>
        </w:rPr>
        <w:t>1. 监理人向委托人承诺，按照本合同约定</w:t>
      </w:r>
      <w:r>
        <w:rPr>
          <w:rFonts w:hint="eastAsia" w:ascii="宋体" w:hAnsi="宋体" w:eastAsia="宋体" w:cs="宋体"/>
          <w:kern w:val="0"/>
          <w:sz w:val="21"/>
          <w:szCs w:val="21"/>
        </w:rPr>
        <w:t>提供</w:t>
      </w:r>
      <w:r>
        <w:rPr>
          <w:rFonts w:hint="eastAsia" w:ascii="宋体" w:hAnsi="宋体" w:eastAsia="宋体" w:cs="宋体"/>
          <w:sz w:val="21"/>
          <w:szCs w:val="21"/>
        </w:rPr>
        <w:t>监理与相关服务。</w:t>
      </w:r>
      <w:bookmarkEnd w:id="857"/>
      <w:bookmarkEnd w:id="858"/>
      <w:bookmarkEnd w:id="859"/>
    </w:p>
    <w:p w14:paraId="4F80D4F7">
      <w:pPr>
        <w:keepNext w:val="0"/>
        <w:keepLines w:val="0"/>
        <w:pageBreakBefore w:val="0"/>
        <w:widowControl w:val="0"/>
        <w:kinsoku/>
        <w:wordWrap/>
        <w:overflowPunct/>
        <w:topLinePunct w:val="0"/>
        <w:autoSpaceDE/>
        <w:autoSpaceDN/>
        <w:bidi w:val="0"/>
        <w:spacing w:line="400" w:lineRule="exact"/>
        <w:ind w:left="0" w:leftChars="0" w:firstLine="420" w:firstLineChars="200"/>
        <w:jc w:val="left"/>
        <w:textAlignment w:val="auto"/>
        <w:outlineLvl w:val="0"/>
        <w:rPr>
          <w:rFonts w:hint="eastAsia" w:ascii="宋体" w:hAnsi="宋体" w:eastAsia="宋体" w:cs="宋体"/>
          <w:sz w:val="21"/>
          <w:szCs w:val="21"/>
        </w:rPr>
      </w:pPr>
      <w:bookmarkStart w:id="860" w:name="_Toc11663"/>
      <w:bookmarkStart w:id="861" w:name="_Toc22188"/>
      <w:bookmarkStart w:id="862" w:name="_Toc14048"/>
      <w:r>
        <w:rPr>
          <w:rFonts w:hint="eastAsia" w:ascii="宋体" w:hAnsi="宋体" w:eastAsia="宋体" w:cs="宋体"/>
          <w:sz w:val="21"/>
          <w:szCs w:val="21"/>
        </w:rPr>
        <w:t>2. 委托人向监理人承诺，按照本合同约定派遣相应的人员，提供</w:t>
      </w:r>
      <w:r>
        <w:rPr>
          <w:rFonts w:hint="eastAsia" w:ascii="宋体" w:hAnsi="宋体" w:eastAsia="宋体" w:cs="宋体"/>
          <w:bCs/>
          <w:sz w:val="21"/>
          <w:szCs w:val="21"/>
        </w:rPr>
        <w:t>房屋、资料</w:t>
      </w:r>
      <w:r>
        <w:rPr>
          <w:rFonts w:hint="eastAsia" w:ascii="宋体" w:hAnsi="宋体" w:eastAsia="宋体" w:cs="宋体"/>
          <w:sz w:val="21"/>
          <w:szCs w:val="21"/>
        </w:rPr>
        <w:t>、设备，并按本合同约定支付酬金。</w:t>
      </w:r>
      <w:bookmarkEnd w:id="860"/>
      <w:bookmarkEnd w:id="861"/>
      <w:bookmarkEnd w:id="862"/>
    </w:p>
    <w:p w14:paraId="431BCCC6">
      <w:pPr>
        <w:keepNext w:val="0"/>
        <w:keepLines w:val="0"/>
        <w:pageBreakBefore w:val="0"/>
        <w:widowControl w:val="0"/>
        <w:kinsoku/>
        <w:wordWrap/>
        <w:overflowPunct/>
        <w:topLinePunct w:val="0"/>
        <w:autoSpaceDE/>
        <w:autoSpaceDN/>
        <w:bidi w:val="0"/>
        <w:adjustRightInd/>
        <w:snapToGrid/>
        <w:spacing w:before="95" w:beforeLines="30" w:after="95" w:afterLines="30" w:line="400" w:lineRule="exact"/>
        <w:ind w:left="0" w:leftChars="0" w:firstLine="422" w:firstLineChars="200"/>
        <w:jc w:val="left"/>
        <w:textAlignment w:val="auto"/>
        <w:outlineLvl w:val="0"/>
        <w:rPr>
          <w:rFonts w:hint="eastAsia" w:ascii="宋体" w:hAnsi="宋体" w:eastAsia="宋体" w:cs="宋体"/>
          <w:b/>
          <w:sz w:val="21"/>
          <w:szCs w:val="21"/>
        </w:rPr>
      </w:pPr>
      <w:bookmarkStart w:id="863" w:name="_Toc32139"/>
      <w:bookmarkStart w:id="864" w:name="_Toc10244"/>
      <w:bookmarkStart w:id="865" w:name="_Toc5312"/>
      <w:r>
        <w:rPr>
          <w:rFonts w:hint="eastAsia" w:ascii="宋体" w:hAnsi="宋体" w:eastAsia="宋体" w:cs="宋体"/>
          <w:b/>
          <w:sz w:val="21"/>
          <w:szCs w:val="21"/>
        </w:rPr>
        <w:t>八、合同订立</w:t>
      </w:r>
      <w:bookmarkEnd w:id="863"/>
      <w:bookmarkEnd w:id="864"/>
      <w:bookmarkEnd w:id="865"/>
    </w:p>
    <w:p w14:paraId="57E32DFD">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 订立时间：</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14:paraId="18468D02">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 订立地点：</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E5266D9">
      <w:pPr>
        <w:keepNext w:val="0"/>
        <w:keepLines w:val="0"/>
        <w:pageBreakBefore w:val="0"/>
        <w:widowControl w:val="0"/>
        <w:kinsoku/>
        <w:wordWrap/>
        <w:overflowPunct/>
        <w:topLinePunct w:val="0"/>
        <w:autoSpaceDE/>
        <w:autoSpaceDN/>
        <w:bidi w:val="0"/>
        <w:adjustRightInd w:val="0"/>
        <w:snapToGrid w:val="0"/>
        <w:spacing w:line="40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 本合同一式</w:t>
      </w:r>
      <w:r>
        <w:rPr>
          <w:rFonts w:hint="eastAsia" w:ascii="宋体" w:hAnsi="宋体" w:eastAsia="宋体" w:cs="宋体"/>
          <w:sz w:val="21"/>
          <w:szCs w:val="21"/>
          <w:u w:val="single"/>
        </w:rPr>
        <w:t xml:space="preserve">    </w:t>
      </w:r>
      <w:r>
        <w:rPr>
          <w:rFonts w:hint="eastAsia" w:ascii="宋体" w:hAnsi="宋体" w:eastAsia="宋体" w:cs="宋体"/>
          <w:sz w:val="21"/>
          <w:szCs w:val="21"/>
        </w:rPr>
        <w:t>份，具有同等法律效力，双方各执</w:t>
      </w:r>
      <w:r>
        <w:rPr>
          <w:rFonts w:hint="eastAsia" w:ascii="宋体" w:hAnsi="宋体" w:eastAsia="宋体" w:cs="宋体"/>
          <w:sz w:val="21"/>
          <w:szCs w:val="21"/>
          <w:u w:val="single"/>
        </w:rPr>
        <w:t xml:space="preserve">     </w:t>
      </w:r>
      <w:r>
        <w:rPr>
          <w:rFonts w:hint="eastAsia" w:ascii="宋体" w:hAnsi="宋体" w:eastAsia="宋体" w:cs="宋体"/>
          <w:sz w:val="21"/>
          <w:szCs w:val="21"/>
        </w:rPr>
        <w:t>份。</w:t>
      </w:r>
    </w:p>
    <w:p w14:paraId="6448FB7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w:t>
      </w:r>
      <w:r>
        <w:rPr>
          <w:rFonts w:hint="eastAsia" w:ascii="宋体" w:hAnsi="宋体" w:eastAsia="宋体" w:cs="宋体"/>
          <w:sz w:val="21"/>
          <w:szCs w:val="21"/>
          <w:u w:val="single"/>
        </w:rPr>
        <w:t xml:space="preserve">   （盖章）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监理人：</w:t>
      </w:r>
      <w:r>
        <w:rPr>
          <w:rFonts w:hint="eastAsia" w:ascii="宋体" w:hAnsi="宋体" w:eastAsia="宋体" w:cs="宋体"/>
          <w:sz w:val="21"/>
          <w:szCs w:val="21"/>
          <w:u w:val="single"/>
        </w:rPr>
        <w:t xml:space="preserve">   （盖章）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14:paraId="4EECF94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住所：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住所： </w:t>
      </w:r>
      <w:r>
        <w:rPr>
          <w:rFonts w:hint="eastAsia" w:ascii="宋体" w:hAnsi="宋体" w:eastAsia="宋体" w:cs="宋体"/>
          <w:sz w:val="21"/>
          <w:szCs w:val="21"/>
          <w:u w:val="single"/>
        </w:rPr>
        <w:t xml:space="preserve">                      </w:t>
      </w:r>
    </w:p>
    <w:p w14:paraId="75A4C2A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邮政编码：</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14:paraId="47709BC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法定代表人或其授权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法定代表人或其授权</w:t>
      </w:r>
    </w:p>
    <w:p w14:paraId="0C34482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的代理人：</w:t>
      </w:r>
      <w:r>
        <w:rPr>
          <w:rFonts w:hint="eastAsia" w:ascii="宋体" w:hAnsi="宋体" w:eastAsia="宋体" w:cs="宋体"/>
          <w:sz w:val="21"/>
          <w:szCs w:val="21"/>
          <w:u w:val="single"/>
        </w:rPr>
        <w:t xml:space="preserve">（签字）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的代理人：</w:t>
      </w:r>
      <w:r>
        <w:rPr>
          <w:rFonts w:hint="eastAsia" w:ascii="宋体" w:hAnsi="宋体" w:eastAsia="宋体" w:cs="宋体"/>
          <w:sz w:val="21"/>
          <w:szCs w:val="21"/>
          <w:u w:val="single"/>
        </w:rPr>
        <w:t xml:space="preserve">（签字）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14:paraId="552554F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开户银行：</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开户银行：</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14:paraId="1C93A70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账号：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账号：</w:t>
      </w:r>
      <w:r>
        <w:rPr>
          <w:rFonts w:hint="eastAsia" w:ascii="宋体" w:hAnsi="宋体" w:eastAsia="宋体" w:cs="宋体"/>
          <w:sz w:val="21"/>
          <w:szCs w:val="21"/>
          <w:u w:val="single"/>
        </w:rPr>
        <w:t xml:space="preserve">                       </w:t>
      </w:r>
    </w:p>
    <w:p w14:paraId="2704F35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电话：</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电话：</w:t>
      </w:r>
      <w:r>
        <w:rPr>
          <w:rFonts w:hint="eastAsia" w:ascii="宋体" w:hAnsi="宋体" w:eastAsia="宋体" w:cs="宋体"/>
          <w:sz w:val="21"/>
          <w:szCs w:val="21"/>
          <w:u w:val="single"/>
        </w:rPr>
        <w:t xml:space="preserve">                       </w:t>
      </w:r>
    </w:p>
    <w:p w14:paraId="347B52E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传真：</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传真：</w:t>
      </w:r>
      <w:r>
        <w:rPr>
          <w:rFonts w:hint="eastAsia" w:ascii="宋体" w:hAnsi="宋体" w:eastAsia="宋体" w:cs="宋体"/>
          <w:sz w:val="21"/>
          <w:szCs w:val="21"/>
          <w:u w:val="single"/>
        </w:rPr>
        <w:t xml:space="preserve">                       </w:t>
      </w:r>
    </w:p>
    <w:p w14:paraId="3200CFF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电子邮箱：</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电子邮箱：</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p w14:paraId="047646CE">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outlineLvl w:val="0"/>
        <w:rPr>
          <w:rFonts w:hint="eastAsia" w:ascii="宋体" w:hAnsi="宋体" w:eastAsia="宋体" w:cs="宋体"/>
          <w:b/>
          <w:bCs/>
          <w:sz w:val="32"/>
          <w:szCs w:val="32"/>
        </w:rPr>
      </w:pPr>
      <w:bookmarkStart w:id="866" w:name="_Toc2308"/>
      <w:bookmarkStart w:id="867" w:name="_Toc29801"/>
      <w:r>
        <w:rPr>
          <w:rFonts w:hint="eastAsia" w:ascii="宋体" w:hAnsi="宋体" w:eastAsia="宋体" w:cs="宋体"/>
          <w:b/>
          <w:bCs/>
          <w:sz w:val="32"/>
          <w:szCs w:val="32"/>
        </w:rPr>
        <w:br w:type="page"/>
      </w:r>
      <w:r>
        <w:rPr>
          <w:rFonts w:hint="eastAsia" w:ascii="宋体" w:hAnsi="宋体" w:eastAsia="宋体" w:cs="宋体"/>
          <w:b/>
          <w:bCs/>
          <w:sz w:val="32"/>
          <w:szCs w:val="32"/>
        </w:rPr>
        <w:t>第二部分  通用条件</w:t>
      </w:r>
      <w:bookmarkEnd w:id="866"/>
      <w:bookmarkEnd w:id="867"/>
    </w:p>
    <w:p w14:paraId="5F8B978A">
      <w:pPr>
        <w:keepNext w:val="0"/>
        <w:keepLines w:val="0"/>
        <w:pageBreakBefore w:val="0"/>
        <w:widowControl w:val="0"/>
        <w:kinsoku/>
        <w:wordWrap/>
        <w:overflowPunct/>
        <w:topLinePunct w:val="0"/>
        <w:autoSpaceDE/>
        <w:autoSpaceDN/>
        <w:bidi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rPr>
        <w:t>1. 定义与解释</w:t>
      </w:r>
    </w:p>
    <w:p w14:paraId="4BA31373">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1.1 </w:t>
      </w:r>
      <w:r>
        <w:rPr>
          <w:rFonts w:hint="eastAsia" w:ascii="宋体" w:hAnsi="宋体" w:eastAsia="宋体" w:cs="宋体"/>
          <w:bCs/>
          <w:sz w:val="21"/>
          <w:szCs w:val="21"/>
        </w:rPr>
        <w:t>定义</w:t>
      </w:r>
    </w:p>
    <w:p w14:paraId="6AD6DC5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color w:val="auto"/>
          <w:sz w:val="21"/>
          <w:szCs w:val="21"/>
        </w:rPr>
        <w:t>除根据上下文另有其意义外，</w:t>
      </w:r>
      <w:r>
        <w:rPr>
          <w:rFonts w:hint="eastAsia" w:ascii="宋体" w:hAnsi="宋体" w:eastAsia="宋体" w:cs="宋体"/>
          <w:sz w:val="21"/>
          <w:szCs w:val="21"/>
        </w:rPr>
        <w:t>组成本合同的全部文件中的下列名词和用语应具有本款所赋予的含义：</w:t>
      </w:r>
    </w:p>
    <w:p w14:paraId="5A6C419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 “工程”是指按照本合同约定实施监理与相关服务的建设工程。</w:t>
      </w:r>
    </w:p>
    <w:p w14:paraId="1EBD252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1.1.2 “委托人”是指本合同中委托监理与相关服务的一方，及其合法的继承人或受让人。</w:t>
      </w:r>
    </w:p>
    <w:p w14:paraId="6E2F9A5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1.1.3 “监理人”是指本合同中提供监理与相关服务的一方，及其合法的继承人。</w:t>
      </w:r>
    </w:p>
    <w:p w14:paraId="6112FB1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1.1.4 “承包人”是指在工程范围内与委托人签订勘察、设计、施工等有关合同的当事人，及其合法的继承人。</w:t>
      </w:r>
    </w:p>
    <w:p w14:paraId="5A115991">
      <w:pPr>
        <w:pStyle w:val="24"/>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1.1.5 “监理”是指监理人受委托人的委托 ，依照法律法规、工程建设标准、勘察设计文件及合同，在施工阶段对建设工程质量、进度、造价进行控制，对合同、信息进行管理，对工程建设相关方的关系进行协调，并履行建设工程安全生产管理法定职责的服务活动。</w:t>
      </w:r>
    </w:p>
    <w:p w14:paraId="00C6AC7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1.1.6 “相关服务”是指监理人受委托人的委托 ，按照本合同约定，在勘察、设计、保修等阶段提供的服务活动。</w:t>
      </w:r>
    </w:p>
    <w:p w14:paraId="66EC3F5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1.1.7 “正常工作”指本合同订立时通用条件和专用条件中约定的监理人的</w:t>
      </w:r>
      <w:r>
        <w:rPr>
          <w:rFonts w:hint="eastAsia" w:ascii="宋体" w:hAnsi="宋体" w:eastAsia="宋体" w:cs="宋体"/>
          <w:color w:val="000000"/>
          <w:sz w:val="21"/>
          <w:szCs w:val="21"/>
        </w:rPr>
        <w:t>工作</w:t>
      </w:r>
      <w:r>
        <w:rPr>
          <w:rFonts w:hint="eastAsia" w:ascii="宋体" w:hAnsi="宋体" w:eastAsia="宋体" w:cs="宋体"/>
          <w:sz w:val="21"/>
          <w:szCs w:val="21"/>
        </w:rPr>
        <w:t>。</w:t>
      </w:r>
    </w:p>
    <w:p w14:paraId="6577EA3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1.1.8 “附加工作”是指本合同约定的正常工作以外监理人的工作。</w:t>
      </w:r>
    </w:p>
    <w:p w14:paraId="41067A8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1.1.9 “项目监理机构”是指监理人派驻工程负责履行本合同的组织机构。</w:t>
      </w:r>
    </w:p>
    <w:p w14:paraId="645E57F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1.1.10 “总监理工程师”是指由监理人的法定代表人书面授权，全面负责履行本合同、主持项目监理机构工作的注册监理工程师。</w:t>
      </w:r>
    </w:p>
    <w:p w14:paraId="748B0B6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1.1.11 “酬金”是指监理人履行本合同义务，委托人按照本合同约定给付监理人的金额。</w:t>
      </w:r>
    </w:p>
    <w:p w14:paraId="1AFA5AA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1.1.12 “正常工作</w:t>
      </w:r>
      <w:r>
        <w:rPr>
          <w:rFonts w:hint="eastAsia" w:ascii="宋体" w:hAnsi="宋体" w:eastAsia="宋体" w:cs="宋体"/>
          <w:kern w:val="0"/>
          <w:sz w:val="21"/>
          <w:szCs w:val="21"/>
        </w:rPr>
        <w:t>酬金”</w:t>
      </w:r>
      <w:r>
        <w:rPr>
          <w:rFonts w:hint="eastAsia" w:ascii="宋体" w:hAnsi="宋体" w:eastAsia="宋体" w:cs="宋体"/>
          <w:sz w:val="21"/>
          <w:szCs w:val="21"/>
        </w:rPr>
        <w:t>是指监理人完成正常工作，委托人应给付监理人并在协议书中载明的签约</w:t>
      </w:r>
      <w:r>
        <w:rPr>
          <w:rFonts w:hint="eastAsia" w:ascii="宋体" w:hAnsi="宋体" w:eastAsia="宋体" w:cs="宋体"/>
          <w:kern w:val="0"/>
          <w:sz w:val="21"/>
          <w:szCs w:val="21"/>
        </w:rPr>
        <w:t>酬金额</w:t>
      </w:r>
      <w:r>
        <w:rPr>
          <w:rFonts w:hint="eastAsia" w:ascii="宋体" w:hAnsi="宋体" w:eastAsia="宋体" w:cs="宋体"/>
          <w:sz w:val="21"/>
          <w:szCs w:val="21"/>
        </w:rPr>
        <w:t>。</w:t>
      </w:r>
    </w:p>
    <w:p w14:paraId="065ECEC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1.1.13 “附加工作酬金”是指监理人完成附加工作，委托人应给付监理人的金额。</w:t>
      </w:r>
    </w:p>
    <w:p w14:paraId="62B0866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1.1.14 “一方”是指委托人或监理人；“双方”是指委托人和监理人；“第三方”是指除委托人和监理人以外的有关方。</w:t>
      </w:r>
    </w:p>
    <w:p w14:paraId="3EDE818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1.1.15 “书面形式”是指合同书、信件和数据电文（包括电报、电传、传真、电子数据交换和电子邮件）等可以有形地表现所载内容的形式。</w:t>
      </w:r>
    </w:p>
    <w:p w14:paraId="17DA4B8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1.1.16 “天”是指第一天零时至第二天零时的时间。</w:t>
      </w:r>
    </w:p>
    <w:p w14:paraId="2CFC491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1.1.17“月”是指按公历从一个月中任何一天开始的一个公历月时间。</w:t>
      </w:r>
    </w:p>
    <w:p w14:paraId="17E6B35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1.1.18 “不可抗力”是指委托人和监理人在订立本合同时不可预见，在工程施工过程中不可避免发生并不能克服的自然灾害和社会性突发事件，如地震、海啸、瘟疫、水灾、骚乱、暴动、战争和专用条件约定的其他情形。</w:t>
      </w:r>
    </w:p>
    <w:p w14:paraId="06434D4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bCs/>
          <w:sz w:val="21"/>
          <w:szCs w:val="21"/>
        </w:rPr>
        <w:t xml:space="preserve">1.2 </w:t>
      </w:r>
      <w:r>
        <w:rPr>
          <w:rFonts w:hint="eastAsia" w:ascii="宋体" w:hAnsi="宋体" w:eastAsia="宋体" w:cs="宋体"/>
          <w:sz w:val="21"/>
          <w:szCs w:val="21"/>
        </w:rPr>
        <w:t>解释</w:t>
      </w:r>
    </w:p>
    <w:p w14:paraId="0660F104">
      <w:pPr>
        <w:keepNext w:val="0"/>
        <w:keepLines w:val="0"/>
        <w:pageBreakBefore w:val="0"/>
        <w:widowControl w:val="0"/>
        <w:tabs>
          <w:tab w:val="left" w:pos="6140"/>
        </w:tabs>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1.2.1本合同使用中文书写、解释和说明。如专用条件约定使用两种及以上语言文字时，应以中文为准。</w:t>
      </w:r>
    </w:p>
    <w:p w14:paraId="2E46B823">
      <w:pPr>
        <w:keepNext w:val="0"/>
        <w:keepLines w:val="0"/>
        <w:pageBreakBefore w:val="0"/>
        <w:widowControl w:val="0"/>
        <w:tabs>
          <w:tab w:val="left" w:pos="6140"/>
        </w:tabs>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1.2.2 组成本合同的下列文件彼此应能相互解释、互为说明。除专用条件另有约定外，本合同文件的解释顺序如下：</w:t>
      </w:r>
    </w:p>
    <w:p w14:paraId="560B81B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（1）协议书；</w:t>
      </w:r>
    </w:p>
    <w:p w14:paraId="01F9A68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（2）中标通知书（适用于招标工程）或委托书（适用于非招标工程）；</w:t>
      </w:r>
    </w:p>
    <w:p w14:paraId="62EEF3D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（3）专用条件及附录A、附录B；</w:t>
      </w:r>
    </w:p>
    <w:p w14:paraId="03BF810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（4）通用条件；</w:t>
      </w:r>
    </w:p>
    <w:p w14:paraId="08D593A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（5）投标文件（适用于招标工程）或监理与相关服务建议书（适用于非招标工程）。</w:t>
      </w:r>
    </w:p>
    <w:p w14:paraId="7E3A552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双方签订的补充协议与其他文件发生矛盾或歧义时，属于同一类内容的文件，应以最新签署的为准。</w:t>
      </w:r>
    </w:p>
    <w:p w14:paraId="63EAA29A">
      <w:pPr>
        <w:keepNext w:val="0"/>
        <w:keepLines w:val="0"/>
        <w:pageBreakBefore w:val="0"/>
        <w:widowControl w:val="0"/>
        <w:kinsoku/>
        <w:wordWrap/>
        <w:overflowPunct/>
        <w:topLinePunct w:val="0"/>
        <w:autoSpaceDE/>
        <w:autoSpaceDN/>
        <w:bidi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rPr>
        <w:t>2. 监理人的义务</w:t>
      </w:r>
    </w:p>
    <w:p w14:paraId="04B99BD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2.1 监理的范围和工作内容</w:t>
      </w:r>
    </w:p>
    <w:p w14:paraId="6C3BB19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2.1.1 监理范围在专用条件中约定。</w:t>
      </w:r>
    </w:p>
    <w:p w14:paraId="67633DC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2.1.2 除专用条件另有约定外，监理工作内容包括：</w:t>
      </w:r>
    </w:p>
    <w:p w14:paraId="79DFBE5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（1）收到工程设计文件后编制监理规划，并在第一次工地会议7天前报委托人。根据有关规定和监理工作需要，编制监理实施细则；</w:t>
      </w:r>
    </w:p>
    <w:p w14:paraId="491D4EB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（2）熟悉工程设计文件，并参加由委托人主持的图纸会审和设计交底会议；</w:t>
      </w:r>
    </w:p>
    <w:p w14:paraId="18135DE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（3）参加由委托人主持的第一次工地会议；主持监理例会并根据工程需要主持或参加专题会议；</w:t>
      </w:r>
    </w:p>
    <w:p w14:paraId="118C286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（4）审查施工承包人提交的施工组织设计，重点审查其中的质量安全技术措施、专项施工方案与工程建设强制性标准的符合性；</w:t>
      </w:r>
    </w:p>
    <w:p w14:paraId="0A831BD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（5）检查施工承包人工程质量、安全生产管理制度及组织机构和人员资格； </w:t>
      </w:r>
    </w:p>
    <w:p w14:paraId="6F196B4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（6）检查施工承包人专职安全生产管理人员的配备情况；</w:t>
      </w:r>
    </w:p>
    <w:p w14:paraId="66A2A09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（7）审查施工承包人提交的施工进度计划，核查承包人对施工进度计划的调整；</w:t>
      </w:r>
    </w:p>
    <w:p w14:paraId="61E5403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val="en-US" w:eastAsia="zh-CN"/>
        </w:rPr>
        <w:t>8</w:t>
      </w:r>
      <w:r>
        <w:rPr>
          <w:rFonts w:hint="eastAsia" w:ascii="宋体" w:hAnsi="宋体" w:eastAsia="宋体" w:cs="宋体"/>
          <w:sz w:val="21"/>
          <w:szCs w:val="21"/>
        </w:rPr>
        <w:t>）审核施工分包人资质条件；</w:t>
      </w:r>
    </w:p>
    <w:p w14:paraId="5AB2E0EC">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val="en-US" w:eastAsia="zh-CN"/>
        </w:rPr>
        <w:t>9</w:t>
      </w:r>
      <w:r>
        <w:rPr>
          <w:rFonts w:hint="eastAsia" w:ascii="宋体" w:hAnsi="宋体" w:eastAsia="宋体" w:cs="宋体"/>
          <w:sz w:val="21"/>
          <w:szCs w:val="21"/>
        </w:rPr>
        <w:t>）查验施工承包人的施工测量放线成果；</w:t>
      </w:r>
    </w:p>
    <w:p w14:paraId="7E24224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0</w:t>
      </w:r>
      <w:r>
        <w:rPr>
          <w:rFonts w:hint="eastAsia" w:ascii="宋体" w:hAnsi="宋体" w:eastAsia="宋体" w:cs="宋体"/>
          <w:sz w:val="21"/>
          <w:szCs w:val="21"/>
        </w:rPr>
        <w:t>）审查工程开工条件，对条件具备的签发开工令；</w:t>
      </w:r>
    </w:p>
    <w:p w14:paraId="1C28ED7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1</w:t>
      </w:r>
      <w:r>
        <w:rPr>
          <w:rFonts w:hint="eastAsia" w:ascii="宋体" w:hAnsi="宋体" w:eastAsia="宋体" w:cs="宋体"/>
          <w:sz w:val="21"/>
          <w:szCs w:val="21"/>
        </w:rPr>
        <w:t>）审查施工承包人报送的工程材料、构配件、设备质量证明文件的有效性和符合性，并按规定对用于工程的材料采取平行检验或见证取样方式进行抽检；</w:t>
      </w:r>
    </w:p>
    <w:p w14:paraId="2DDB73B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2</w:t>
      </w:r>
      <w:r>
        <w:rPr>
          <w:rFonts w:hint="eastAsia" w:ascii="宋体" w:hAnsi="宋体" w:eastAsia="宋体" w:cs="宋体"/>
          <w:sz w:val="21"/>
          <w:szCs w:val="21"/>
        </w:rPr>
        <w:t>）审核施工承包人提交的工程款支付申请，签发或出具工程款支付证书，并报委托人审核、批准；</w:t>
      </w:r>
    </w:p>
    <w:p w14:paraId="4624022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3</w:t>
      </w:r>
      <w:r>
        <w:rPr>
          <w:rFonts w:hint="eastAsia" w:ascii="宋体" w:hAnsi="宋体" w:eastAsia="宋体" w:cs="宋体"/>
          <w:sz w:val="21"/>
          <w:szCs w:val="21"/>
        </w:rPr>
        <w:t>）在巡视、旁站和检验过程中，发现工程质量、施工安全存在事故隐患的，要求施工承包人整改并报委托人；</w:t>
      </w:r>
    </w:p>
    <w:p w14:paraId="2487CCC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4</w:t>
      </w:r>
      <w:r>
        <w:rPr>
          <w:rFonts w:hint="eastAsia" w:ascii="宋体" w:hAnsi="宋体" w:eastAsia="宋体" w:cs="宋体"/>
          <w:sz w:val="21"/>
          <w:szCs w:val="21"/>
        </w:rPr>
        <w:t>）经委托人同意，签发工程暂停令和复工令；</w:t>
      </w:r>
    </w:p>
    <w:p w14:paraId="041FE91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5</w:t>
      </w:r>
      <w:r>
        <w:rPr>
          <w:rFonts w:hint="eastAsia" w:ascii="宋体" w:hAnsi="宋体" w:eastAsia="宋体" w:cs="宋体"/>
          <w:sz w:val="21"/>
          <w:szCs w:val="21"/>
        </w:rPr>
        <w:t>）审查施工承包人提交的采用新材料、新工艺、新技术、新设备的论证材料及相关验收标准；</w:t>
      </w:r>
    </w:p>
    <w:p w14:paraId="3326A28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6</w:t>
      </w:r>
      <w:r>
        <w:rPr>
          <w:rFonts w:hint="eastAsia" w:ascii="宋体" w:hAnsi="宋体" w:eastAsia="宋体" w:cs="宋体"/>
          <w:sz w:val="21"/>
          <w:szCs w:val="21"/>
        </w:rPr>
        <w:t>）验收隐蔽工程、分部分项工程；</w:t>
      </w:r>
    </w:p>
    <w:p w14:paraId="4CB32C4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7</w:t>
      </w:r>
      <w:r>
        <w:rPr>
          <w:rFonts w:hint="eastAsia" w:ascii="宋体" w:hAnsi="宋体" w:eastAsia="宋体" w:cs="宋体"/>
          <w:sz w:val="21"/>
          <w:szCs w:val="21"/>
        </w:rPr>
        <w:t>）审查施工承包人提交的工程变更申请，协调处理施工进度调整、费用索赔、合同争议等事项；</w:t>
      </w:r>
    </w:p>
    <w:p w14:paraId="4BD18EF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cs="宋体"/>
          <w:sz w:val="21"/>
          <w:szCs w:val="21"/>
          <w:lang w:val="en-US" w:eastAsia="zh-CN"/>
        </w:rPr>
        <w:t>8</w:t>
      </w:r>
      <w:r>
        <w:rPr>
          <w:rFonts w:hint="eastAsia" w:ascii="宋体" w:hAnsi="宋体" w:eastAsia="宋体" w:cs="宋体"/>
          <w:sz w:val="21"/>
          <w:szCs w:val="21"/>
        </w:rPr>
        <w:t>）审查施工承包人提交的竣工验收申请，编写工程质量评估报告；</w:t>
      </w:r>
    </w:p>
    <w:p w14:paraId="2BF4835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val="en-US" w:eastAsia="zh-CN"/>
        </w:rPr>
        <w:t>19</w:t>
      </w:r>
      <w:r>
        <w:rPr>
          <w:rFonts w:hint="eastAsia" w:ascii="宋体" w:hAnsi="宋体" w:eastAsia="宋体" w:cs="宋体"/>
          <w:sz w:val="21"/>
          <w:szCs w:val="21"/>
        </w:rPr>
        <w:t>）参加工程竣工验收，签署竣工验收意见；</w:t>
      </w:r>
    </w:p>
    <w:p w14:paraId="3506128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0</w:t>
      </w:r>
      <w:r>
        <w:rPr>
          <w:rFonts w:hint="eastAsia" w:ascii="宋体" w:hAnsi="宋体" w:eastAsia="宋体" w:cs="宋体"/>
          <w:sz w:val="21"/>
          <w:szCs w:val="21"/>
        </w:rPr>
        <w:t>）审查施工承包人提交的竣工结算申请并报委托人；</w:t>
      </w:r>
    </w:p>
    <w:p w14:paraId="74AB2C2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cs="宋体"/>
          <w:sz w:val="21"/>
          <w:szCs w:val="21"/>
          <w:lang w:val="en-US" w:eastAsia="zh-CN"/>
        </w:rPr>
        <w:t>1</w:t>
      </w:r>
      <w:r>
        <w:rPr>
          <w:rFonts w:hint="eastAsia" w:ascii="宋体" w:hAnsi="宋体" w:eastAsia="宋体" w:cs="宋体"/>
          <w:sz w:val="21"/>
          <w:szCs w:val="21"/>
        </w:rPr>
        <w:t>）编制、整理工程监理归档文件并报委托人。</w:t>
      </w:r>
    </w:p>
    <w:p w14:paraId="7E2C4B7D">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2.1.3 相关服务的范围和内容在附录A中约定。</w:t>
      </w:r>
    </w:p>
    <w:p w14:paraId="04A54FBD">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2.2 </w:t>
      </w:r>
      <w:r>
        <w:rPr>
          <w:rFonts w:hint="eastAsia" w:ascii="宋体" w:hAnsi="宋体" w:eastAsia="宋体" w:cs="宋体"/>
          <w:bCs/>
          <w:sz w:val="21"/>
          <w:szCs w:val="21"/>
        </w:rPr>
        <w:t>监理与相关服务依据</w:t>
      </w:r>
    </w:p>
    <w:p w14:paraId="5A03FD7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2.2.1 监理依据包括：</w:t>
      </w:r>
    </w:p>
    <w:p w14:paraId="34F6239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（1）适用的法律、行政法规及部门规章；</w:t>
      </w:r>
    </w:p>
    <w:p w14:paraId="41DA2DF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（2）与工程有关的标准；</w:t>
      </w:r>
    </w:p>
    <w:p w14:paraId="21D04C7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（3）工程设计及有关文件；</w:t>
      </w:r>
    </w:p>
    <w:p w14:paraId="1CCDEFE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（4）本合同及委托人与第三方签订的与实施工程有关的其他合同。</w:t>
      </w:r>
    </w:p>
    <w:p w14:paraId="0C35074D">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双方根据工程的行业和地域特点，在专用条件中具体约定监理依据。</w:t>
      </w:r>
    </w:p>
    <w:p w14:paraId="18E28FA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2.2.2 相关服务依据在专用条件中约定。</w:t>
      </w:r>
    </w:p>
    <w:p w14:paraId="4BF0916C">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 项目监理机构和人员</w:t>
      </w:r>
    </w:p>
    <w:p w14:paraId="1CDF508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2.3.1 监理人应组建满足工作需要的项目监理机构，配备必要的检测设备。项目监理机构的主要人员应具有相应的资格条件。</w:t>
      </w:r>
    </w:p>
    <w:p w14:paraId="439A3DC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2.3.2本合同履行过程中，总监理工程师及重要岗位监理人员应保持相对稳定，以保证监理工作正常进行。</w:t>
      </w:r>
    </w:p>
    <w:p w14:paraId="306A653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2.3.3监理人可根据工程进展和工作需要调整项目监理机构人员。监理人更换总监理工程师时，应提前7天向委托人书面报告，经委托人同意后方可更换；监理人更换项目监理机构其他监理人员，应以相当资格与能力的人员替换，并通知委托人。</w:t>
      </w:r>
    </w:p>
    <w:p w14:paraId="7BDEAE5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2.3.4 监理人应及时更换有下列情形之一的监理人员：</w:t>
      </w:r>
    </w:p>
    <w:p w14:paraId="07BB0F5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（1）严重过失行为的；</w:t>
      </w:r>
    </w:p>
    <w:p w14:paraId="4B445D5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（2）有违法行为不能履行职责的；</w:t>
      </w:r>
    </w:p>
    <w:p w14:paraId="21FB7C5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（3）涉嫌犯罪的；</w:t>
      </w:r>
    </w:p>
    <w:p w14:paraId="1527611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（4）不能胜任岗位职责的；</w:t>
      </w:r>
    </w:p>
    <w:p w14:paraId="1B95A3C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（5）严重违反职业道德的；</w:t>
      </w:r>
    </w:p>
    <w:p w14:paraId="6C1A564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（6）专用条件约定的其他情形。</w:t>
      </w:r>
    </w:p>
    <w:p w14:paraId="126282D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2.3.5 委托人可要求监理人更换不能胜任本职工作的项目监理机构人员。</w:t>
      </w:r>
    </w:p>
    <w:p w14:paraId="224CE9F4">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2.4 履行职责</w:t>
      </w:r>
    </w:p>
    <w:p w14:paraId="1E430DB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监理人应遵循职业道德准则和行为规范，严格按照法律法规、工程建设有关标准及本合同履行职责。</w:t>
      </w:r>
    </w:p>
    <w:p w14:paraId="5780F1A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2.4.1 在监理与相关服务范围内，委托人和承包人提出的意见和要求，监理人应及时提出处置意见。当委托人与承包人之间发生合同争议时，监理人应协助委托人、承包人协商解决。</w:t>
      </w:r>
    </w:p>
    <w:p w14:paraId="57FD10D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2.4.2 当委托人与承包人之间的合同争议提交仲裁机构仲裁或人民法院审理时，监理人应提供必要的证明资料。</w:t>
      </w:r>
    </w:p>
    <w:p w14:paraId="0A66C89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2.4.3 监理人应在专用条件约定的授权范围内，处理委托人与承包人所签订合同的变更事宜。如果变更超过授权范围，应以书面形式报委托人批准。</w:t>
      </w:r>
    </w:p>
    <w:p w14:paraId="3F2059F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在紧急情况下，为了保护财产和人身安全，监理人所发出的指令未能事先报委托人批准时，应在发出指令后的24小时内以书面形式报委托人。</w:t>
      </w:r>
    </w:p>
    <w:p w14:paraId="3521AC2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2.4.4 除专用条件另有约定外，监理人发现承包人的人员不能胜任本职工作的，有权要求承包人予以调换。</w:t>
      </w:r>
    </w:p>
    <w:p w14:paraId="6F90CA9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2.5 提交报告</w:t>
      </w:r>
    </w:p>
    <w:p w14:paraId="5F714AE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监理人应按专用条件约定的种类、时间和份数向委托人提交监理与相关服务的报告。</w:t>
      </w:r>
    </w:p>
    <w:p w14:paraId="61E28423">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2.6 文件资料</w:t>
      </w:r>
    </w:p>
    <w:p w14:paraId="246B133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在本合同履行期内，监理人应在现场保留工作所用的图纸、报告及记录监理工</w:t>
      </w:r>
      <w:r>
        <w:rPr>
          <w:rFonts w:hint="eastAsia" w:ascii="宋体" w:hAnsi="宋体" w:eastAsia="宋体" w:cs="宋体"/>
          <w:sz w:val="21"/>
          <w:szCs w:val="21"/>
        </w:rPr>
        <w:t>作的相关文件。工程竣工后，应当按照档案管理规定将监理有关文件归档。</w:t>
      </w:r>
    </w:p>
    <w:p w14:paraId="3F940A4F">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2.7 使用委托人的财产</w:t>
      </w:r>
    </w:p>
    <w:p w14:paraId="6F8FB8C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无偿使用附录B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14:paraId="5240437A">
      <w:pPr>
        <w:keepNext w:val="0"/>
        <w:keepLines w:val="0"/>
        <w:pageBreakBefore w:val="0"/>
        <w:widowControl w:val="0"/>
        <w:kinsoku/>
        <w:wordWrap/>
        <w:overflowPunct/>
        <w:topLinePunct w:val="0"/>
        <w:autoSpaceDE/>
        <w:autoSpaceDN/>
        <w:bidi w:val="0"/>
        <w:spacing w:line="440" w:lineRule="exact"/>
        <w:ind w:left="0" w:leftChars="0" w:firstLine="422" w:firstLineChars="200"/>
        <w:jc w:val="left"/>
        <w:textAlignment w:val="auto"/>
        <w:rPr>
          <w:rFonts w:hint="eastAsia" w:ascii="宋体" w:hAnsi="宋体" w:eastAsia="宋体" w:cs="宋体"/>
          <w:b/>
          <w:kern w:val="0"/>
          <w:sz w:val="21"/>
          <w:szCs w:val="21"/>
        </w:rPr>
      </w:pPr>
      <w:r>
        <w:rPr>
          <w:rFonts w:hint="eastAsia" w:ascii="宋体" w:hAnsi="宋体" w:eastAsia="宋体" w:cs="宋体"/>
          <w:b/>
          <w:kern w:val="0"/>
          <w:sz w:val="21"/>
          <w:szCs w:val="21"/>
        </w:rPr>
        <w:t>3．委托人的义务</w:t>
      </w:r>
    </w:p>
    <w:p w14:paraId="617D0296">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3.1 告知</w:t>
      </w:r>
    </w:p>
    <w:p w14:paraId="725732A1">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委托人应在委托人与承包人签订的合同中明确监理人、总监理工程师和授予项目监理机构的权限。如有变更，应及时通知承包人。</w:t>
      </w:r>
    </w:p>
    <w:p w14:paraId="76FBE52F">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3.2 提供资料</w:t>
      </w:r>
    </w:p>
    <w:p w14:paraId="7093AE7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委托人应按照附录B约定，</w:t>
      </w:r>
      <w:r>
        <w:rPr>
          <w:rFonts w:hint="eastAsia" w:ascii="宋体" w:hAnsi="宋体" w:eastAsia="宋体" w:cs="宋体"/>
          <w:color w:val="000000"/>
          <w:kern w:val="0"/>
          <w:sz w:val="21"/>
          <w:szCs w:val="21"/>
        </w:rPr>
        <w:t>无偿</w:t>
      </w:r>
      <w:r>
        <w:rPr>
          <w:rFonts w:hint="eastAsia" w:ascii="宋体" w:hAnsi="宋体" w:eastAsia="宋体" w:cs="宋体"/>
          <w:kern w:val="0"/>
          <w:sz w:val="21"/>
          <w:szCs w:val="21"/>
        </w:rPr>
        <w:t>向监理人提供工程有关的资料。</w:t>
      </w:r>
      <w:r>
        <w:rPr>
          <w:rFonts w:hint="eastAsia" w:ascii="宋体" w:hAnsi="宋体" w:eastAsia="宋体" w:cs="宋体"/>
          <w:sz w:val="21"/>
          <w:szCs w:val="21"/>
        </w:rPr>
        <w:t>在本合同履行过程中，委托人应及时向监理人提供最新的与工程有关的资料。</w:t>
      </w:r>
    </w:p>
    <w:p w14:paraId="5BDE3BA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3.3 提供工作条件</w:t>
      </w:r>
    </w:p>
    <w:p w14:paraId="5213433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委托人应为监理人完成监理与相关服务提供必要的条件。</w:t>
      </w:r>
    </w:p>
    <w:p w14:paraId="0B4AFAE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 xml:space="preserve">3.3.1 </w:t>
      </w:r>
      <w:r>
        <w:rPr>
          <w:rFonts w:hint="eastAsia" w:ascii="宋体" w:hAnsi="宋体" w:eastAsia="宋体" w:cs="宋体"/>
          <w:sz w:val="21"/>
          <w:szCs w:val="21"/>
        </w:rPr>
        <w:t>委托人应按照附录B约定，派遣相应的人员，提供房屋、设备，供监理人</w:t>
      </w:r>
      <w:r>
        <w:rPr>
          <w:rFonts w:hint="eastAsia" w:ascii="宋体" w:hAnsi="宋体" w:eastAsia="宋体" w:cs="宋体"/>
          <w:kern w:val="0"/>
          <w:sz w:val="21"/>
          <w:szCs w:val="21"/>
        </w:rPr>
        <w:t>无偿</w:t>
      </w:r>
      <w:r>
        <w:rPr>
          <w:rFonts w:hint="eastAsia" w:ascii="宋体" w:hAnsi="宋体" w:eastAsia="宋体" w:cs="宋体"/>
          <w:sz w:val="21"/>
          <w:szCs w:val="21"/>
        </w:rPr>
        <w:t>使用。</w:t>
      </w:r>
    </w:p>
    <w:p w14:paraId="73B3D3E5">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 xml:space="preserve">3.3.2 </w:t>
      </w:r>
      <w:r>
        <w:rPr>
          <w:rFonts w:hint="eastAsia" w:ascii="宋体" w:hAnsi="宋体" w:eastAsia="宋体" w:cs="宋体"/>
          <w:sz w:val="21"/>
          <w:szCs w:val="21"/>
        </w:rPr>
        <w:t>委托人应负责协调工程建设中所有外部关系，为监理人履行本合同提供必要的外部条件。</w:t>
      </w:r>
    </w:p>
    <w:p w14:paraId="266262B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3.4 委托人代表</w:t>
      </w:r>
    </w:p>
    <w:p w14:paraId="1AC96879">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委托人应授权一名熟悉工程情况的代表，负责与监理人联系。委托人应在双方签订本合同后7天内，将委托人代表的姓名和职责书面告知监理人。当委托人更换委托人代表时，应提前7天通知监理人。</w:t>
      </w:r>
    </w:p>
    <w:p w14:paraId="3FA88821">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3.5 委托人意见或要求</w:t>
      </w:r>
    </w:p>
    <w:p w14:paraId="472D5E5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在本合同约定的监理与相关服务工作范围内，委托人对承包人的任何意见或要求应通知监理人，由监理人向承包人发出相应指令。</w:t>
      </w:r>
    </w:p>
    <w:p w14:paraId="7F23D4F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3.6 答复</w:t>
      </w:r>
    </w:p>
    <w:p w14:paraId="7AC6301E">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委托人应在专用条件约定的时间内，对监理人以书面形式提交并要求作出决定的事宜，给予书面答复。逾期未答复的，视为委托人认可。</w:t>
      </w:r>
    </w:p>
    <w:p w14:paraId="1AFB5213">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3.7 支付</w:t>
      </w:r>
    </w:p>
    <w:p w14:paraId="799FCB1B">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委托人应按本合同约定，向监理人支付酬金。</w:t>
      </w:r>
    </w:p>
    <w:p w14:paraId="281BA238">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4. 违约责任</w:t>
      </w:r>
    </w:p>
    <w:p w14:paraId="3214940C">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 监理人的违约责任</w:t>
      </w:r>
    </w:p>
    <w:p w14:paraId="42EB1F2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监理人未履行本合同义务的，应承担相应的责任。</w:t>
      </w:r>
    </w:p>
    <w:p w14:paraId="557E62F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4.1.1 因监理人违反本合同约定</w:t>
      </w:r>
      <w:r>
        <w:rPr>
          <w:rFonts w:hint="eastAsia" w:ascii="宋体" w:hAnsi="宋体" w:eastAsia="宋体" w:cs="宋体"/>
          <w:sz w:val="21"/>
          <w:szCs w:val="21"/>
        </w:rPr>
        <w:t>给委托人造成损失的，监理人应当赔偿委托人损失</w:t>
      </w:r>
      <w:r>
        <w:rPr>
          <w:rFonts w:hint="eastAsia" w:ascii="宋体" w:hAnsi="宋体" w:eastAsia="宋体" w:cs="宋体"/>
          <w:kern w:val="0"/>
          <w:sz w:val="21"/>
          <w:szCs w:val="21"/>
        </w:rPr>
        <w:t>。赔偿金额的确定方法在专用条件中约定。监理人承担部分赔偿责任的，其承担赔偿金额由双方协商确定。</w:t>
      </w:r>
    </w:p>
    <w:p w14:paraId="262776FA">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4.1.2 监理人向委托人的索赔不成立时，监理人应赔偿委托人由此发生的费用。</w:t>
      </w:r>
    </w:p>
    <w:p w14:paraId="4E65E0C7">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4.2 委托人的违约责任</w:t>
      </w:r>
    </w:p>
    <w:p w14:paraId="00B62EA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委托人未履行本合同义务的，应承担相应的责任。</w:t>
      </w:r>
    </w:p>
    <w:p w14:paraId="3B1758F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4.2.1 委托人违反本合同约定造成监理人损失的，委托人应予以赔偿。</w:t>
      </w:r>
    </w:p>
    <w:p w14:paraId="7E85719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4.2.2 委托人向监理人的索赔不成立时，应赔偿监理人由此引起的费用。</w:t>
      </w:r>
    </w:p>
    <w:p w14:paraId="216692F6">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 xml:space="preserve">4.2.3 </w:t>
      </w:r>
      <w:r>
        <w:rPr>
          <w:rFonts w:hint="eastAsia" w:ascii="宋体" w:hAnsi="宋体" w:eastAsia="宋体" w:cs="宋体"/>
          <w:kern w:val="0"/>
          <w:sz w:val="21"/>
          <w:szCs w:val="21"/>
        </w:rPr>
        <w:t>委托人未能按期支付</w:t>
      </w:r>
      <w:r>
        <w:rPr>
          <w:rFonts w:hint="eastAsia" w:ascii="宋体" w:hAnsi="宋体" w:eastAsia="宋体" w:cs="宋体"/>
          <w:sz w:val="21"/>
          <w:szCs w:val="21"/>
        </w:rPr>
        <w:t>酬金</w:t>
      </w:r>
      <w:r>
        <w:rPr>
          <w:rFonts w:hint="eastAsia" w:ascii="宋体" w:hAnsi="宋体" w:eastAsia="宋体" w:cs="宋体"/>
          <w:kern w:val="0"/>
          <w:sz w:val="21"/>
          <w:szCs w:val="21"/>
        </w:rPr>
        <w:t>超过28天，应按专用条件约定支付逾期付款利息。</w:t>
      </w:r>
    </w:p>
    <w:p w14:paraId="725FD849">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4.3 除外责任</w:t>
      </w:r>
    </w:p>
    <w:p w14:paraId="46EAF71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因非监理人的原因，且监理人无过错，发生工程质量事故、安全事故、工期延误等造成的损失，监理人不承担赔偿责任。</w:t>
      </w:r>
    </w:p>
    <w:p w14:paraId="0E1F12D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因不可抗力导致本合同全部或部分不能履行时，双方各自承担其因此而造成的损失、损害。</w:t>
      </w:r>
    </w:p>
    <w:p w14:paraId="58BB355D">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5. 支付</w:t>
      </w:r>
    </w:p>
    <w:p w14:paraId="0E4F5FE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5.1 </w:t>
      </w:r>
      <w:r>
        <w:rPr>
          <w:rFonts w:hint="eastAsia" w:ascii="宋体" w:hAnsi="宋体" w:eastAsia="宋体" w:cs="宋体"/>
          <w:bCs/>
          <w:sz w:val="21"/>
          <w:szCs w:val="21"/>
        </w:rPr>
        <w:t>支付货币</w:t>
      </w:r>
    </w:p>
    <w:p w14:paraId="46031011">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除专用条件另有约定外，酬金均以人民币支付。涉及外币支付的，所采用的货币种类、比例和汇率在专用条件中约定。</w:t>
      </w:r>
    </w:p>
    <w:p w14:paraId="0110783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5.2 支付申请</w:t>
      </w:r>
    </w:p>
    <w:p w14:paraId="20CAFC0B">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监理人应在本合同约定的每次应付款时间的7天前，向委托人提交支付申请书。支付申请书应当说明当期应付款总额，并列出当期应支付的款项及其金额。</w:t>
      </w:r>
    </w:p>
    <w:p w14:paraId="491974C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 5.3 支付酬金</w:t>
      </w:r>
    </w:p>
    <w:p w14:paraId="2F533B06">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支付的酬金包括正常工作酬金、附加工作酬金、合理化建议奖励金额及费用。</w:t>
      </w:r>
    </w:p>
    <w:p w14:paraId="0ECF695E">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5.4 </w:t>
      </w:r>
      <w:r>
        <w:rPr>
          <w:rFonts w:hint="eastAsia" w:ascii="宋体" w:hAnsi="宋体" w:eastAsia="宋体" w:cs="宋体"/>
          <w:bCs/>
          <w:sz w:val="21"/>
          <w:szCs w:val="21"/>
        </w:rPr>
        <w:t>有争议部分的付款</w:t>
      </w:r>
    </w:p>
    <w:p w14:paraId="2C46C52B">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委托人对监理人提交的支付申请书有异议时，应当在收到监理人提交的支付申请书后7天内，以书面形式向监理人发出异议通知。无异议部分的款项应按期支付，有异议部分的款项按第7条约定办理。</w:t>
      </w:r>
    </w:p>
    <w:p w14:paraId="0F5DB5C6">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bCs/>
          <w:color w:val="FF0000"/>
          <w:sz w:val="21"/>
          <w:szCs w:val="21"/>
        </w:rPr>
      </w:pPr>
      <w:r>
        <w:rPr>
          <w:rFonts w:hint="eastAsia" w:ascii="宋体" w:hAnsi="宋体" w:eastAsia="宋体" w:cs="宋体"/>
          <w:b/>
          <w:bCs/>
          <w:sz w:val="21"/>
          <w:szCs w:val="21"/>
        </w:rPr>
        <w:t>6. 合同生效、变更、暂停、解除与终止</w:t>
      </w:r>
    </w:p>
    <w:p w14:paraId="4A4D979D">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6.1生效</w:t>
      </w:r>
    </w:p>
    <w:p w14:paraId="5620A958">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除法律另有规定或者专用条件另有约定外，委托人和监理人的法定代表人或其授权代理人在协议书上签字并盖单位章后本合同生效。</w:t>
      </w:r>
    </w:p>
    <w:p w14:paraId="2749F470">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6.2</w:t>
      </w:r>
      <w:r>
        <w:rPr>
          <w:rFonts w:hint="eastAsia" w:ascii="宋体" w:hAnsi="宋体" w:eastAsia="宋体" w:cs="宋体"/>
          <w:bCs/>
          <w:sz w:val="21"/>
          <w:szCs w:val="21"/>
        </w:rPr>
        <w:t>变更</w:t>
      </w:r>
    </w:p>
    <w:p w14:paraId="4AF22171">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6.2.1 任何一方提出变更请求时，双方经协商一致后可进行变更。</w:t>
      </w:r>
    </w:p>
    <w:p w14:paraId="2C51E57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6.2.2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14:paraId="6065033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6.2.3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28天。</w:t>
      </w:r>
    </w:p>
    <w:p w14:paraId="72417050">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6.2.4合同签订后，遇有与工程相关的法律法规、标准颁布或修订的，双方应遵照执行。由此引起监理与相关服务的范围、时间、酬金变化的，双方应通过协商进行相应调整。</w:t>
      </w:r>
    </w:p>
    <w:p w14:paraId="39C574D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6.2.5 因非监理人原因造成工程概算投资额或建筑安装工程费增加时，正常工作酬金应作相应调整。调整方法在专用条件中约定。</w:t>
      </w:r>
    </w:p>
    <w:p w14:paraId="7FA4646E">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6.2.6 因工程规模、监理范围的变化导致监理人的正常工作量减少时，正常工作酬金应作相应调整。调整方法在专用条件中约定。</w:t>
      </w:r>
    </w:p>
    <w:p w14:paraId="31A4A5D8">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6.3 暂停与</w:t>
      </w:r>
      <w:r>
        <w:rPr>
          <w:rFonts w:hint="eastAsia" w:ascii="宋体" w:hAnsi="宋体" w:eastAsia="宋体" w:cs="宋体"/>
          <w:bCs/>
          <w:sz w:val="21"/>
          <w:szCs w:val="21"/>
        </w:rPr>
        <w:t>解除</w:t>
      </w:r>
    </w:p>
    <w:p w14:paraId="4EEEC8D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除双方协商一致可以解除本合同外，当一方无正当理由未履行本合同约定的义务时，另一方可以根据本合同约定暂停履行本合同直至解除本合同。</w:t>
      </w:r>
    </w:p>
    <w:p w14:paraId="75A1395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6.3.1 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14:paraId="4877A6F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因解除本合同或解除监理人的部分义务导致监理人遭受的损失，除依法可以免除责任的情况外，应由委托人予以补偿，补偿金额由双方协商确定。</w:t>
      </w:r>
    </w:p>
    <w:p w14:paraId="0E065A4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解除本合同的协议必须采取书面形式，协议未达成之前，本合同仍然有效。</w:t>
      </w:r>
    </w:p>
    <w:p w14:paraId="4CB305B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6.3.2 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14:paraId="52D36A0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暂停部分监理与相关服务时间超过182天，监理人可发出解除本合同约定的该部分义务的通知；暂停全部工作时间超过182天，监理人可发出解除本合同的通知，本合同自通知到达委托人时解除。委托人应将监理与相关服务</w:t>
      </w:r>
      <w:r>
        <w:rPr>
          <w:rFonts w:hint="eastAsia" w:ascii="宋体" w:hAnsi="宋体" w:eastAsia="宋体" w:cs="宋体"/>
          <w:kern w:val="0"/>
          <w:sz w:val="21"/>
          <w:szCs w:val="21"/>
        </w:rPr>
        <w:t>的</w:t>
      </w:r>
      <w:r>
        <w:rPr>
          <w:rFonts w:hint="eastAsia" w:ascii="宋体" w:hAnsi="宋体" w:eastAsia="宋体" w:cs="宋体"/>
          <w:sz w:val="21"/>
          <w:szCs w:val="21"/>
        </w:rPr>
        <w:t>酬金支付至本合同解除日，且应承担第4.2款约定的责任。</w:t>
      </w:r>
    </w:p>
    <w:p w14:paraId="5BF04BD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6.3.3 当监理人无正当理由未履行本合同约定的义务时，委托人应通知监理人限期改正。若委托人在监理人接到通知后的7天内未收到监理人书面形式的合理解释，则可在7天内发出解除本合同的通知，自通知到达监理人时本合同解除。委托人应将监理与相关服务</w:t>
      </w:r>
      <w:r>
        <w:rPr>
          <w:rFonts w:hint="eastAsia" w:ascii="宋体" w:hAnsi="宋体" w:eastAsia="宋体" w:cs="宋体"/>
          <w:kern w:val="0"/>
          <w:sz w:val="21"/>
          <w:szCs w:val="21"/>
        </w:rPr>
        <w:t>的</w:t>
      </w:r>
      <w:r>
        <w:rPr>
          <w:rFonts w:hint="eastAsia" w:ascii="宋体" w:hAnsi="宋体" w:eastAsia="宋体" w:cs="宋体"/>
          <w:sz w:val="21"/>
          <w:szCs w:val="21"/>
        </w:rPr>
        <w:t>酬金支付至</w:t>
      </w:r>
      <w:r>
        <w:rPr>
          <w:rFonts w:hint="eastAsia" w:ascii="宋体" w:hAnsi="宋体" w:eastAsia="宋体" w:cs="宋体"/>
          <w:kern w:val="0"/>
          <w:sz w:val="21"/>
          <w:szCs w:val="21"/>
        </w:rPr>
        <w:t>限期改正通知到达监理人之日</w:t>
      </w:r>
      <w:r>
        <w:rPr>
          <w:rFonts w:hint="eastAsia" w:ascii="宋体" w:hAnsi="宋体" w:eastAsia="宋体" w:cs="宋体"/>
          <w:sz w:val="21"/>
          <w:szCs w:val="21"/>
        </w:rPr>
        <w:t>，但监理人应承担第4.1款约定的责任。</w:t>
      </w:r>
    </w:p>
    <w:p w14:paraId="77F15BA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6.3.4 监理人在专用条件5.3中约定的支付之日起28天后仍未收到委托人按本合同约定应付的款项，可向委托人发出催付通知。委托人接到通知14天后仍未支付或未提出监理人可以接受的延期支付安排，监理人可向委托人发出暂停工作的通知并可自行暂停全部或部分工作。暂停工作后14天内监理人仍未获得委托人应付酬金或委托人的合理答复，监理人可向委托人发出解除本合同的通知，自通知到达委托人时本合同解除。委托人应承担第4.2.3款约定的责任。</w:t>
      </w:r>
    </w:p>
    <w:p w14:paraId="41150BC9">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6.3.5 因不可抗力致使本合同部分或全部不能履行时，一方应立即通知另一方，可暂停或解除本合同。</w:t>
      </w:r>
    </w:p>
    <w:p w14:paraId="60B6B2FF">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6.3.6 本合同解除后，本合同约定的有关结算、清理、争议解决方式的条件仍然有效。</w:t>
      </w:r>
    </w:p>
    <w:p w14:paraId="2AE813F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6.4 </w:t>
      </w:r>
      <w:r>
        <w:rPr>
          <w:rFonts w:hint="eastAsia" w:ascii="宋体" w:hAnsi="宋体" w:eastAsia="宋体" w:cs="宋体"/>
          <w:bCs/>
          <w:sz w:val="21"/>
          <w:szCs w:val="21"/>
        </w:rPr>
        <w:t>终止</w:t>
      </w:r>
    </w:p>
    <w:p w14:paraId="2D0E497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以下条件全部满足时，本合同即告终止：</w:t>
      </w:r>
    </w:p>
    <w:p w14:paraId="6F6CF75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（1）监理人完成本合同约定的全部工作；</w:t>
      </w:r>
    </w:p>
    <w:p w14:paraId="515FAF39">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（2）委托人与监理人结清并支付全部酬金。</w:t>
      </w:r>
    </w:p>
    <w:p w14:paraId="0058056D">
      <w:pPr>
        <w:keepNext w:val="0"/>
        <w:keepLines w:val="0"/>
        <w:pageBreakBefore w:val="0"/>
        <w:widowControl w:val="0"/>
        <w:kinsoku/>
        <w:wordWrap/>
        <w:overflowPunct/>
        <w:topLinePunct w:val="0"/>
        <w:autoSpaceDE/>
        <w:autoSpaceDN/>
        <w:bidi w:val="0"/>
        <w:snapToGrid w:val="0"/>
        <w:spacing w:line="42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7. 争议解决</w:t>
      </w:r>
    </w:p>
    <w:p w14:paraId="49701B64">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7.1</w:t>
      </w:r>
      <w:r>
        <w:rPr>
          <w:rFonts w:hint="eastAsia" w:ascii="宋体" w:hAnsi="宋体" w:eastAsia="宋体" w:cs="宋体"/>
          <w:bCs/>
          <w:sz w:val="21"/>
          <w:szCs w:val="21"/>
        </w:rPr>
        <w:t>协商</w:t>
      </w:r>
    </w:p>
    <w:p w14:paraId="56C35F71">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双方应本着诚信原则协商解决彼此间的争议。</w:t>
      </w:r>
    </w:p>
    <w:p w14:paraId="7DEB3FAF">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7.2</w:t>
      </w:r>
      <w:r>
        <w:rPr>
          <w:rFonts w:hint="eastAsia" w:ascii="宋体" w:hAnsi="宋体" w:eastAsia="宋体" w:cs="宋体"/>
          <w:bCs/>
          <w:sz w:val="21"/>
          <w:szCs w:val="21"/>
        </w:rPr>
        <w:t>调解</w:t>
      </w:r>
    </w:p>
    <w:p w14:paraId="0BA21B3C">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如果双方不能在14天内或双方商定的其他时间内解决本合同争议，可以将其提交给专用条件约定的或事后达成协议的调解人进行调解。</w:t>
      </w:r>
    </w:p>
    <w:p w14:paraId="7E06775A">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7.3</w:t>
      </w:r>
      <w:r>
        <w:rPr>
          <w:rFonts w:hint="eastAsia" w:ascii="宋体" w:hAnsi="宋体" w:eastAsia="宋体" w:cs="宋体"/>
          <w:bCs/>
          <w:sz w:val="21"/>
          <w:szCs w:val="21"/>
        </w:rPr>
        <w:t>仲裁或诉讼</w:t>
      </w:r>
    </w:p>
    <w:p w14:paraId="29C10580">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双方均有权不经调解直接向专用条件约定的仲裁机构申请仲裁或向有管辖权的人民法院提起诉讼。</w:t>
      </w:r>
    </w:p>
    <w:p w14:paraId="77613B7A">
      <w:pPr>
        <w:keepNext w:val="0"/>
        <w:keepLines w:val="0"/>
        <w:pageBreakBefore w:val="0"/>
        <w:widowControl w:val="0"/>
        <w:kinsoku/>
        <w:wordWrap/>
        <w:overflowPunct/>
        <w:topLinePunct w:val="0"/>
        <w:autoSpaceDE/>
        <w:autoSpaceDN/>
        <w:bidi w:val="0"/>
        <w:snapToGrid w:val="0"/>
        <w:spacing w:line="42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8. 其他</w:t>
      </w:r>
    </w:p>
    <w:p w14:paraId="54FC13AF">
      <w:pPr>
        <w:keepNext w:val="0"/>
        <w:keepLines w:val="0"/>
        <w:pageBreakBefore w:val="0"/>
        <w:widowControl w:val="0"/>
        <w:kinsoku/>
        <w:wordWrap/>
        <w:overflowPunct/>
        <w:topLinePunct w:val="0"/>
        <w:autoSpaceDE/>
        <w:autoSpaceDN/>
        <w:bidi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8.1 </w:t>
      </w:r>
      <w:r>
        <w:rPr>
          <w:rFonts w:hint="eastAsia" w:ascii="宋体" w:hAnsi="宋体" w:eastAsia="宋体" w:cs="宋体"/>
          <w:bCs/>
          <w:sz w:val="21"/>
          <w:szCs w:val="21"/>
        </w:rPr>
        <w:t>外出考察费用</w:t>
      </w:r>
    </w:p>
    <w:p w14:paraId="50CCC88A">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经委托人同意，监理人员外出考察发生的费用由委托人审核后支付。</w:t>
      </w:r>
    </w:p>
    <w:p w14:paraId="524C5012">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8.2 </w:t>
      </w:r>
      <w:r>
        <w:rPr>
          <w:rFonts w:hint="eastAsia" w:ascii="宋体" w:hAnsi="宋体" w:eastAsia="宋体" w:cs="宋体"/>
          <w:bCs/>
          <w:sz w:val="21"/>
          <w:szCs w:val="21"/>
        </w:rPr>
        <w:t>检测费用</w:t>
      </w:r>
    </w:p>
    <w:p w14:paraId="6473D4B9">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委托人要求监理人进行的材料和设备检测所发生的费用，由委托人支付，支付时间在专用条件中约定。</w:t>
      </w:r>
    </w:p>
    <w:p w14:paraId="5526F44B">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8.3 </w:t>
      </w:r>
      <w:r>
        <w:rPr>
          <w:rFonts w:hint="eastAsia" w:ascii="宋体" w:hAnsi="宋体" w:eastAsia="宋体" w:cs="宋体"/>
          <w:bCs/>
          <w:sz w:val="21"/>
          <w:szCs w:val="21"/>
        </w:rPr>
        <w:t>咨询费用</w:t>
      </w:r>
    </w:p>
    <w:p w14:paraId="08977090">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经委托人同意，根据工程需要由监理人组织的相关咨询论证会以及聘请相关专家等发生的费用由委托人支付，支付时间在专用条件中约定。</w:t>
      </w:r>
    </w:p>
    <w:p w14:paraId="122229C3">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8.4 </w:t>
      </w:r>
      <w:r>
        <w:rPr>
          <w:rFonts w:hint="eastAsia" w:ascii="宋体" w:hAnsi="宋体" w:eastAsia="宋体" w:cs="宋体"/>
          <w:bCs/>
          <w:sz w:val="21"/>
          <w:szCs w:val="21"/>
        </w:rPr>
        <w:t>奖励</w:t>
      </w:r>
    </w:p>
    <w:p w14:paraId="45D0C470">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监理人在服务过程中提出的合理化建议，使委托人获得经济效益的，双方在专用条件中约定奖励金额的确定方法。奖励金额在合理化建议被采纳后，与最近一期的正常工作酬金同期支付。</w:t>
      </w:r>
    </w:p>
    <w:p w14:paraId="47263550">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8.5 </w:t>
      </w:r>
      <w:r>
        <w:rPr>
          <w:rFonts w:hint="eastAsia" w:ascii="宋体" w:hAnsi="宋体" w:eastAsia="宋体" w:cs="宋体"/>
          <w:bCs/>
          <w:sz w:val="21"/>
          <w:szCs w:val="21"/>
        </w:rPr>
        <w:t>守法诚信</w:t>
      </w:r>
    </w:p>
    <w:p w14:paraId="663324B4">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监理人及其工作人员不得从与实施工程有关的第三方处获得任何经济利益。</w:t>
      </w:r>
    </w:p>
    <w:p w14:paraId="3334A780">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8.6 </w:t>
      </w:r>
      <w:r>
        <w:rPr>
          <w:rFonts w:hint="eastAsia" w:ascii="宋体" w:hAnsi="宋体" w:eastAsia="宋体" w:cs="宋体"/>
          <w:bCs/>
          <w:sz w:val="21"/>
          <w:szCs w:val="21"/>
        </w:rPr>
        <w:t>保密</w:t>
      </w:r>
    </w:p>
    <w:p w14:paraId="502A404B">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双方不得泄露对方申明的保密资料，亦不得泄露与实施工程有关的第三方所提供的保密资料，保密事项在专用条件中约定。</w:t>
      </w:r>
    </w:p>
    <w:p w14:paraId="33DF124A">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8.7 </w:t>
      </w:r>
      <w:r>
        <w:rPr>
          <w:rFonts w:hint="eastAsia" w:ascii="宋体" w:hAnsi="宋体" w:eastAsia="宋体" w:cs="宋体"/>
          <w:bCs/>
          <w:sz w:val="21"/>
          <w:szCs w:val="21"/>
        </w:rPr>
        <w:t>通知</w:t>
      </w:r>
    </w:p>
    <w:p w14:paraId="5938F402">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本合同涉及的通知均应当采用书面形式，并在送达对方时生效，收件人应书面签收。</w:t>
      </w:r>
    </w:p>
    <w:p w14:paraId="4E05EC37">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8.8 </w:t>
      </w:r>
      <w:r>
        <w:rPr>
          <w:rFonts w:hint="eastAsia" w:ascii="宋体" w:hAnsi="宋体" w:eastAsia="宋体" w:cs="宋体"/>
          <w:bCs/>
          <w:sz w:val="21"/>
          <w:szCs w:val="21"/>
        </w:rPr>
        <w:t>著作权</w:t>
      </w:r>
    </w:p>
    <w:p w14:paraId="382E8AA2">
      <w:pPr>
        <w:keepNext w:val="0"/>
        <w:keepLines w:val="0"/>
        <w:pageBreakBefore w:val="0"/>
        <w:widowControl w:val="0"/>
        <w:kinsoku/>
        <w:wordWrap/>
        <w:overflowPunct/>
        <w:topLinePunct w:val="0"/>
        <w:autoSpaceDE/>
        <w:autoSpaceDN/>
        <w:bidi w:val="0"/>
        <w:adjustRightInd w:val="0"/>
        <w:snapToGrid w:val="0"/>
        <w:spacing w:line="42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监理人对其编制的文件拥有著作权。</w:t>
      </w:r>
    </w:p>
    <w:p w14:paraId="49691C43">
      <w:pPr>
        <w:keepNext w:val="0"/>
        <w:keepLines w:val="0"/>
        <w:pageBreakBefore w:val="0"/>
        <w:widowControl w:val="0"/>
        <w:kinsoku/>
        <w:wordWrap/>
        <w:overflowPunct/>
        <w:topLinePunct w:val="0"/>
        <w:autoSpaceDE/>
        <w:autoSpaceDN/>
        <w:bidi w:val="0"/>
        <w:snapToGrid w:val="0"/>
        <w:spacing w:line="420" w:lineRule="exact"/>
        <w:ind w:left="0" w:leftChars="0" w:firstLine="420" w:firstLineChars="200"/>
        <w:jc w:val="left"/>
        <w:textAlignment w:val="auto"/>
        <w:rPr>
          <w:rFonts w:hint="eastAsia" w:ascii="宋体" w:hAnsi="宋体" w:eastAsia="宋体" w:cs="宋体"/>
          <w:b/>
          <w:bCs/>
          <w:sz w:val="32"/>
          <w:szCs w:val="32"/>
        </w:rPr>
      </w:pPr>
      <w:r>
        <w:rPr>
          <w:rFonts w:hint="eastAsia" w:ascii="宋体" w:hAnsi="宋体" w:eastAsia="宋体" w:cs="宋体"/>
          <w:sz w:val="21"/>
          <w:szCs w:val="21"/>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bookmarkStart w:id="868" w:name="_Toc4139"/>
    </w:p>
    <w:p w14:paraId="3B5D87EC">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outlineLvl w:val="0"/>
        <w:rPr>
          <w:rFonts w:hint="eastAsia" w:ascii="宋体" w:hAnsi="宋体" w:eastAsia="宋体" w:cs="宋体"/>
          <w:b/>
          <w:bCs/>
          <w:sz w:val="32"/>
          <w:szCs w:val="32"/>
        </w:rPr>
      </w:pPr>
      <w:bookmarkStart w:id="869" w:name="_Toc14492"/>
      <w:r>
        <w:rPr>
          <w:rFonts w:hint="eastAsia" w:ascii="宋体" w:hAnsi="宋体" w:eastAsia="宋体" w:cs="宋体"/>
          <w:b/>
          <w:bCs/>
          <w:sz w:val="32"/>
          <w:szCs w:val="32"/>
        </w:rPr>
        <w:t>第三部分  专用条件</w:t>
      </w:r>
      <w:bookmarkEnd w:id="868"/>
      <w:bookmarkEnd w:id="869"/>
    </w:p>
    <w:p w14:paraId="2101BE2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rPr>
        <w:t>1. 定义与解释</w:t>
      </w:r>
    </w:p>
    <w:p w14:paraId="379ABB2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1.2  解释</w:t>
      </w:r>
    </w:p>
    <w:p w14:paraId="4211643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1.2.1 本合同文件除使用中文外，还可用</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eastAsia="zh-CN"/>
        </w:rPr>
        <w:t>无</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5E0D04B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1.2.2 约定本合同文件的解释顺序为：</w:t>
      </w:r>
      <w:r>
        <w:rPr>
          <w:rFonts w:hint="eastAsia" w:ascii="宋体" w:hAnsi="宋体" w:eastAsia="宋体" w:cs="宋体"/>
          <w:sz w:val="21"/>
          <w:szCs w:val="21"/>
          <w:u w:val="single"/>
        </w:rPr>
        <w:t>（1）协议书；（2）中标通知书（适用于招标工程）或委托书（适用于非招标工</w:t>
      </w:r>
      <w:r>
        <w:rPr>
          <w:rFonts w:hint="eastAsia" w:ascii="宋体" w:hAnsi="宋体" w:eastAsia="宋体" w:cs="宋体"/>
          <w:sz w:val="21"/>
          <w:szCs w:val="21"/>
          <w:highlight w:val="none"/>
          <w:u w:val="single"/>
        </w:rPr>
        <w:t>程）；</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u w:val="single"/>
          <w:lang w:eastAsia="zh-CN"/>
        </w:rPr>
        <w:t>招标文件</w:t>
      </w:r>
      <w:r>
        <w:rPr>
          <w:rFonts w:hint="eastAsia" w:ascii="宋体" w:hAnsi="宋体" w:eastAsia="宋体" w:cs="宋体"/>
          <w:color w:val="auto"/>
          <w:szCs w:val="21"/>
          <w:highlight w:val="none"/>
          <w:u w:val="single"/>
        </w:rPr>
        <w:t>；</w:t>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u w:val="single"/>
          <w:lang w:val="en-US" w:eastAsia="zh-CN"/>
        </w:rPr>
        <w:t>4</w:t>
      </w:r>
      <w:r>
        <w:rPr>
          <w:rFonts w:hint="eastAsia" w:ascii="宋体" w:hAnsi="宋体" w:eastAsia="宋体" w:cs="宋体"/>
          <w:sz w:val="21"/>
          <w:szCs w:val="21"/>
          <w:highlight w:val="none"/>
          <w:u w:val="single"/>
        </w:rPr>
        <w:t>）专用条件及附录A</w:t>
      </w:r>
      <w:r>
        <w:rPr>
          <w:rFonts w:hint="eastAsia" w:ascii="宋体" w:hAnsi="宋体" w:eastAsia="宋体" w:cs="宋体"/>
          <w:sz w:val="21"/>
          <w:szCs w:val="21"/>
          <w:u w:val="single"/>
        </w:rPr>
        <w:t>、附录B；（</w:t>
      </w:r>
      <w:r>
        <w:rPr>
          <w:rFonts w:hint="eastAsia" w:ascii="宋体" w:hAnsi="宋体" w:eastAsia="宋体" w:cs="宋体"/>
          <w:sz w:val="21"/>
          <w:szCs w:val="21"/>
          <w:u w:val="single"/>
          <w:lang w:val="en-US" w:eastAsia="zh-CN"/>
        </w:rPr>
        <w:t>5</w:t>
      </w:r>
      <w:r>
        <w:rPr>
          <w:rFonts w:hint="eastAsia" w:ascii="宋体" w:hAnsi="宋体" w:eastAsia="宋体" w:cs="宋体"/>
          <w:sz w:val="21"/>
          <w:szCs w:val="21"/>
          <w:u w:val="single"/>
        </w:rPr>
        <w:t>）通用条件；（</w:t>
      </w:r>
      <w:r>
        <w:rPr>
          <w:rFonts w:hint="eastAsia" w:ascii="宋体" w:hAnsi="宋体" w:eastAsia="宋体" w:cs="宋体"/>
          <w:sz w:val="21"/>
          <w:szCs w:val="21"/>
          <w:u w:val="single"/>
          <w:lang w:val="en-US" w:eastAsia="zh-CN"/>
        </w:rPr>
        <w:t>6</w:t>
      </w:r>
      <w:r>
        <w:rPr>
          <w:rFonts w:hint="eastAsia" w:ascii="宋体" w:hAnsi="宋体" w:eastAsia="宋体" w:cs="宋体"/>
          <w:sz w:val="21"/>
          <w:szCs w:val="21"/>
          <w:u w:val="single"/>
        </w:rPr>
        <w:t>）投标文件（适用于招标工程）或监理与相关服务建议书（适用于非招标工程）。</w:t>
      </w:r>
    </w:p>
    <w:p w14:paraId="48661D25">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双方签订的补充协议与其他文件发生矛盾或歧义时，属于同一类内容的文件，应以最新签署的为准。</w:t>
      </w:r>
    </w:p>
    <w:p w14:paraId="79B185EB">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sz w:val="21"/>
          <w:szCs w:val="21"/>
        </w:rPr>
        <w:t>2. 监理人义务</w:t>
      </w:r>
    </w:p>
    <w:p w14:paraId="7A03FFC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2.1 监理的范围和</w:t>
      </w:r>
      <w:r>
        <w:rPr>
          <w:rFonts w:hint="eastAsia" w:ascii="宋体" w:hAnsi="宋体" w:eastAsia="宋体" w:cs="宋体"/>
          <w:bCs/>
          <w:sz w:val="21"/>
          <w:szCs w:val="21"/>
        </w:rPr>
        <w:t>内容</w:t>
      </w:r>
    </w:p>
    <w:p w14:paraId="73E0EF9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cs="宋体"/>
          <w:sz w:val="21"/>
          <w:szCs w:val="21"/>
          <w:highlight w:val="none"/>
          <w:u w:val="single"/>
          <w:lang w:val="en-US" w:eastAsia="zh-CN"/>
        </w:rPr>
      </w:pPr>
      <w:r>
        <w:rPr>
          <w:rFonts w:hint="eastAsia" w:ascii="宋体" w:hAnsi="宋体" w:eastAsia="宋体" w:cs="宋体"/>
          <w:sz w:val="21"/>
          <w:szCs w:val="21"/>
        </w:rPr>
        <w:t>2.1.1 监理范围包括但不限于：</w:t>
      </w:r>
      <w:r>
        <w:rPr>
          <w:rFonts w:hint="eastAsia" w:ascii="宋体" w:hAnsi="宋体" w:eastAsia="宋体" w:cs="宋体"/>
          <w:sz w:val="21"/>
          <w:szCs w:val="21"/>
          <w:highlight w:val="none"/>
          <w:u w:val="single"/>
        </w:rPr>
        <w:t xml:space="preserve"> 本工程的施工准备阶段，协助招标人开展上述前期工作，接受招标人安排履行项目各项前期手续、施工阶段的质量、安全、造价控制及工期的全过程、竣工结算阶段、保修阶段（缺陷责任期）的监理服务以及国家法律法规规定的其他监理服务。</w:t>
      </w:r>
      <w:r>
        <w:rPr>
          <w:rFonts w:hint="eastAsia" w:ascii="宋体" w:hAnsi="宋体" w:cs="宋体"/>
          <w:sz w:val="21"/>
          <w:szCs w:val="21"/>
          <w:highlight w:val="none"/>
          <w:u w:val="single"/>
          <w:lang w:val="en-US" w:eastAsia="zh-CN"/>
        </w:rPr>
        <w:t xml:space="preserve"> </w:t>
      </w:r>
    </w:p>
    <w:p w14:paraId="539284C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sz w:val="21"/>
          <w:szCs w:val="21"/>
          <w:highlight w:val="none"/>
        </w:rPr>
        <w:t>2.1.2 监理工作内容还包括：</w:t>
      </w:r>
      <w:r>
        <w:rPr>
          <w:rFonts w:hint="eastAsia" w:ascii="宋体" w:hAnsi="宋体" w:eastAsia="宋体" w:cs="宋体"/>
          <w:color w:val="auto"/>
          <w:sz w:val="21"/>
          <w:szCs w:val="21"/>
          <w:highlight w:val="none"/>
          <w:u w:val="single"/>
        </w:rPr>
        <w:t>（1）收到工程设计文件后编制监理规划，并在第一次工地会议7天前报委托人。根据有关规定和监理工作需要，编制监理实施细则；（2）熟悉工程设计文件，并参加由委托人主持的图纸会审和设计交底会议；（3）参加由委托人主持的第一次工地会议；主持监理例会并根据工程需要主持或参加专题会议；（4）审查施工承包人提交的施工组织设计，重点审查其中的质量安全技术措施、专项施工方案与工程建设强制性标准的符合性；（5）检查施工承包人工程质量、安全生产管理制度及组织机构和人员资格； （6）检查施工承包人专职安全生产管理人员的配备情况；（7）审查施工承包人提交的施工进度计划，核查承包人对施工进度计划的调整；（</w:t>
      </w:r>
      <w:r>
        <w:rPr>
          <w:rFonts w:hint="eastAsia" w:ascii="宋体" w:hAnsi="宋体" w:cs="宋体"/>
          <w:color w:val="auto"/>
          <w:sz w:val="21"/>
          <w:szCs w:val="21"/>
          <w:highlight w:val="none"/>
          <w:u w:val="single"/>
          <w:lang w:val="en-US" w:eastAsia="zh-CN"/>
        </w:rPr>
        <w:t>8</w:t>
      </w:r>
      <w:r>
        <w:rPr>
          <w:rFonts w:hint="eastAsia" w:ascii="宋体" w:hAnsi="宋体" w:eastAsia="宋体" w:cs="宋体"/>
          <w:color w:val="auto"/>
          <w:sz w:val="21"/>
          <w:szCs w:val="21"/>
          <w:highlight w:val="none"/>
          <w:u w:val="single"/>
        </w:rPr>
        <w:t>）审核施工分包人资质条件；（</w:t>
      </w:r>
      <w:r>
        <w:rPr>
          <w:rFonts w:hint="eastAsia" w:ascii="宋体" w:hAnsi="宋体" w:cs="宋体"/>
          <w:color w:val="auto"/>
          <w:sz w:val="21"/>
          <w:szCs w:val="21"/>
          <w:highlight w:val="none"/>
          <w:u w:val="single"/>
          <w:lang w:val="en-US" w:eastAsia="zh-CN"/>
        </w:rPr>
        <w:t>9</w:t>
      </w:r>
      <w:r>
        <w:rPr>
          <w:rFonts w:hint="eastAsia" w:ascii="宋体" w:hAnsi="宋体" w:eastAsia="宋体" w:cs="宋体"/>
          <w:color w:val="auto"/>
          <w:sz w:val="21"/>
          <w:szCs w:val="21"/>
          <w:highlight w:val="none"/>
          <w:u w:val="single"/>
        </w:rPr>
        <w:t>）查验施工承包人的施工测量放线成果；（1</w:t>
      </w:r>
      <w:r>
        <w:rPr>
          <w:rFonts w:hint="eastAsia" w:ascii="宋体" w:hAnsi="宋体" w:cs="宋体"/>
          <w:color w:val="auto"/>
          <w:sz w:val="21"/>
          <w:szCs w:val="21"/>
          <w:highlight w:val="none"/>
          <w:u w:val="single"/>
          <w:lang w:val="en-US" w:eastAsia="zh-CN"/>
        </w:rPr>
        <w:t>0</w:t>
      </w:r>
      <w:r>
        <w:rPr>
          <w:rFonts w:hint="eastAsia" w:ascii="宋体" w:hAnsi="宋体" w:eastAsia="宋体" w:cs="宋体"/>
          <w:color w:val="auto"/>
          <w:sz w:val="21"/>
          <w:szCs w:val="21"/>
          <w:highlight w:val="none"/>
          <w:u w:val="single"/>
        </w:rPr>
        <w:t>）审查工程开工条件，对条件具备的签发开工令；（</w:t>
      </w:r>
      <w:r>
        <w:rPr>
          <w:rFonts w:hint="eastAsia" w:ascii="宋体" w:hAnsi="宋体" w:cs="宋体"/>
          <w:color w:val="auto"/>
          <w:sz w:val="21"/>
          <w:szCs w:val="21"/>
          <w:highlight w:val="none"/>
          <w:u w:val="single"/>
          <w:lang w:val="en-US" w:eastAsia="zh-CN"/>
        </w:rPr>
        <w:t>11</w:t>
      </w:r>
      <w:r>
        <w:rPr>
          <w:rFonts w:hint="eastAsia" w:ascii="宋体" w:hAnsi="宋体" w:eastAsia="宋体" w:cs="宋体"/>
          <w:color w:val="auto"/>
          <w:sz w:val="21"/>
          <w:szCs w:val="21"/>
          <w:highlight w:val="none"/>
          <w:u w:val="single"/>
        </w:rPr>
        <w:t>）审查施工承包人报送的工程材料、构配件、设备质量证明文件的有效性和符合性，并按规定对用于工程的材料采取平行检验或见证取样方式进行抽检；（1</w:t>
      </w:r>
      <w:r>
        <w:rPr>
          <w:rFonts w:hint="eastAsia" w:ascii="宋体" w:hAnsi="宋体" w:cs="宋体"/>
          <w:color w:val="auto"/>
          <w:sz w:val="21"/>
          <w:szCs w:val="21"/>
          <w:highlight w:val="none"/>
          <w:u w:val="single"/>
          <w:lang w:val="en-US" w:eastAsia="zh-CN"/>
        </w:rPr>
        <w:t>2</w:t>
      </w:r>
      <w:r>
        <w:rPr>
          <w:rFonts w:hint="eastAsia" w:ascii="宋体" w:hAnsi="宋体" w:eastAsia="宋体" w:cs="宋体"/>
          <w:color w:val="auto"/>
          <w:sz w:val="21"/>
          <w:szCs w:val="21"/>
          <w:highlight w:val="none"/>
          <w:u w:val="single"/>
        </w:rPr>
        <w:t>）审核施工承包人提交的工程款支付申请，签发或出具工程款支付证书，并报委托人审核、批准；（1</w:t>
      </w:r>
      <w:r>
        <w:rPr>
          <w:rFonts w:hint="eastAsia" w:ascii="宋体" w:hAnsi="宋体" w:cs="宋体"/>
          <w:color w:val="auto"/>
          <w:sz w:val="21"/>
          <w:szCs w:val="21"/>
          <w:highlight w:val="none"/>
          <w:u w:val="single"/>
          <w:lang w:val="en-US" w:eastAsia="zh-CN"/>
        </w:rPr>
        <w:t>3</w:t>
      </w:r>
      <w:r>
        <w:rPr>
          <w:rFonts w:hint="eastAsia" w:ascii="宋体" w:hAnsi="宋体" w:eastAsia="宋体" w:cs="宋体"/>
          <w:color w:val="auto"/>
          <w:sz w:val="21"/>
          <w:szCs w:val="21"/>
          <w:highlight w:val="none"/>
          <w:u w:val="single"/>
        </w:rPr>
        <w:t>）在巡视、旁站和检验过程中，发现工程质量、施工安全存在事故隐患的，要求施工承包人整改并报委托人；（1</w:t>
      </w:r>
      <w:r>
        <w:rPr>
          <w:rFonts w:hint="eastAsia" w:ascii="宋体" w:hAnsi="宋体" w:cs="宋体"/>
          <w:color w:val="auto"/>
          <w:sz w:val="21"/>
          <w:szCs w:val="21"/>
          <w:highlight w:val="none"/>
          <w:u w:val="single"/>
          <w:lang w:val="en-US" w:eastAsia="zh-CN"/>
        </w:rPr>
        <w:t>4</w:t>
      </w:r>
      <w:r>
        <w:rPr>
          <w:rFonts w:hint="eastAsia" w:ascii="宋体" w:hAnsi="宋体" w:eastAsia="宋体" w:cs="宋体"/>
          <w:color w:val="auto"/>
          <w:sz w:val="21"/>
          <w:szCs w:val="21"/>
          <w:highlight w:val="none"/>
          <w:u w:val="single"/>
        </w:rPr>
        <w:t>）经委托人同意，签发工程暂停令和复工令；（1</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u w:val="single"/>
        </w:rPr>
        <w:t>）审查施工承包人提交的采用新材料、新工艺、新技术、新设备的论证材料及相关验收标准；（1</w:t>
      </w:r>
      <w:r>
        <w:rPr>
          <w:rFonts w:hint="eastAsia" w:ascii="宋体" w:hAnsi="宋体" w:cs="宋体"/>
          <w:color w:val="auto"/>
          <w:sz w:val="21"/>
          <w:szCs w:val="21"/>
          <w:highlight w:val="none"/>
          <w:u w:val="single"/>
          <w:lang w:val="en-US" w:eastAsia="zh-CN"/>
        </w:rPr>
        <w:t>6</w:t>
      </w:r>
      <w:r>
        <w:rPr>
          <w:rFonts w:hint="eastAsia" w:ascii="宋体" w:hAnsi="宋体" w:eastAsia="宋体" w:cs="宋体"/>
          <w:color w:val="auto"/>
          <w:sz w:val="21"/>
          <w:szCs w:val="21"/>
          <w:highlight w:val="none"/>
          <w:u w:val="single"/>
        </w:rPr>
        <w:t>）验收隐蔽工程、分部分项工程；（</w:t>
      </w:r>
      <w:r>
        <w:rPr>
          <w:rFonts w:hint="eastAsia" w:ascii="宋体" w:hAnsi="宋体" w:cs="宋体"/>
          <w:color w:val="auto"/>
          <w:sz w:val="21"/>
          <w:szCs w:val="21"/>
          <w:highlight w:val="none"/>
          <w:u w:val="single"/>
          <w:lang w:val="en-US" w:eastAsia="zh-CN"/>
        </w:rPr>
        <w:t>17</w:t>
      </w:r>
      <w:r>
        <w:rPr>
          <w:rFonts w:hint="eastAsia" w:ascii="宋体" w:hAnsi="宋体" w:eastAsia="宋体" w:cs="宋体"/>
          <w:color w:val="auto"/>
          <w:sz w:val="21"/>
          <w:szCs w:val="21"/>
          <w:highlight w:val="none"/>
          <w:u w:val="single"/>
        </w:rPr>
        <w:t>）审查施工承包人提交的工程变更申请，协调处理施工进度调整、费用索赔、合同争议等事项；（1</w:t>
      </w:r>
      <w:r>
        <w:rPr>
          <w:rFonts w:hint="eastAsia" w:ascii="宋体" w:hAnsi="宋体" w:cs="宋体"/>
          <w:color w:val="auto"/>
          <w:sz w:val="21"/>
          <w:szCs w:val="21"/>
          <w:highlight w:val="none"/>
          <w:u w:val="single"/>
          <w:lang w:val="en-US" w:eastAsia="zh-CN"/>
        </w:rPr>
        <w:t>8</w:t>
      </w:r>
      <w:r>
        <w:rPr>
          <w:rFonts w:hint="eastAsia" w:ascii="宋体" w:hAnsi="宋体" w:eastAsia="宋体" w:cs="宋体"/>
          <w:color w:val="auto"/>
          <w:sz w:val="21"/>
          <w:szCs w:val="21"/>
          <w:highlight w:val="none"/>
          <w:u w:val="single"/>
        </w:rPr>
        <w:t>）审查施工承包人提交的竣工验收申请，编写工程质量评估报告；（</w:t>
      </w:r>
      <w:r>
        <w:rPr>
          <w:rFonts w:hint="eastAsia" w:ascii="宋体" w:hAnsi="宋体" w:cs="宋体"/>
          <w:color w:val="auto"/>
          <w:sz w:val="21"/>
          <w:szCs w:val="21"/>
          <w:highlight w:val="none"/>
          <w:u w:val="single"/>
          <w:lang w:val="en-US" w:eastAsia="zh-CN"/>
        </w:rPr>
        <w:t>19</w:t>
      </w:r>
      <w:r>
        <w:rPr>
          <w:rFonts w:hint="eastAsia" w:ascii="宋体" w:hAnsi="宋体" w:eastAsia="宋体" w:cs="宋体"/>
          <w:color w:val="auto"/>
          <w:sz w:val="21"/>
          <w:szCs w:val="21"/>
          <w:highlight w:val="none"/>
          <w:u w:val="single"/>
        </w:rPr>
        <w:t>）参加工程竣工验收，签署竣工验收意见；（</w:t>
      </w:r>
      <w:r>
        <w:rPr>
          <w:rFonts w:hint="eastAsia" w:ascii="宋体" w:hAnsi="宋体" w:cs="宋体"/>
          <w:color w:val="auto"/>
          <w:sz w:val="21"/>
          <w:szCs w:val="21"/>
          <w:highlight w:val="none"/>
          <w:u w:val="single"/>
          <w:lang w:val="en-US" w:eastAsia="zh-CN"/>
        </w:rPr>
        <w:t>20</w:t>
      </w:r>
      <w:r>
        <w:rPr>
          <w:rFonts w:hint="eastAsia" w:ascii="宋体" w:hAnsi="宋体" w:eastAsia="宋体" w:cs="宋体"/>
          <w:color w:val="auto"/>
          <w:sz w:val="21"/>
          <w:szCs w:val="21"/>
          <w:highlight w:val="none"/>
          <w:u w:val="single"/>
        </w:rPr>
        <w:t>）审查施工承包人提交的竣工结算申请并报委托人；（</w:t>
      </w:r>
      <w:r>
        <w:rPr>
          <w:rFonts w:hint="eastAsia" w:ascii="宋体" w:hAnsi="宋体" w:cs="宋体"/>
          <w:color w:val="auto"/>
          <w:sz w:val="21"/>
          <w:szCs w:val="21"/>
          <w:highlight w:val="none"/>
          <w:u w:val="single"/>
          <w:lang w:val="en-US" w:eastAsia="zh-CN"/>
        </w:rPr>
        <w:t>21</w:t>
      </w:r>
      <w:r>
        <w:rPr>
          <w:rFonts w:hint="eastAsia" w:ascii="宋体" w:hAnsi="宋体" w:eastAsia="宋体" w:cs="宋体"/>
          <w:color w:val="auto"/>
          <w:sz w:val="21"/>
          <w:szCs w:val="21"/>
          <w:highlight w:val="none"/>
          <w:u w:val="single"/>
        </w:rPr>
        <w:t>）编制、整理工程监理归档文件并报委托人。</w:t>
      </w:r>
    </w:p>
    <w:p w14:paraId="58F6FCC7">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2.2 监理与相关服务依据</w:t>
      </w:r>
    </w:p>
    <w:p w14:paraId="5A1F1BD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sz w:val="21"/>
          <w:szCs w:val="21"/>
          <w:highlight w:val="none"/>
        </w:rPr>
        <w:t>2.2.1 监理依据包括：</w:t>
      </w:r>
      <w:r>
        <w:rPr>
          <w:rFonts w:hint="eastAsia" w:ascii="宋体" w:hAnsi="宋体" w:eastAsia="宋体" w:cs="宋体"/>
          <w:color w:val="auto"/>
          <w:sz w:val="21"/>
          <w:szCs w:val="21"/>
          <w:highlight w:val="none"/>
          <w:u w:val="single"/>
        </w:rPr>
        <w:t>（1）适用的法律、行政法规及部门规章；（2）与工程有关的标准；（3）工程设计及有关文件；（4）本合同及委托人与第三方签订的与实施工程有关的其他合同。</w:t>
      </w:r>
    </w:p>
    <w:p w14:paraId="3B43DD0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dstrike/>
          <w:sz w:val="21"/>
          <w:szCs w:val="21"/>
          <w:highlight w:val="none"/>
        </w:rPr>
      </w:pPr>
      <w:r>
        <w:rPr>
          <w:rFonts w:hint="eastAsia" w:ascii="宋体" w:hAnsi="宋体" w:eastAsia="宋体" w:cs="宋体"/>
          <w:sz w:val="21"/>
          <w:szCs w:val="21"/>
          <w:highlight w:val="none"/>
        </w:rPr>
        <w:t>2.2.2 相关服务依据包括：</w:t>
      </w:r>
      <w:r>
        <w:rPr>
          <w:rFonts w:hint="eastAsia" w:ascii="宋体" w:hAnsi="宋体" w:eastAsia="宋体" w:cs="宋体"/>
          <w:sz w:val="21"/>
          <w:szCs w:val="21"/>
          <w:highlight w:val="none"/>
          <w:u w:val="single"/>
        </w:rPr>
        <w:t xml:space="preserve">                  </w:t>
      </w:r>
      <w:r>
        <w:rPr>
          <w:rFonts w:hint="eastAsia" w:ascii="宋体" w:hAnsi="宋体" w:cs="宋体"/>
          <w:sz w:val="21"/>
          <w:szCs w:val="21"/>
          <w:highlight w:val="none"/>
          <w:u w:val="single"/>
          <w:lang w:val="en-US"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w:t>
      </w:r>
    </w:p>
    <w:p w14:paraId="73658631">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highlight w:val="none"/>
        </w:rPr>
      </w:pPr>
      <w:r>
        <w:rPr>
          <w:rFonts w:hint="eastAsia" w:ascii="宋体" w:hAnsi="宋体" w:eastAsia="宋体" w:cs="宋体"/>
          <w:sz w:val="21"/>
          <w:szCs w:val="21"/>
          <w:highlight w:val="none"/>
        </w:rPr>
        <w:t>2.3</w:t>
      </w:r>
      <w:r>
        <w:rPr>
          <w:rFonts w:hint="eastAsia" w:ascii="宋体" w:hAnsi="宋体" w:eastAsia="宋体" w:cs="宋体"/>
          <w:kern w:val="0"/>
          <w:sz w:val="21"/>
          <w:szCs w:val="21"/>
          <w:highlight w:val="none"/>
        </w:rPr>
        <w:t>项目监理机构和人员</w:t>
      </w:r>
    </w:p>
    <w:p w14:paraId="06AF651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2.3.4 </w:t>
      </w:r>
      <w:r>
        <w:rPr>
          <w:rFonts w:hint="eastAsia" w:ascii="宋体" w:hAnsi="宋体" w:eastAsia="宋体" w:cs="宋体"/>
          <w:kern w:val="0"/>
          <w:sz w:val="21"/>
          <w:szCs w:val="21"/>
          <w:highlight w:val="none"/>
        </w:rPr>
        <w:t>更换监理人员的其他情形：</w:t>
      </w:r>
      <w:r>
        <w:rPr>
          <w:rFonts w:hint="eastAsia" w:ascii="宋体" w:hAnsi="宋体" w:eastAsia="宋体" w:cs="宋体"/>
          <w:kern w:val="0"/>
          <w:sz w:val="21"/>
          <w:szCs w:val="21"/>
          <w:highlight w:val="none"/>
          <w:u w:val="single"/>
          <w:lang w:eastAsia="zh-CN"/>
        </w:rPr>
        <w:t>（1）项目负责人变更必须经发包人批准，并满足《关于进一步加强建筑施工现场项目负责人变更行为管理的通知》及滁州市其他相关规定要求，除①因重病或重伤三个月以上，不能履行职责的；②辞职的；③发生重大质量安全责任事故，受到刑事或行政处罚，不能担任项目负责人的；④无能力履行合同责任和义务，建设单位要求更换的；⑤被责令停止职业资格的；⑥因犯罪被羁押或判刑的；⑦死亡的等原因外，原则上不得变更。其中，亡故的需提供公安部门开具的死亡证明；重大疾病的需提供三甲及以上医院证明。出国、辞职等原因提出变更的，除需提供相关证明外，须缴纳</w:t>
      </w:r>
      <w:r>
        <w:rPr>
          <w:rFonts w:hint="eastAsia" w:ascii="宋体" w:hAnsi="宋体" w:eastAsia="宋体" w:cs="宋体"/>
          <w:kern w:val="0"/>
          <w:sz w:val="21"/>
          <w:szCs w:val="21"/>
          <w:highlight w:val="none"/>
          <w:u w:val="single"/>
          <w:lang w:val="en-US" w:eastAsia="zh-CN"/>
        </w:rPr>
        <w:t>2</w:t>
      </w:r>
      <w:r>
        <w:rPr>
          <w:rFonts w:hint="eastAsia" w:ascii="宋体" w:hAnsi="宋体" w:eastAsia="宋体" w:cs="宋体"/>
          <w:kern w:val="0"/>
          <w:sz w:val="21"/>
          <w:szCs w:val="21"/>
          <w:highlight w:val="none"/>
          <w:u w:val="single"/>
          <w:lang w:eastAsia="zh-CN"/>
        </w:rPr>
        <w:t>0万元违约金，否则不得变更。变更后的项目负责人必须符合本项目招标文件和投标承诺配备的同等条件人员，并按照滁州市有关规定履行变更审批程序。（2）监理部等关键岗位人员变更必须经发包人批准，除亡故、重大疾病、出国、辞职等原因外，原则上不得变更。其中，亡故的需提供公安部门开具的死亡证明；重大疾病的需提供三甲及以上医院证明；出国、辞职等原因提出变更的，除需提供相关证明外，须缴纳50000元违约金，否则不得变更。变更后的监理部等关键岗位人员必须符合本项目招标文件和投标承诺配备的同等条件人员。</w:t>
      </w:r>
    </w:p>
    <w:p w14:paraId="5EBB7D5E">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2.4 </w:t>
      </w:r>
      <w:r>
        <w:rPr>
          <w:rFonts w:hint="eastAsia" w:ascii="宋体" w:hAnsi="宋体" w:eastAsia="宋体" w:cs="宋体"/>
          <w:kern w:val="0"/>
          <w:sz w:val="21"/>
          <w:szCs w:val="21"/>
          <w:highlight w:val="none"/>
        </w:rPr>
        <w:t>履行职责</w:t>
      </w:r>
    </w:p>
    <w:p w14:paraId="63046D7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2.4.3 对监理人的授权范围：</w:t>
      </w:r>
      <w:r>
        <w:rPr>
          <w:rFonts w:hint="eastAsia" w:ascii="宋体" w:hAnsi="宋体" w:eastAsia="宋体" w:cs="宋体"/>
          <w:sz w:val="21"/>
          <w:szCs w:val="21"/>
          <w:highlight w:val="none"/>
          <w:u w:val="single"/>
        </w:rPr>
        <w:t>发布开工令、停工令、复工令权；工程质量的监督权；工程上使用的材料和施工质量检验权、确认权；工程施工进度、安全的检查、监督权、发包人授权的处罚权；工程款支付的审核权；向承包人提出施工组织设计和技术方案的建议权；发包人和承包人间的组织协调的主持权；撤换不合格的工程建设分包单位和注册建造师及有关人员的建议权；分包单位资质及能力的审查权；等等</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14:paraId="5F61A9F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outlineLvl w:val="0"/>
        <w:rPr>
          <w:rFonts w:hint="eastAsia" w:ascii="宋体" w:hAnsi="宋体" w:eastAsia="宋体" w:cs="宋体"/>
          <w:sz w:val="21"/>
          <w:szCs w:val="21"/>
          <w:highlight w:val="none"/>
        </w:rPr>
      </w:pPr>
      <w:bookmarkStart w:id="870" w:name="_Toc32002"/>
      <w:bookmarkStart w:id="871" w:name="_Toc23904"/>
      <w:bookmarkStart w:id="872" w:name="_Toc5124"/>
      <w:r>
        <w:rPr>
          <w:rFonts w:hint="eastAsia" w:ascii="宋体" w:hAnsi="宋体" w:eastAsia="宋体" w:cs="宋体"/>
          <w:sz w:val="21"/>
          <w:szCs w:val="21"/>
          <w:highlight w:val="none"/>
        </w:rPr>
        <w:t>在涉及工程延期</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天内和（或）金额</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万元内的变更，监理人不需请示委托人即可向承包人发布变更通知。</w:t>
      </w:r>
      <w:bookmarkEnd w:id="870"/>
      <w:bookmarkEnd w:id="871"/>
      <w:bookmarkEnd w:id="872"/>
    </w:p>
    <w:p w14:paraId="0A00938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highlight w:val="none"/>
        </w:rPr>
      </w:pPr>
      <w:r>
        <w:rPr>
          <w:rFonts w:hint="eastAsia" w:ascii="宋体" w:hAnsi="宋体" w:eastAsia="宋体" w:cs="宋体"/>
          <w:kern w:val="0"/>
          <w:sz w:val="21"/>
          <w:szCs w:val="21"/>
          <w:highlight w:val="none"/>
        </w:rPr>
        <w:t>2.4.4 监理人有权要求承包人调换其人员</w:t>
      </w:r>
      <w:r>
        <w:rPr>
          <w:rFonts w:hint="eastAsia" w:ascii="宋体" w:hAnsi="宋体" w:eastAsia="宋体" w:cs="宋体"/>
          <w:sz w:val="21"/>
          <w:szCs w:val="21"/>
          <w:highlight w:val="none"/>
        </w:rPr>
        <w:t>的限制条件：</w:t>
      </w:r>
      <w:r>
        <w:rPr>
          <w:rFonts w:hint="eastAsia" w:ascii="宋体" w:hAnsi="宋体" w:eastAsia="宋体" w:cs="宋体"/>
          <w:sz w:val="21"/>
          <w:szCs w:val="21"/>
          <w:highlight w:val="none"/>
          <w:u w:val="single"/>
          <w:lang w:eastAsia="zh-CN"/>
        </w:rPr>
        <w:t>（1）项目负责人变更必须经发包人批准，并满足《关于进一步加强建筑施工现场项目负责人变更行为管理的通知》及滁州市其他相关规定要求，除①因重病或重伤三个月以上，不能履行职责的；②辞职的；③发生重大质量安全责任事故，受到刑事或行政处罚，不能担任项目负责人的；④无能力履行合同责任和义务，建设单位要求更换的；⑤被责令停止职业资格的；⑥因犯罪被羁押或判刑的；⑦死亡的等原因外，原则上不得变更。其中，亡故的需提供公安部门开具的死亡证明；重大疾病的需提供三甲及以上医院证明。出国、辞职等原因提出变更的，除需提供相关证明外，须</w:t>
      </w:r>
      <w:r>
        <w:rPr>
          <w:rFonts w:hint="eastAsia" w:ascii="宋体" w:hAnsi="宋体" w:eastAsia="宋体" w:cs="宋体"/>
          <w:color w:val="auto"/>
          <w:sz w:val="21"/>
          <w:szCs w:val="21"/>
          <w:highlight w:val="none"/>
          <w:u w:val="single"/>
          <w:lang w:eastAsia="zh-CN"/>
        </w:rPr>
        <w:t>缴纳</w:t>
      </w:r>
      <w:r>
        <w:rPr>
          <w:rFonts w:hint="eastAsia" w:ascii="宋体" w:hAnsi="宋体" w:cs="宋体"/>
          <w:color w:val="auto"/>
          <w:sz w:val="21"/>
          <w:szCs w:val="21"/>
          <w:highlight w:val="none"/>
          <w:u w:val="single"/>
          <w:lang w:val="en-US" w:eastAsia="zh-CN"/>
        </w:rPr>
        <w:t>20</w:t>
      </w:r>
      <w:r>
        <w:rPr>
          <w:rFonts w:hint="eastAsia" w:ascii="宋体" w:hAnsi="宋体" w:eastAsia="宋体" w:cs="宋体"/>
          <w:color w:val="auto"/>
          <w:sz w:val="21"/>
          <w:szCs w:val="21"/>
          <w:highlight w:val="none"/>
          <w:u w:val="single"/>
          <w:lang w:eastAsia="zh-CN"/>
        </w:rPr>
        <w:t>万元违约金</w:t>
      </w:r>
      <w:r>
        <w:rPr>
          <w:rFonts w:hint="eastAsia" w:ascii="宋体" w:hAnsi="宋体" w:eastAsia="宋体" w:cs="宋体"/>
          <w:sz w:val="21"/>
          <w:szCs w:val="21"/>
          <w:highlight w:val="none"/>
          <w:u w:val="single"/>
          <w:lang w:eastAsia="zh-CN"/>
        </w:rPr>
        <w:t xml:space="preserve">，否则不得变更。变更后的项目负责人必须符合本项目招标文件和投标承诺配备的同等条件人员，并按照滁州市有关规定履行变更审批程序。（2）技术负责人、项目部“五大员”等关键岗位人员变更必须经发包人批准，除亡故、重大疾病、出国、辞职等原因外，原则上不得变更。其中，亡故的需提供公安部门开具的死亡证明；重大疾病的需提供三甲及以上医院证明；出国、辞职等原因提出变更的，除需提供相关证明外，须缴纳5000元违约金，否则不得变更。变更后的技术负责人、项目部“五大员”等关键岗位人员必须符合本项目招标文件和投标承诺配备的同等条件人员。  </w:t>
      </w:r>
      <w:r>
        <w:rPr>
          <w:rFonts w:hint="eastAsia" w:ascii="宋体" w:hAnsi="宋体" w:eastAsia="宋体" w:cs="宋体"/>
          <w:sz w:val="21"/>
          <w:szCs w:val="21"/>
          <w:highlight w:val="none"/>
          <w:u w:val="single"/>
        </w:rPr>
        <w:t xml:space="preserve">  </w:t>
      </w:r>
    </w:p>
    <w:p w14:paraId="4B99F17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 xml:space="preserve">2.5 </w:t>
      </w:r>
      <w:r>
        <w:rPr>
          <w:rFonts w:hint="eastAsia" w:ascii="宋体" w:hAnsi="宋体" w:eastAsia="宋体" w:cs="宋体"/>
          <w:sz w:val="21"/>
          <w:szCs w:val="21"/>
        </w:rPr>
        <w:t>提交</w:t>
      </w:r>
      <w:r>
        <w:rPr>
          <w:rFonts w:hint="eastAsia" w:ascii="宋体" w:hAnsi="宋体" w:eastAsia="宋体" w:cs="宋体"/>
          <w:kern w:val="0"/>
          <w:sz w:val="21"/>
          <w:szCs w:val="21"/>
        </w:rPr>
        <w:t>报告</w:t>
      </w:r>
    </w:p>
    <w:p w14:paraId="75ABD17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监理人应提交报告的种类(</w:t>
      </w:r>
      <w:r>
        <w:rPr>
          <w:rFonts w:hint="eastAsia" w:ascii="宋体" w:hAnsi="宋体" w:eastAsia="宋体" w:cs="宋体"/>
          <w:kern w:val="0"/>
          <w:sz w:val="21"/>
          <w:szCs w:val="21"/>
        </w:rPr>
        <w:t>包括监理规划、监理月报及约定的专项报告)</w:t>
      </w:r>
      <w:r>
        <w:rPr>
          <w:rFonts w:hint="eastAsia" w:ascii="宋体" w:hAnsi="宋体" w:eastAsia="宋体" w:cs="宋体"/>
          <w:sz w:val="21"/>
          <w:szCs w:val="21"/>
        </w:rPr>
        <w:t>、时间和份数</w:t>
      </w:r>
      <w:r>
        <w:rPr>
          <w:rFonts w:hint="eastAsia" w:ascii="宋体" w:hAnsi="宋体" w:eastAsia="宋体" w:cs="宋体"/>
          <w:kern w:val="0"/>
          <w:sz w:val="21"/>
          <w:szCs w:val="21"/>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2762D32D">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2.7 使用委托人的财产</w:t>
      </w:r>
    </w:p>
    <w:p w14:paraId="011726C1">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附录B中由委托人无偿提供的房屋、设备的所有权属于：</w:t>
      </w:r>
      <w:r>
        <w:rPr>
          <w:rFonts w:hint="eastAsia" w:ascii="宋体" w:hAnsi="宋体" w:eastAsia="宋体" w:cs="宋体"/>
          <w:sz w:val="21"/>
          <w:szCs w:val="21"/>
          <w:u w:val="single"/>
        </w:rPr>
        <w:t xml:space="preserve"> 委托人的财产 </w:t>
      </w:r>
      <w:r>
        <w:rPr>
          <w:rFonts w:hint="eastAsia" w:ascii="宋体" w:hAnsi="宋体" w:eastAsia="宋体" w:cs="宋体"/>
          <w:sz w:val="21"/>
          <w:szCs w:val="21"/>
        </w:rPr>
        <w:t>。</w:t>
      </w:r>
    </w:p>
    <w:p w14:paraId="508F9386">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监理人应在本合同终止后</w:t>
      </w:r>
      <w:r>
        <w:rPr>
          <w:rFonts w:hint="eastAsia" w:ascii="宋体" w:hAnsi="宋体" w:eastAsia="宋体" w:cs="宋体"/>
          <w:sz w:val="21"/>
          <w:szCs w:val="21"/>
          <w:u w:val="single"/>
        </w:rPr>
        <w:t xml:space="preserve">     </w:t>
      </w:r>
      <w:r>
        <w:rPr>
          <w:rFonts w:hint="eastAsia" w:ascii="宋体" w:hAnsi="宋体" w:eastAsia="宋体" w:cs="宋体"/>
          <w:sz w:val="21"/>
          <w:szCs w:val="21"/>
        </w:rPr>
        <w:t>天内移交委托人无偿提供的房屋、设备，移交的时间和方式为：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16F969FC">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kern w:val="0"/>
          <w:sz w:val="21"/>
          <w:szCs w:val="21"/>
        </w:rPr>
        <w:t xml:space="preserve">3. 委托人义务  </w:t>
      </w:r>
    </w:p>
    <w:p w14:paraId="4E06D39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rPr>
        <w:t>3.4 委托人代表</w:t>
      </w:r>
    </w:p>
    <w:p w14:paraId="79599C8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委托人代表为：</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71581C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3.6 答复</w:t>
      </w:r>
    </w:p>
    <w:p w14:paraId="1424ED68">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委托人同意</w:t>
      </w:r>
      <w:r>
        <w:rPr>
          <w:rFonts w:hint="eastAsia" w:ascii="宋体" w:hAnsi="宋体" w:eastAsia="宋体" w:cs="宋体"/>
          <w:sz w:val="21"/>
          <w:szCs w:val="21"/>
          <w:highlight w:val="none"/>
        </w:rPr>
        <w:t>在</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3</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天</w:t>
      </w:r>
      <w:r>
        <w:rPr>
          <w:rFonts w:hint="eastAsia" w:ascii="宋体" w:hAnsi="宋体" w:eastAsia="宋体" w:cs="宋体"/>
          <w:sz w:val="21"/>
          <w:szCs w:val="21"/>
        </w:rPr>
        <w:t>内，对监理人书面提交并要求做出决定的事宜给予书面答复。</w:t>
      </w:r>
    </w:p>
    <w:p w14:paraId="679C5F4C">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4. 违约责任</w:t>
      </w:r>
    </w:p>
    <w:p w14:paraId="52030A84">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 监理人的违约责任</w:t>
      </w:r>
    </w:p>
    <w:p w14:paraId="659E0A9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4.1.1监理人赔偿金额按下列方法确定：</w:t>
      </w:r>
    </w:p>
    <w:p w14:paraId="5A2A845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赔偿金＝直接经济损失×正常工作酬金÷工程概算</w:t>
      </w:r>
      <w:r>
        <w:rPr>
          <w:rFonts w:hint="eastAsia" w:ascii="宋体" w:hAnsi="宋体" w:eastAsia="宋体" w:cs="宋体"/>
          <w:kern w:val="0"/>
          <w:sz w:val="21"/>
          <w:szCs w:val="21"/>
        </w:rPr>
        <w:t>投资额（或建筑安装工程费）</w:t>
      </w:r>
    </w:p>
    <w:p w14:paraId="39D60F5C">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4.2 委托人的违约责任</w:t>
      </w:r>
    </w:p>
    <w:p w14:paraId="77550477">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4.2.3 委托人</w:t>
      </w:r>
      <w:r>
        <w:rPr>
          <w:rFonts w:hint="eastAsia" w:ascii="宋体" w:hAnsi="宋体" w:eastAsia="宋体" w:cs="宋体"/>
          <w:kern w:val="0"/>
          <w:sz w:val="21"/>
          <w:szCs w:val="21"/>
        </w:rPr>
        <w:t>逾期付款利息按下列方法确定：</w:t>
      </w:r>
    </w:p>
    <w:p w14:paraId="6E678031">
      <w:pPr>
        <w:keepNext w:val="0"/>
        <w:keepLines w:val="0"/>
        <w:pageBreakBefore w:val="0"/>
        <w:widowControl w:val="0"/>
        <w:kinsoku/>
        <w:wordWrap/>
        <w:overflowPunct/>
        <w:topLinePunct w:val="0"/>
        <w:autoSpaceDE/>
        <w:autoSpaceDN/>
        <w:bidi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逾期付款利息＝当期应付款总额×银行同期贷款利率×拖延支付天数</w:t>
      </w:r>
    </w:p>
    <w:p w14:paraId="5792D15C">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bCs/>
          <w:sz w:val="21"/>
          <w:szCs w:val="21"/>
        </w:rPr>
        <w:t>5. 支付</w:t>
      </w:r>
    </w:p>
    <w:p w14:paraId="5DE5B9D8">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sz w:val="21"/>
          <w:szCs w:val="21"/>
        </w:rPr>
        <w:t xml:space="preserve">5.1 </w:t>
      </w:r>
      <w:r>
        <w:rPr>
          <w:rFonts w:hint="eastAsia" w:ascii="宋体" w:hAnsi="宋体" w:eastAsia="宋体" w:cs="宋体"/>
          <w:bCs/>
          <w:sz w:val="21"/>
          <w:szCs w:val="21"/>
        </w:rPr>
        <w:t>支付货币</w:t>
      </w:r>
    </w:p>
    <w:p w14:paraId="1815732A">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币种为：</w:t>
      </w:r>
      <w:r>
        <w:rPr>
          <w:rFonts w:hint="eastAsia" w:ascii="宋体" w:hAnsi="宋体" w:eastAsia="宋体" w:cs="宋体"/>
          <w:sz w:val="21"/>
          <w:szCs w:val="21"/>
          <w:u w:val="single"/>
        </w:rPr>
        <w:t xml:space="preserve"> 人民币  </w:t>
      </w:r>
      <w:r>
        <w:rPr>
          <w:rFonts w:hint="eastAsia" w:ascii="宋体" w:hAnsi="宋体" w:eastAsia="宋体" w:cs="宋体"/>
          <w:sz w:val="21"/>
          <w:szCs w:val="21"/>
        </w:rPr>
        <w:t>，比例为：</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eastAsia="zh-CN"/>
        </w:rPr>
        <w:t>无</w:t>
      </w:r>
      <w:r>
        <w:rPr>
          <w:rFonts w:hint="eastAsia" w:ascii="宋体" w:hAnsi="宋体" w:eastAsia="宋体" w:cs="宋体"/>
          <w:sz w:val="21"/>
          <w:szCs w:val="21"/>
          <w:u w:val="single"/>
        </w:rPr>
        <w:t xml:space="preserve"> </w:t>
      </w:r>
      <w:r>
        <w:rPr>
          <w:rFonts w:hint="eastAsia" w:ascii="宋体" w:hAnsi="宋体" w:eastAsia="宋体" w:cs="宋体"/>
          <w:sz w:val="21"/>
          <w:szCs w:val="21"/>
        </w:rPr>
        <w:t>，汇率为：</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eastAsia="zh-CN"/>
        </w:rPr>
        <w:t>无</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w:t>
      </w:r>
    </w:p>
    <w:p w14:paraId="2CF7592F">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5.3 支付酬金</w:t>
      </w:r>
    </w:p>
    <w:p w14:paraId="46E3B85D">
      <w:pPr>
        <w:pStyle w:val="2"/>
        <w:rPr>
          <w:rFonts w:hint="eastAsia"/>
          <w:b/>
          <w:bCs/>
          <w:highlight w:val="none"/>
        </w:rPr>
      </w:pPr>
      <w:r>
        <w:rPr>
          <w:rFonts w:hint="eastAsia" w:ascii="宋体" w:hAnsi="宋体" w:eastAsia="宋体" w:cs="宋体"/>
          <w:b/>
          <w:szCs w:val="21"/>
          <w:lang w:bidi="ar-SA"/>
        </w:rPr>
        <w:t>本工程监理费用=</w:t>
      </w:r>
      <w:r>
        <w:rPr>
          <w:rFonts w:hint="eastAsia" w:ascii="宋体" w:hAnsi="宋体" w:cs="宋体"/>
          <w:szCs w:val="21"/>
        </w:rPr>
        <w:t>工程结算总造价×</w:t>
      </w:r>
      <w:r>
        <w:rPr>
          <w:rFonts w:hint="eastAsia" w:ascii="宋体" w:hAnsi="宋体" w:cs="宋体"/>
          <w:szCs w:val="21"/>
          <w:u w:val="single"/>
          <w:lang w:val="en-US" w:eastAsia="zh-CN"/>
        </w:rPr>
        <w:t xml:space="preserve">     </w:t>
      </w:r>
      <w:r>
        <w:rPr>
          <w:rFonts w:hint="eastAsia" w:ascii="宋体" w:hAnsi="宋体" w:cs="宋体"/>
          <w:szCs w:val="21"/>
          <w:lang w:val="en-US" w:eastAsia="zh-CN"/>
        </w:rPr>
        <w:t xml:space="preserve"> </w:t>
      </w:r>
      <w:r>
        <w:rPr>
          <w:rFonts w:hint="eastAsia" w:ascii="宋体" w:hAnsi="宋体" w:cs="宋体"/>
          <w:szCs w:val="21"/>
        </w:rPr>
        <w:t>%  （最终支付以审计结算总造价作为计算额），无论任何原因导致的工期延长，委托人均不再增加监理费用。</w:t>
      </w:r>
      <w:r>
        <w:rPr>
          <w:rFonts w:hint="eastAsia" w:ascii="宋体" w:hAnsi="宋体" w:eastAsia="宋体" w:cs="宋体"/>
          <w:b/>
          <w:bCs/>
          <w:color w:val="auto"/>
          <w:kern w:val="2"/>
          <w:sz w:val="21"/>
          <w:szCs w:val="21"/>
          <w:highlight w:val="none"/>
          <w:lang w:val="en-US" w:eastAsia="zh-CN" w:bidi="ar-SA"/>
        </w:rPr>
        <w:t>可抵扣的进项</w:t>
      </w:r>
      <w:r>
        <w:rPr>
          <w:rFonts w:hint="eastAsia" w:hAnsi="宋体" w:cs="宋体"/>
          <w:b/>
          <w:bCs/>
          <w:color w:val="auto"/>
          <w:kern w:val="2"/>
          <w:sz w:val="21"/>
          <w:szCs w:val="21"/>
          <w:highlight w:val="none"/>
          <w:lang w:val="en-US" w:eastAsia="zh-CN" w:bidi="ar-SA"/>
        </w:rPr>
        <w:t>税率为</w:t>
      </w:r>
      <w:r>
        <w:rPr>
          <w:rFonts w:hint="eastAsia" w:hAnsi="宋体" w:cs="宋体"/>
          <w:b/>
          <w:bCs/>
          <w:color w:val="auto"/>
          <w:kern w:val="2"/>
          <w:sz w:val="21"/>
          <w:szCs w:val="21"/>
          <w:highlight w:val="none"/>
          <w:u w:val="single"/>
          <w:lang w:val="en-US" w:eastAsia="zh-CN" w:bidi="ar-SA"/>
        </w:rPr>
        <w:t xml:space="preserve">   </w:t>
      </w:r>
      <w:r>
        <w:rPr>
          <w:rFonts w:hint="eastAsia" w:ascii="宋体" w:hAnsi="宋体" w:eastAsia="宋体" w:cs="宋体"/>
          <w:b/>
          <w:bCs/>
          <w:color w:val="auto"/>
          <w:kern w:val="2"/>
          <w:sz w:val="21"/>
          <w:szCs w:val="21"/>
          <w:highlight w:val="none"/>
          <w:u w:val="single"/>
          <w:lang w:val="en-US" w:eastAsia="zh-CN" w:bidi="ar-SA"/>
        </w:rPr>
        <w:t xml:space="preserve">  </w:t>
      </w:r>
      <w:r>
        <w:rPr>
          <w:rFonts w:hint="eastAsia" w:ascii="宋体" w:hAnsi="宋体" w:eastAsia="宋体" w:cs="宋体"/>
          <w:b/>
          <w:bCs/>
          <w:color w:val="auto"/>
          <w:kern w:val="2"/>
          <w:sz w:val="21"/>
          <w:szCs w:val="21"/>
          <w:highlight w:val="none"/>
          <w:lang w:val="en-US" w:eastAsia="zh-CN" w:bidi="ar-SA"/>
        </w:rPr>
        <w:t>%</w:t>
      </w:r>
      <w:r>
        <w:rPr>
          <w:rFonts w:hint="eastAsia" w:hAnsi="宋体" w:cs="宋体"/>
          <w:b/>
          <w:bCs/>
          <w:color w:val="auto"/>
          <w:kern w:val="2"/>
          <w:sz w:val="21"/>
          <w:szCs w:val="21"/>
          <w:highlight w:val="none"/>
          <w:lang w:val="en-US" w:eastAsia="zh-CN" w:bidi="ar-SA"/>
        </w:rPr>
        <w:t>，中标单位结算时，根据自身企业性质及规模，按照税法要求开具符合本企业相对应税率的增值税专用发票，提供的增值税专用发票税率与投标时税率不同的，须保持“不含税结算价”不变，并签订税率调整的相关补充协议。如遇国家政策调整，导致税率变化的，按照上述原则，签订相关补充协议调整。</w:t>
      </w:r>
    </w:p>
    <w:p w14:paraId="69A76839">
      <w:pPr>
        <w:snapToGrid w:val="0"/>
        <w:spacing w:line="440" w:lineRule="exact"/>
        <w:ind w:firstLine="422" w:firstLineChars="200"/>
        <w:rPr>
          <w:rFonts w:hint="eastAsia" w:ascii="宋体" w:hAnsi="宋体" w:eastAsia="宋体" w:cs="宋体"/>
          <w:b/>
          <w:sz w:val="21"/>
          <w:szCs w:val="21"/>
          <w:u w:val="single"/>
          <w:lang w:bidi="ar-SA"/>
        </w:rPr>
      </w:pPr>
      <w:r>
        <w:rPr>
          <w:rFonts w:hint="eastAsia" w:ascii="宋体" w:hAnsi="宋体" w:eastAsia="宋体" w:cs="宋体"/>
          <w:b/>
          <w:szCs w:val="21"/>
          <w:lang w:bidi="ar-SA"/>
        </w:rPr>
        <w:t>支付方</w:t>
      </w:r>
      <w:r>
        <w:rPr>
          <w:rFonts w:hint="eastAsia" w:ascii="宋体" w:hAnsi="宋体" w:eastAsia="宋体" w:cs="宋体"/>
          <w:b/>
          <w:szCs w:val="21"/>
          <w:highlight w:val="none"/>
          <w:lang w:bidi="ar-SA"/>
        </w:rPr>
        <w:t>式：</w:t>
      </w:r>
      <w:r>
        <w:rPr>
          <w:rFonts w:hint="eastAsia" w:ascii="宋体" w:hAnsi="宋体" w:cs="宋体"/>
          <w:b/>
          <w:bCs/>
          <w:color w:val="auto"/>
          <w:szCs w:val="21"/>
          <w:highlight w:val="none"/>
        </w:rPr>
        <w:t>根据施工请款资料，于次月按照完成合格工程量的</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0%支付监理费，累计支付至监理范围内全部合格工程量的</w:t>
      </w:r>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0%，停止拨付，</w:t>
      </w:r>
      <w:r>
        <w:rPr>
          <w:rFonts w:hint="eastAsia" w:ascii="宋体" w:hAnsi="宋体" w:cs="宋体"/>
          <w:b/>
          <w:bCs/>
          <w:color w:val="auto"/>
          <w:szCs w:val="21"/>
          <w:highlight w:val="none"/>
          <w:lang w:val="en-US" w:eastAsia="zh-CN"/>
        </w:rPr>
        <w:t>整体项目</w:t>
      </w:r>
      <w:r>
        <w:rPr>
          <w:rFonts w:hint="eastAsia" w:ascii="宋体" w:hAnsi="宋体" w:cs="宋体"/>
          <w:b/>
          <w:bCs/>
          <w:color w:val="auto"/>
          <w:szCs w:val="21"/>
          <w:highlight w:val="none"/>
        </w:rPr>
        <w:t>竣工验收合格、施工结算、资料归档及审计结束后付至结算总价的</w:t>
      </w:r>
      <w:r>
        <w:rPr>
          <w:rFonts w:hint="eastAsia" w:ascii="宋体" w:hAnsi="宋体" w:cs="宋体"/>
          <w:b/>
          <w:bCs/>
          <w:color w:val="auto"/>
          <w:szCs w:val="21"/>
          <w:highlight w:val="none"/>
          <w:lang w:val="en-US" w:eastAsia="zh-CN"/>
        </w:rPr>
        <w:t>97</w:t>
      </w:r>
      <w:r>
        <w:rPr>
          <w:rFonts w:hint="eastAsia" w:ascii="宋体" w:hAnsi="宋体" w:cs="宋体"/>
          <w:b/>
          <w:bCs/>
          <w:color w:val="auto"/>
          <w:szCs w:val="21"/>
          <w:highlight w:val="none"/>
        </w:rPr>
        <w:t>%，剩余</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%经工程质保期满</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lang w:val="en-US" w:eastAsia="zh-CN"/>
        </w:rPr>
        <w:t>两年</w:t>
      </w:r>
      <w:r>
        <w:rPr>
          <w:rFonts w:hint="eastAsia" w:ascii="宋体" w:hAnsi="宋体" w:cs="宋体"/>
          <w:b/>
          <w:bCs/>
          <w:color w:val="auto"/>
          <w:szCs w:val="21"/>
          <w:highlight w:val="none"/>
          <w:lang w:eastAsia="zh-CN"/>
        </w:rPr>
        <w:t>）</w:t>
      </w:r>
      <w:r>
        <w:rPr>
          <w:rFonts w:hint="eastAsia" w:ascii="宋体" w:hAnsi="宋体" w:cs="宋体"/>
          <w:b/>
          <w:bCs/>
          <w:color w:val="auto"/>
          <w:szCs w:val="21"/>
          <w:highlight w:val="none"/>
        </w:rPr>
        <w:t>回访合格后支付完毕（无息）。</w:t>
      </w:r>
    </w:p>
    <w:p w14:paraId="2F2BF60C">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b/>
          <w:bCs/>
          <w:color w:val="FF0000"/>
          <w:sz w:val="21"/>
          <w:szCs w:val="21"/>
        </w:rPr>
      </w:pPr>
      <w:r>
        <w:rPr>
          <w:rFonts w:hint="eastAsia" w:ascii="宋体" w:hAnsi="宋体" w:eastAsia="宋体" w:cs="宋体"/>
          <w:bCs/>
          <w:sz w:val="21"/>
          <w:szCs w:val="21"/>
        </w:rPr>
        <w:t>6</w:t>
      </w:r>
      <w:r>
        <w:rPr>
          <w:rFonts w:hint="eastAsia" w:ascii="宋体" w:hAnsi="宋体" w:eastAsia="宋体" w:cs="宋体"/>
          <w:b/>
          <w:bCs/>
          <w:sz w:val="21"/>
          <w:szCs w:val="21"/>
        </w:rPr>
        <w:t>. 合同生效、变更、暂停、解除与终止</w:t>
      </w:r>
    </w:p>
    <w:p w14:paraId="6705AB74">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6.1 生效</w:t>
      </w:r>
    </w:p>
    <w:p w14:paraId="777DF7F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sz w:val="21"/>
          <w:szCs w:val="21"/>
        </w:rPr>
        <w:t>本合同生效条件：</w:t>
      </w:r>
      <w:r>
        <w:rPr>
          <w:rFonts w:hint="eastAsia" w:ascii="宋体" w:hAnsi="宋体" w:eastAsia="宋体" w:cs="宋体"/>
          <w:color w:val="auto"/>
          <w:sz w:val="21"/>
          <w:szCs w:val="21"/>
          <w:u w:val="single"/>
        </w:rPr>
        <w:t xml:space="preserve"> 委托人和监理人的法定代表人或其授权代理人在协议书上签字并盖单位章后本合同生效 </w:t>
      </w:r>
      <w:r>
        <w:rPr>
          <w:rFonts w:hint="eastAsia" w:ascii="宋体" w:hAnsi="宋体" w:eastAsia="宋体" w:cs="宋体"/>
          <w:color w:val="auto"/>
          <w:sz w:val="21"/>
          <w:szCs w:val="21"/>
        </w:rPr>
        <w:t>。</w:t>
      </w:r>
    </w:p>
    <w:p w14:paraId="114EE25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6.2 变更</w:t>
      </w:r>
    </w:p>
    <w:p w14:paraId="50354940">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6.2.2 除不可抗力外， 因非监理人原因导致本合同期限延长时，附加工作酬金按下列方法确定：</w:t>
      </w:r>
    </w:p>
    <w:p w14:paraId="3B2A4F8D">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附加工作</w:t>
      </w:r>
      <w:r>
        <w:rPr>
          <w:rFonts w:hint="eastAsia" w:ascii="宋体" w:hAnsi="宋体" w:eastAsia="宋体" w:cs="宋体"/>
          <w:sz w:val="21"/>
          <w:szCs w:val="21"/>
        </w:rPr>
        <w:t>酬金</w:t>
      </w:r>
      <w:r>
        <w:rPr>
          <w:rFonts w:hint="eastAsia" w:ascii="宋体" w:hAnsi="宋体" w:eastAsia="宋体" w:cs="宋体"/>
          <w:kern w:val="0"/>
          <w:sz w:val="21"/>
          <w:szCs w:val="21"/>
        </w:rPr>
        <w:t>=</w:t>
      </w:r>
      <w:r>
        <w:rPr>
          <w:rFonts w:hint="eastAsia" w:ascii="宋体" w:hAnsi="宋体" w:eastAsia="宋体" w:cs="宋体"/>
          <w:sz w:val="21"/>
          <w:szCs w:val="21"/>
        </w:rPr>
        <w:t>本合同期限延长</w:t>
      </w:r>
      <w:r>
        <w:rPr>
          <w:rFonts w:hint="eastAsia" w:ascii="宋体" w:hAnsi="宋体" w:eastAsia="宋体" w:cs="宋体"/>
          <w:kern w:val="0"/>
          <w:sz w:val="21"/>
          <w:szCs w:val="21"/>
        </w:rPr>
        <w:t>时间（天）×正常工作酬金÷</w:t>
      </w:r>
      <w:r>
        <w:rPr>
          <w:rFonts w:hint="eastAsia" w:ascii="宋体" w:hAnsi="宋体" w:eastAsia="宋体" w:cs="宋体"/>
          <w:sz w:val="21"/>
          <w:szCs w:val="21"/>
        </w:rPr>
        <w:t>协议书约定的监理与相关服务期限</w:t>
      </w:r>
      <w:r>
        <w:rPr>
          <w:rFonts w:hint="eastAsia" w:ascii="宋体" w:hAnsi="宋体" w:eastAsia="宋体" w:cs="宋体"/>
          <w:kern w:val="0"/>
          <w:sz w:val="21"/>
          <w:szCs w:val="21"/>
        </w:rPr>
        <w:t>（天）</w:t>
      </w:r>
    </w:p>
    <w:p w14:paraId="19A7869C">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6.2.3附加工作酬金按下列方法确定：</w:t>
      </w:r>
    </w:p>
    <w:p w14:paraId="3481FA68">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附加工作</w:t>
      </w:r>
      <w:r>
        <w:rPr>
          <w:rFonts w:hint="eastAsia" w:ascii="宋体" w:hAnsi="宋体" w:eastAsia="宋体" w:cs="宋体"/>
          <w:sz w:val="21"/>
          <w:szCs w:val="21"/>
        </w:rPr>
        <w:t>酬金</w:t>
      </w:r>
      <w:r>
        <w:rPr>
          <w:rFonts w:hint="eastAsia" w:ascii="宋体" w:hAnsi="宋体" w:eastAsia="宋体" w:cs="宋体"/>
          <w:kern w:val="0"/>
          <w:sz w:val="21"/>
          <w:szCs w:val="21"/>
        </w:rPr>
        <w:t>=善后工作及恢复服务的准备工作时间（天）×正常工作酬金÷</w:t>
      </w:r>
      <w:r>
        <w:rPr>
          <w:rFonts w:hint="eastAsia" w:ascii="宋体" w:hAnsi="宋体" w:eastAsia="宋体" w:cs="宋体"/>
          <w:sz w:val="21"/>
          <w:szCs w:val="21"/>
        </w:rPr>
        <w:t>协议书约定的监理与相关服务期限</w:t>
      </w:r>
      <w:r>
        <w:rPr>
          <w:rFonts w:hint="eastAsia" w:ascii="宋体" w:hAnsi="宋体" w:eastAsia="宋体" w:cs="宋体"/>
          <w:kern w:val="0"/>
          <w:sz w:val="21"/>
          <w:szCs w:val="21"/>
        </w:rPr>
        <w:t>（天）</w:t>
      </w:r>
    </w:p>
    <w:p w14:paraId="02CCB93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6.2.5 正常工作酬金增加额按下列方法确定： </w:t>
      </w:r>
    </w:p>
    <w:p w14:paraId="2EBA3735">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kern w:val="0"/>
          <w:sz w:val="21"/>
          <w:szCs w:val="21"/>
        </w:rPr>
      </w:pPr>
      <w:r>
        <w:rPr>
          <w:rFonts w:hint="eastAsia" w:ascii="宋体" w:hAnsi="宋体" w:eastAsia="宋体" w:cs="宋体"/>
          <w:sz w:val="21"/>
          <w:szCs w:val="21"/>
        </w:rPr>
        <w:t>正常工作酬金增加额</w:t>
      </w:r>
      <w:r>
        <w:rPr>
          <w:rFonts w:hint="eastAsia" w:ascii="宋体" w:hAnsi="宋体" w:eastAsia="宋体" w:cs="宋体"/>
          <w:kern w:val="0"/>
          <w:sz w:val="21"/>
          <w:szCs w:val="21"/>
        </w:rPr>
        <w:t>=工程投资额</w:t>
      </w:r>
      <w:r>
        <w:rPr>
          <w:rFonts w:hint="eastAsia" w:ascii="宋体" w:hAnsi="宋体" w:eastAsia="宋体" w:cs="宋体"/>
          <w:sz w:val="21"/>
          <w:szCs w:val="21"/>
        </w:rPr>
        <w:t>或建筑安装工程费</w:t>
      </w:r>
      <w:r>
        <w:rPr>
          <w:rFonts w:hint="eastAsia" w:ascii="宋体" w:hAnsi="宋体" w:eastAsia="宋体" w:cs="宋体"/>
          <w:kern w:val="0"/>
          <w:sz w:val="21"/>
          <w:szCs w:val="21"/>
        </w:rPr>
        <w:t>增加额×正常工作酬金÷工程概算投资额（或建筑安装工程费）</w:t>
      </w:r>
    </w:p>
    <w:p w14:paraId="71EEECDE">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6.2.6 因工程规模、监理范围的变化导致监理人的正常工作量减少时，按减少工作量的比例从协议书约定的正常工作酬金中扣减相同比例的酬金。</w:t>
      </w:r>
    </w:p>
    <w:p w14:paraId="4405B1BF">
      <w:pPr>
        <w:keepNext w:val="0"/>
        <w:keepLines w:val="0"/>
        <w:pageBreakBefore w:val="0"/>
        <w:widowControl w:val="0"/>
        <w:kinsoku/>
        <w:wordWrap/>
        <w:overflowPunct/>
        <w:topLinePunct w:val="0"/>
        <w:autoSpaceDE/>
        <w:autoSpaceDN/>
        <w:bidi w:val="0"/>
        <w:snapToGrid w:val="0"/>
        <w:spacing w:line="440" w:lineRule="exact"/>
        <w:ind w:left="0" w:leftChars="0" w:firstLine="422" w:firstLineChars="200"/>
        <w:jc w:val="left"/>
        <w:textAlignment w:val="auto"/>
        <w:rPr>
          <w:rFonts w:hint="eastAsia" w:ascii="宋体" w:hAnsi="宋体" w:eastAsia="宋体" w:cs="宋体"/>
          <w:b/>
          <w:sz w:val="21"/>
          <w:szCs w:val="21"/>
        </w:rPr>
      </w:pPr>
      <w:r>
        <w:rPr>
          <w:rFonts w:hint="eastAsia" w:ascii="宋体" w:hAnsi="宋体" w:eastAsia="宋体" w:cs="宋体"/>
          <w:b/>
          <w:bCs/>
          <w:sz w:val="21"/>
          <w:szCs w:val="21"/>
        </w:rPr>
        <w:t>7. 争议解决</w:t>
      </w:r>
    </w:p>
    <w:p w14:paraId="20AF8DA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7.2 </w:t>
      </w:r>
      <w:r>
        <w:rPr>
          <w:rFonts w:hint="eastAsia" w:ascii="宋体" w:hAnsi="宋体" w:eastAsia="宋体" w:cs="宋体"/>
          <w:bCs/>
          <w:sz w:val="21"/>
          <w:szCs w:val="21"/>
        </w:rPr>
        <w:t>调解</w:t>
      </w:r>
    </w:p>
    <w:p w14:paraId="11320F54">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本合同争议进行调解时，可提交</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进行调解。</w:t>
      </w:r>
    </w:p>
    <w:p w14:paraId="3AF57312">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 xml:space="preserve">7.3 </w:t>
      </w:r>
      <w:r>
        <w:rPr>
          <w:rFonts w:hint="eastAsia" w:ascii="宋体" w:hAnsi="宋体" w:eastAsia="宋体" w:cs="宋体"/>
          <w:bCs/>
          <w:sz w:val="21"/>
          <w:szCs w:val="21"/>
        </w:rPr>
        <w:t>仲裁或诉讼</w:t>
      </w:r>
    </w:p>
    <w:p w14:paraId="4A9F330E">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合同争议的最终解决方式为下列第</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u w:val="single"/>
          <w:lang w:val="en-US" w:eastAsia="zh-CN"/>
        </w:rPr>
        <w:t>1</w:t>
      </w:r>
      <w:r>
        <w:rPr>
          <w:rFonts w:hint="eastAsia" w:ascii="宋体" w:hAnsi="宋体" w:eastAsia="宋体" w:cs="宋体"/>
          <w:sz w:val="21"/>
          <w:szCs w:val="21"/>
          <w:u w:val="single"/>
          <w:lang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种方式：</w:t>
      </w:r>
    </w:p>
    <w:p w14:paraId="03D0EB8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（1）提请</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滁州 </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仲裁委员会进行仲裁。</w:t>
      </w:r>
    </w:p>
    <w:p w14:paraId="44191181">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（2）向</w:t>
      </w:r>
      <w:r>
        <w:rPr>
          <w:rFonts w:hint="eastAsia" w:ascii="宋体" w:hAnsi="宋体" w:eastAsia="宋体" w:cs="宋体"/>
          <w:sz w:val="21"/>
          <w:szCs w:val="21"/>
          <w:u w:val="single"/>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Cs w:val="21"/>
          <w:highlight w:val="none"/>
          <w:u w:val="single"/>
          <w:lang w:val="en-US"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人民法院提起诉讼。</w:t>
      </w:r>
    </w:p>
    <w:p w14:paraId="626E67F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2" w:firstLineChars="200"/>
        <w:jc w:val="left"/>
        <w:textAlignment w:val="auto"/>
        <w:rPr>
          <w:rFonts w:hint="eastAsia" w:ascii="宋体" w:hAnsi="宋体" w:eastAsia="宋体" w:cs="宋体"/>
          <w:b/>
          <w:bCs/>
          <w:sz w:val="21"/>
          <w:szCs w:val="21"/>
        </w:rPr>
      </w:pPr>
      <w:r>
        <w:rPr>
          <w:rFonts w:hint="eastAsia" w:ascii="宋体" w:hAnsi="宋体" w:eastAsia="宋体" w:cs="宋体"/>
          <w:b/>
          <w:bCs/>
          <w:sz w:val="21"/>
          <w:szCs w:val="21"/>
        </w:rPr>
        <w:t>8. 其他</w:t>
      </w:r>
    </w:p>
    <w:p w14:paraId="25BD0DE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8.2 检测费用</w:t>
      </w:r>
    </w:p>
    <w:p w14:paraId="36CE165A">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委托人应在检测工作完成后</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bCs/>
          <w:sz w:val="21"/>
          <w:szCs w:val="21"/>
        </w:rPr>
        <w:t>天内支付检测费用。</w:t>
      </w:r>
    </w:p>
    <w:p w14:paraId="7352C28D">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8.3 咨询费用</w:t>
      </w:r>
    </w:p>
    <w:p w14:paraId="5ADA2569">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bCs/>
          <w:sz w:val="21"/>
          <w:szCs w:val="21"/>
        </w:rPr>
      </w:pPr>
      <w:r>
        <w:rPr>
          <w:rFonts w:hint="eastAsia" w:ascii="宋体" w:hAnsi="宋体" w:eastAsia="宋体" w:cs="宋体"/>
          <w:bCs/>
          <w:sz w:val="21"/>
          <w:szCs w:val="21"/>
        </w:rPr>
        <w:t>委托人应在咨询工作完成后</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bCs/>
          <w:sz w:val="21"/>
          <w:szCs w:val="21"/>
        </w:rPr>
        <w:t>天内支付咨询费用。</w:t>
      </w:r>
    </w:p>
    <w:p w14:paraId="5D726945">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8.4 奖励</w:t>
      </w:r>
    </w:p>
    <w:p w14:paraId="2B61B3DC">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合理化建议的奖励金额按下列方法确定为：</w:t>
      </w:r>
    </w:p>
    <w:p w14:paraId="61331675">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奖励金额＝工程投资节省额×奖励金额的比率；</w:t>
      </w:r>
    </w:p>
    <w:p w14:paraId="30BF40C0">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奖励金额的比率为</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49CF58FF">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8.6 保密</w:t>
      </w:r>
    </w:p>
    <w:p w14:paraId="3088C093">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委托人申明的保密事项和期限：</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393A45E2">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rPr>
          <w:rFonts w:hint="eastAsia" w:ascii="宋体" w:hAnsi="宋体" w:eastAsia="宋体" w:cs="宋体"/>
          <w:sz w:val="21"/>
          <w:szCs w:val="21"/>
          <w:u w:val="single"/>
        </w:rPr>
      </w:pPr>
      <w:r>
        <w:rPr>
          <w:rFonts w:hint="eastAsia" w:ascii="宋体" w:hAnsi="宋体" w:eastAsia="宋体" w:cs="宋体"/>
          <w:sz w:val="21"/>
          <w:szCs w:val="21"/>
        </w:rPr>
        <w:t>监理人申明的保密事项和期限：</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6BD423C6">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420" w:firstLineChars="200"/>
        <w:jc w:val="left"/>
        <w:textAlignment w:val="auto"/>
        <w:outlineLvl w:val="0"/>
        <w:rPr>
          <w:rFonts w:hint="eastAsia" w:ascii="宋体" w:hAnsi="宋体" w:eastAsia="宋体" w:cs="宋体"/>
          <w:sz w:val="21"/>
          <w:szCs w:val="21"/>
          <w:u w:val="single"/>
        </w:rPr>
      </w:pPr>
      <w:bookmarkStart w:id="873" w:name="_Toc5493"/>
      <w:bookmarkStart w:id="874" w:name="_Toc25154"/>
      <w:r>
        <w:rPr>
          <w:rFonts w:hint="eastAsia" w:ascii="宋体" w:hAnsi="宋体" w:eastAsia="宋体" w:cs="宋体"/>
          <w:sz w:val="21"/>
          <w:szCs w:val="21"/>
        </w:rPr>
        <w:t>第三方申明的保密事项和期限：</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bookmarkEnd w:id="873"/>
      <w:bookmarkEnd w:id="874"/>
    </w:p>
    <w:p w14:paraId="4921C587">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outlineLvl w:val="0"/>
        <w:rPr>
          <w:rFonts w:hint="eastAsia" w:ascii="宋体" w:hAnsi="宋体" w:eastAsia="宋体" w:cs="宋体"/>
          <w:bCs/>
          <w:sz w:val="21"/>
          <w:szCs w:val="21"/>
        </w:rPr>
      </w:pPr>
      <w:bookmarkStart w:id="875" w:name="_Toc15769"/>
      <w:bookmarkStart w:id="876" w:name="_Toc25677"/>
      <w:r>
        <w:rPr>
          <w:rFonts w:hint="eastAsia" w:ascii="宋体" w:hAnsi="宋体" w:eastAsia="宋体" w:cs="宋体"/>
          <w:sz w:val="21"/>
          <w:szCs w:val="21"/>
        </w:rPr>
        <w:t>8.8</w:t>
      </w:r>
      <w:r>
        <w:rPr>
          <w:rFonts w:hint="eastAsia" w:ascii="宋体" w:hAnsi="宋体" w:eastAsia="宋体" w:cs="宋体"/>
          <w:bCs/>
          <w:sz w:val="21"/>
          <w:szCs w:val="21"/>
        </w:rPr>
        <w:t>著作权</w:t>
      </w:r>
      <w:bookmarkEnd w:id="875"/>
      <w:bookmarkEnd w:id="876"/>
    </w:p>
    <w:p w14:paraId="0EAC6B2A">
      <w:pPr>
        <w:keepNext w:val="0"/>
        <w:keepLines w:val="0"/>
        <w:pageBreakBefore w:val="0"/>
        <w:widowControl w:val="0"/>
        <w:kinsoku/>
        <w:wordWrap/>
        <w:overflowPunct/>
        <w:topLinePunct w:val="0"/>
        <w:autoSpaceDE/>
        <w:autoSpaceDN/>
        <w:bidi w:val="0"/>
        <w:snapToGrid w:val="0"/>
        <w:spacing w:line="440" w:lineRule="exact"/>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监理人在本合同履行期间及本合同终止后两年内出版涉及本工程的有关监理与相关服务的资料的限制条件：</w:t>
      </w:r>
      <w:r>
        <w:rPr>
          <w:rFonts w:hint="eastAsia" w:ascii="宋体" w:hAnsi="宋体" w:eastAsia="宋体" w:cs="宋体"/>
          <w:sz w:val="21"/>
          <w:szCs w:val="21"/>
          <w:u w:val="single"/>
        </w:rPr>
        <w:t xml:space="preserve">                         </w:t>
      </w:r>
      <w:r>
        <w:rPr>
          <w:rFonts w:hint="eastAsia" w:ascii="宋体" w:hAnsi="宋体" w:cs="宋体"/>
          <w:sz w:val="21"/>
          <w:szCs w:val="21"/>
          <w:u w:val="single"/>
          <w:lang w:val="en-US" w:eastAsia="zh-CN"/>
        </w:rPr>
        <w:t>/</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14:paraId="07045C9B">
      <w:pPr>
        <w:jc w:val="center"/>
        <w:rPr>
          <w:rFonts w:hint="eastAsia" w:ascii="宋体" w:hAnsi="宋体" w:eastAsia="宋体" w:cs="宋体"/>
          <w:b/>
          <w:bCs/>
          <w:sz w:val="32"/>
          <w:szCs w:val="32"/>
        </w:rPr>
      </w:pPr>
      <w:r>
        <w:rPr>
          <w:rFonts w:hint="eastAsia" w:ascii="宋体" w:hAnsi="宋体" w:eastAsia="宋体" w:cs="宋体"/>
          <w:b/>
          <w:bCs/>
          <w:sz w:val="32"/>
          <w:szCs w:val="32"/>
        </w:rPr>
        <w:br w:type="page"/>
      </w:r>
      <w:bookmarkStart w:id="877" w:name="_Toc18787"/>
      <w:r>
        <w:rPr>
          <w:rFonts w:hint="eastAsia" w:ascii="宋体" w:hAnsi="宋体" w:eastAsia="宋体" w:cs="宋体"/>
          <w:b/>
          <w:bCs/>
          <w:sz w:val="32"/>
          <w:szCs w:val="32"/>
        </w:rPr>
        <w:t>补充条款</w:t>
      </w:r>
      <w:bookmarkEnd w:id="877"/>
    </w:p>
    <w:p w14:paraId="1E862467">
      <w:pPr>
        <w:pStyle w:val="67"/>
        <w:widowControl/>
        <w:autoSpaceDE/>
        <w:autoSpaceDN/>
        <w:spacing w:before="0" w:after="0" w:line="440" w:lineRule="exact"/>
        <w:ind w:left="0" w:right="0" w:firstLine="420" w:firstLineChars="200"/>
        <w:rPr>
          <w:rFonts w:hint="eastAsia" w:ascii="宋体" w:cs="宋体"/>
          <w:sz w:val="21"/>
          <w:szCs w:val="21"/>
          <w:u w:val="single"/>
        </w:rPr>
      </w:pPr>
      <w:r>
        <w:rPr>
          <w:rFonts w:hint="eastAsia" w:ascii="宋体" w:cs="宋体"/>
          <w:sz w:val="21"/>
          <w:szCs w:val="21"/>
        </w:rPr>
        <w:t xml:space="preserve">1、总监理工程师: </w:t>
      </w:r>
      <w:r>
        <w:rPr>
          <w:rFonts w:hint="eastAsia" w:ascii="宋体" w:cs="宋体"/>
          <w:sz w:val="21"/>
          <w:szCs w:val="21"/>
          <w:u w:val="single"/>
        </w:rPr>
        <w:t xml:space="preserve">  </w:t>
      </w:r>
      <w:r>
        <w:rPr>
          <w:rFonts w:hint="eastAsia" w:ascii="宋体" w:cs="宋体"/>
          <w:b/>
          <w:sz w:val="21"/>
          <w:szCs w:val="21"/>
          <w:u w:val="single"/>
        </w:rPr>
        <w:t xml:space="preserve">   </w:t>
      </w:r>
      <w:r>
        <w:rPr>
          <w:rFonts w:hint="eastAsia" w:ascii="宋体" w:cs="宋体"/>
          <w:sz w:val="21"/>
          <w:szCs w:val="21"/>
          <w:u w:val="single"/>
        </w:rPr>
        <w:t xml:space="preserve">      </w:t>
      </w:r>
    </w:p>
    <w:p w14:paraId="19548C8E">
      <w:pPr>
        <w:pStyle w:val="67"/>
        <w:widowControl/>
        <w:autoSpaceDE/>
        <w:autoSpaceDN/>
        <w:spacing w:before="0" w:after="0" w:line="440" w:lineRule="exact"/>
        <w:ind w:left="0" w:right="0" w:firstLine="420" w:firstLineChars="200"/>
        <w:rPr>
          <w:rFonts w:hint="eastAsia" w:ascii="宋体" w:cs="宋体"/>
          <w:sz w:val="21"/>
          <w:szCs w:val="21"/>
        </w:rPr>
      </w:pPr>
      <w:r>
        <w:rPr>
          <w:rFonts w:hint="eastAsia" w:ascii="宋体" w:cs="宋体"/>
          <w:sz w:val="21"/>
          <w:szCs w:val="21"/>
        </w:rPr>
        <w:t>2、总监理工程师及项目组人员情况一览表</w:t>
      </w:r>
    </w:p>
    <w:tbl>
      <w:tblPr>
        <w:tblStyle w:val="47"/>
        <w:tblW w:w="9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1166"/>
        <w:gridCol w:w="788"/>
        <w:gridCol w:w="1395"/>
        <w:gridCol w:w="1540"/>
        <w:gridCol w:w="1735"/>
        <w:gridCol w:w="1890"/>
      </w:tblGrid>
      <w:tr w14:paraId="22B0C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 w:hRule="atLeast"/>
          <w:jc w:val="center"/>
        </w:trPr>
        <w:tc>
          <w:tcPr>
            <w:tcW w:w="1366" w:type="dxa"/>
            <w:noWrap w:val="0"/>
            <w:vAlign w:val="center"/>
          </w:tcPr>
          <w:p w14:paraId="54A873BE">
            <w:pPr>
              <w:spacing w:line="440" w:lineRule="exact"/>
              <w:jc w:val="center"/>
              <w:rPr>
                <w:rFonts w:hint="eastAsia" w:ascii="黑体" w:eastAsia="黑体" w:cs="宋体"/>
                <w:b/>
                <w:bCs/>
                <w:szCs w:val="21"/>
              </w:rPr>
            </w:pPr>
            <w:r>
              <w:rPr>
                <w:rFonts w:hint="eastAsia" w:ascii="黑体" w:eastAsia="黑体" w:cs="宋体"/>
                <w:b/>
                <w:bCs/>
                <w:szCs w:val="21"/>
              </w:rPr>
              <w:t>姓  名</w:t>
            </w:r>
          </w:p>
        </w:tc>
        <w:tc>
          <w:tcPr>
            <w:tcW w:w="1166" w:type="dxa"/>
            <w:noWrap w:val="0"/>
            <w:vAlign w:val="center"/>
          </w:tcPr>
          <w:p w14:paraId="490AE01F">
            <w:pPr>
              <w:spacing w:line="440" w:lineRule="exact"/>
              <w:jc w:val="center"/>
              <w:rPr>
                <w:rFonts w:hint="eastAsia" w:ascii="黑体" w:eastAsia="黑体" w:cs="宋体"/>
                <w:b/>
                <w:bCs/>
                <w:szCs w:val="21"/>
              </w:rPr>
            </w:pPr>
            <w:r>
              <w:rPr>
                <w:rFonts w:hint="eastAsia" w:ascii="黑体" w:eastAsia="黑体" w:cs="宋体"/>
                <w:b/>
                <w:bCs/>
                <w:szCs w:val="21"/>
              </w:rPr>
              <w:t>年龄</w:t>
            </w:r>
          </w:p>
        </w:tc>
        <w:tc>
          <w:tcPr>
            <w:tcW w:w="788" w:type="dxa"/>
            <w:noWrap w:val="0"/>
            <w:vAlign w:val="center"/>
          </w:tcPr>
          <w:p w14:paraId="75293638">
            <w:pPr>
              <w:spacing w:line="440" w:lineRule="exact"/>
              <w:jc w:val="center"/>
              <w:rPr>
                <w:rFonts w:hint="eastAsia" w:ascii="黑体" w:eastAsia="黑体" w:cs="宋体"/>
                <w:b/>
                <w:bCs/>
                <w:szCs w:val="21"/>
              </w:rPr>
            </w:pPr>
            <w:r>
              <w:rPr>
                <w:rFonts w:hint="eastAsia" w:ascii="黑体" w:eastAsia="黑体" w:cs="宋体"/>
                <w:b/>
                <w:bCs/>
                <w:szCs w:val="21"/>
              </w:rPr>
              <w:t>性别</w:t>
            </w:r>
          </w:p>
        </w:tc>
        <w:tc>
          <w:tcPr>
            <w:tcW w:w="1395" w:type="dxa"/>
            <w:noWrap w:val="0"/>
            <w:vAlign w:val="center"/>
          </w:tcPr>
          <w:p w14:paraId="2A2028E5">
            <w:pPr>
              <w:spacing w:line="440" w:lineRule="exact"/>
              <w:jc w:val="center"/>
              <w:rPr>
                <w:rFonts w:hint="eastAsia" w:ascii="黑体" w:eastAsia="黑体" w:cs="宋体"/>
                <w:b/>
                <w:bCs/>
                <w:szCs w:val="21"/>
              </w:rPr>
            </w:pPr>
            <w:r>
              <w:rPr>
                <w:rFonts w:hint="eastAsia" w:ascii="黑体" w:eastAsia="黑体" w:cs="宋体"/>
                <w:b/>
                <w:bCs/>
                <w:szCs w:val="21"/>
              </w:rPr>
              <w:t>职称</w:t>
            </w:r>
          </w:p>
        </w:tc>
        <w:tc>
          <w:tcPr>
            <w:tcW w:w="1540" w:type="dxa"/>
            <w:noWrap w:val="0"/>
            <w:vAlign w:val="center"/>
          </w:tcPr>
          <w:p w14:paraId="55DE173E">
            <w:pPr>
              <w:spacing w:line="440" w:lineRule="exact"/>
              <w:jc w:val="center"/>
              <w:rPr>
                <w:rFonts w:hint="eastAsia" w:ascii="黑体" w:eastAsia="黑体" w:cs="宋体"/>
                <w:b/>
                <w:bCs/>
                <w:szCs w:val="21"/>
              </w:rPr>
            </w:pPr>
            <w:r>
              <w:rPr>
                <w:rFonts w:hint="eastAsia" w:ascii="黑体" w:eastAsia="黑体" w:cs="宋体"/>
                <w:b/>
                <w:bCs/>
                <w:szCs w:val="21"/>
              </w:rPr>
              <w:t>拟任职务</w:t>
            </w:r>
          </w:p>
        </w:tc>
        <w:tc>
          <w:tcPr>
            <w:tcW w:w="1735" w:type="dxa"/>
            <w:noWrap w:val="0"/>
            <w:vAlign w:val="center"/>
          </w:tcPr>
          <w:p w14:paraId="1AF310E2">
            <w:pPr>
              <w:spacing w:line="440" w:lineRule="exact"/>
              <w:jc w:val="center"/>
              <w:rPr>
                <w:rFonts w:hint="eastAsia" w:ascii="黑体" w:eastAsia="黑体" w:cs="宋体"/>
                <w:b/>
                <w:bCs/>
                <w:szCs w:val="21"/>
              </w:rPr>
            </w:pPr>
            <w:r>
              <w:rPr>
                <w:rFonts w:hint="eastAsia" w:ascii="黑体" w:eastAsia="黑体" w:cs="宋体"/>
                <w:b/>
                <w:bCs/>
                <w:szCs w:val="21"/>
              </w:rPr>
              <w:t>持证名称</w:t>
            </w:r>
          </w:p>
        </w:tc>
        <w:tc>
          <w:tcPr>
            <w:tcW w:w="1890" w:type="dxa"/>
            <w:noWrap w:val="0"/>
            <w:vAlign w:val="center"/>
          </w:tcPr>
          <w:p w14:paraId="2023D2C3">
            <w:pPr>
              <w:spacing w:line="440" w:lineRule="exact"/>
              <w:jc w:val="center"/>
              <w:rPr>
                <w:rFonts w:hint="eastAsia" w:ascii="黑体" w:eastAsia="黑体" w:cs="宋体"/>
                <w:b/>
                <w:bCs/>
                <w:szCs w:val="21"/>
              </w:rPr>
            </w:pPr>
            <w:r>
              <w:rPr>
                <w:rFonts w:hint="eastAsia" w:ascii="黑体" w:eastAsia="黑体" w:cs="宋体"/>
                <w:b/>
                <w:bCs/>
                <w:szCs w:val="21"/>
              </w:rPr>
              <w:t>持证证号</w:t>
            </w:r>
          </w:p>
        </w:tc>
      </w:tr>
      <w:tr w14:paraId="7E18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366" w:type="dxa"/>
            <w:noWrap w:val="0"/>
            <w:vAlign w:val="center"/>
          </w:tcPr>
          <w:p w14:paraId="4152D0BE">
            <w:pPr>
              <w:spacing w:line="440" w:lineRule="exact"/>
              <w:jc w:val="center"/>
              <w:rPr>
                <w:rFonts w:hint="eastAsia" w:ascii="黑体" w:eastAsia="黑体" w:cs="宋体"/>
                <w:szCs w:val="21"/>
              </w:rPr>
            </w:pPr>
          </w:p>
        </w:tc>
        <w:tc>
          <w:tcPr>
            <w:tcW w:w="1166" w:type="dxa"/>
            <w:noWrap w:val="0"/>
            <w:vAlign w:val="center"/>
          </w:tcPr>
          <w:p w14:paraId="23389372">
            <w:pPr>
              <w:spacing w:line="440" w:lineRule="exact"/>
              <w:jc w:val="center"/>
              <w:rPr>
                <w:rFonts w:hint="eastAsia" w:ascii="黑体" w:eastAsia="黑体" w:cs="宋体"/>
                <w:szCs w:val="21"/>
              </w:rPr>
            </w:pPr>
          </w:p>
        </w:tc>
        <w:tc>
          <w:tcPr>
            <w:tcW w:w="788" w:type="dxa"/>
            <w:noWrap w:val="0"/>
            <w:vAlign w:val="center"/>
          </w:tcPr>
          <w:p w14:paraId="3348DECC">
            <w:pPr>
              <w:spacing w:line="440" w:lineRule="exact"/>
              <w:jc w:val="center"/>
              <w:rPr>
                <w:rFonts w:hint="eastAsia" w:ascii="黑体" w:eastAsia="黑体" w:cs="宋体"/>
                <w:szCs w:val="21"/>
              </w:rPr>
            </w:pPr>
          </w:p>
        </w:tc>
        <w:tc>
          <w:tcPr>
            <w:tcW w:w="1395" w:type="dxa"/>
            <w:noWrap w:val="0"/>
            <w:vAlign w:val="center"/>
          </w:tcPr>
          <w:p w14:paraId="78CFC38D">
            <w:pPr>
              <w:spacing w:line="440" w:lineRule="exact"/>
              <w:jc w:val="center"/>
              <w:rPr>
                <w:rFonts w:hint="eastAsia" w:ascii="黑体" w:eastAsia="黑体" w:cs="宋体"/>
                <w:szCs w:val="21"/>
              </w:rPr>
            </w:pPr>
          </w:p>
        </w:tc>
        <w:tc>
          <w:tcPr>
            <w:tcW w:w="1540" w:type="dxa"/>
            <w:noWrap w:val="0"/>
            <w:vAlign w:val="center"/>
          </w:tcPr>
          <w:p w14:paraId="18D76193">
            <w:pPr>
              <w:spacing w:line="440" w:lineRule="exact"/>
              <w:jc w:val="center"/>
              <w:rPr>
                <w:rFonts w:hint="eastAsia" w:ascii="黑体" w:eastAsia="黑体" w:cs="宋体"/>
                <w:szCs w:val="21"/>
              </w:rPr>
            </w:pPr>
          </w:p>
        </w:tc>
        <w:tc>
          <w:tcPr>
            <w:tcW w:w="1735" w:type="dxa"/>
            <w:noWrap w:val="0"/>
            <w:vAlign w:val="center"/>
          </w:tcPr>
          <w:p w14:paraId="0EEDE3D9">
            <w:pPr>
              <w:spacing w:line="440" w:lineRule="exact"/>
              <w:jc w:val="center"/>
              <w:rPr>
                <w:rFonts w:hint="eastAsia" w:ascii="黑体" w:eastAsia="黑体" w:cs="宋体"/>
                <w:szCs w:val="21"/>
              </w:rPr>
            </w:pPr>
          </w:p>
        </w:tc>
        <w:tc>
          <w:tcPr>
            <w:tcW w:w="1890" w:type="dxa"/>
            <w:noWrap w:val="0"/>
            <w:vAlign w:val="center"/>
          </w:tcPr>
          <w:p w14:paraId="653E22DF">
            <w:pPr>
              <w:spacing w:line="440" w:lineRule="exact"/>
              <w:jc w:val="center"/>
              <w:rPr>
                <w:rFonts w:hint="eastAsia" w:ascii="黑体" w:eastAsia="黑体" w:cs="宋体"/>
                <w:szCs w:val="21"/>
              </w:rPr>
            </w:pPr>
          </w:p>
        </w:tc>
      </w:tr>
      <w:tr w14:paraId="1E73E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366" w:type="dxa"/>
            <w:noWrap w:val="0"/>
            <w:vAlign w:val="center"/>
          </w:tcPr>
          <w:p w14:paraId="7BEB2537">
            <w:pPr>
              <w:spacing w:line="440" w:lineRule="exact"/>
              <w:jc w:val="center"/>
              <w:rPr>
                <w:rFonts w:hint="eastAsia" w:ascii="黑体" w:eastAsia="黑体" w:cs="宋体"/>
                <w:szCs w:val="21"/>
              </w:rPr>
            </w:pPr>
          </w:p>
        </w:tc>
        <w:tc>
          <w:tcPr>
            <w:tcW w:w="1166" w:type="dxa"/>
            <w:noWrap w:val="0"/>
            <w:vAlign w:val="center"/>
          </w:tcPr>
          <w:p w14:paraId="29B7F4D1">
            <w:pPr>
              <w:spacing w:line="440" w:lineRule="exact"/>
              <w:jc w:val="center"/>
              <w:rPr>
                <w:rFonts w:hint="eastAsia" w:ascii="黑体" w:eastAsia="黑体" w:cs="宋体"/>
                <w:szCs w:val="21"/>
              </w:rPr>
            </w:pPr>
          </w:p>
        </w:tc>
        <w:tc>
          <w:tcPr>
            <w:tcW w:w="788" w:type="dxa"/>
            <w:noWrap w:val="0"/>
            <w:vAlign w:val="center"/>
          </w:tcPr>
          <w:p w14:paraId="2AC0ABE5">
            <w:pPr>
              <w:spacing w:line="440" w:lineRule="exact"/>
              <w:jc w:val="center"/>
              <w:rPr>
                <w:rFonts w:hint="eastAsia" w:ascii="黑体" w:eastAsia="黑体" w:cs="宋体"/>
                <w:szCs w:val="21"/>
              </w:rPr>
            </w:pPr>
          </w:p>
        </w:tc>
        <w:tc>
          <w:tcPr>
            <w:tcW w:w="1395" w:type="dxa"/>
            <w:noWrap w:val="0"/>
            <w:vAlign w:val="center"/>
          </w:tcPr>
          <w:p w14:paraId="119EFA9B">
            <w:pPr>
              <w:spacing w:line="440" w:lineRule="exact"/>
              <w:jc w:val="center"/>
              <w:rPr>
                <w:rFonts w:hint="eastAsia" w:ascii="黑体" w:eastAsia="黑体" w:cs="宋体"/>
                <w:szCs w:val="21"/>
              </w:rPr>
            </w:pPr>
          </w:p>
        </w:tc>
        <w:tc>
          <w:tcPr>
            <w:tcW w:w="1540" w:type="dxa"/>
            <w:noWrap w:val="0"/>
            <w:vAlign w:val="center"/>
          </w:tcPr>
          <w:p w14:paraId="7132E7D9">
            <w:pPr>
              <w:spacing w:line="440" w:lineRule="exact"/>
              <w:jc w:val="center"/>
              <w:rPr>
                <w:rFonts w:hint="eastAsia" w:ascii="黑体" w:eastAsia="黑体" w:cs="宋体"/>
                <w:szCs w:val="21"/>
              </w:rPr>
            </w:pPr>
          </w:p>
        </w:tc>
        <w:tc>
          <w:tcPr>
            <w:tcW w:w="1735" w:type="dxa"/>
            <w:noWrap w:val="0"/>
            <w:vAlign w:val="center"/>
          </w:tcPr>
          <w:p w14:paraId="78A1FE11">
            <w:pPr>
              <w:spacing w:line="440" w:lineRule="exact"/>
              <w:jc w:val="center"/>
              <w:rPr>
                <w:rFonts w:hint="eastAsia" w:ascii="黑体" w:eastAsia="黑体" w:cs="宋体"/>
                <w:szCs w:val="21"/>
              </w:rPr>
            </w:pPr>
          </w:p>
        </w:tc>
        <w:tc>
          <w:tcPr>
            <w:tcW w:w="1890" w:type="dxa"/>
            <w:noWrap w:val="0"/>
            <w:vAlign w:val="center"/>
          </w:tcPr>
          <w:p w14:paraId="5095DE16">
            <w:pPr>
              <w:spacing w:line="440" w:lineRule="exact"/>
              <w:jc w:val="center"/>
              <w:rPr>
                <w:rFonts w:hint="eastAsia" w:ascii="黑体" w:eastAsia="黑体" w:cs="宋体"/>
                <w:szCs w:val="21"/>
              </w:rPr>
            </w:pPr>
          </w:p>
        </w:tc>
      </w:tr>
      <w:tr w14:paraId="6D9A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366" w:type="dxa"/>
            <w:noWrap w:val="0"/>
            <w:vAlign w:val="center"/>
          </w:tcPr>
          <w:p w14:paraId="28A20027">
            <w:pPr>
              <w:spacing w:line="440" w:lineRule="exact"/>
              <w:jc w:val="center"/>
              <w:rPr>
                <w:rFonts w:hint="eastAsia" w:ascii="黑体" w:eastAsia="黑体" w:cs="宋体"/>
                <w:szCs w:val="21"/>
              </w:rPr>
            </w:pPr>
          </w:p>
        </w:tc>
        <w:tc>
          <w:tcPr>
            <w:tcW w:w="1166" w:type="dxa"/>
            <w:noWrap w:val="0"/>
            <w:vAlign w:val="center"/>
          </w:tcPr>
          <w:p w14:paraId="2040F48D">
            <w:pPr>
              <w:spacing w:line="440" w:lineRule="exact"/>
              <w:jc w:val="center"/>
              <w:rPr>
                <w:rFonts w:hint="eastAsia" w:ascii="黑体" w:eastAsia="黑体" w:cs="宋体"/>
                <w:szCs w:val="21"/>
              </w:rPr>
            </w:pPr>
          </w:p>
        </w:tc>
        <w:tc>
          <w:tcPr>
            <w:tcW w:w="788" w:type="dxa"/>
            <w:noWrap w:val="0"/>
            <w:vAlign w:val="center"/>
          </w:tcPr>
          <w:p w14:paraId="387A9B0F">
            <w:pPr>
              <w:spacing w:line="440" w:lineRule="exact"/>
              <w:jc w:val="center"/>
              <w:rPr>
                <w:rFonts w:hint="eastAsia" w:ascii="黑体" w:eastAsia="黑体" w:cs="宋体"/>
                <w:szCs w:val="21"/>
              </w:rPr>
            </w:pPr>
          </w:p>
        </w:tc>
        <w:tc>
          <w:tcPr>
            <w:tcW w:w="1395" w:type="dxa"/>
            <w:noWrap w:val="0"/>
            <w:vAlign w:val="center"/>
          </w:tcPr>
          <w:p w14:paraId="2128EA08">
            <w:pPr>
              <w:spacing w:line="440" w:lineRule="exact"/>
              <w:jc w:val="center"/>
              <w:rPr>
                <w:rFonts w:hint="eastAsia" w:ascii="黑体" w:eastAsia="黑体" w:cs="宋体"/>
                <w:szCs w:val="21"/>
              </w:rPr>
            </w:pPr>
          </w:p>
        </w:tc>
        <w:tc>
          <w:tcPr>
            <w:tcW w:w="1540" w:type="dxa"/>
            <w:noWrap w:val="0"/>
            <w:vAlign w:val="center"/>
          </w:tcPr>
          <w:p w14:paraId="51979DAE">
            <w:pPr>
              <w:spacing w:line="440" w:lineRule="exact"/>
              <w:jc w:val="center"/>
              <w:rPr>
                <w:rFonts w:hint="eastAsia" w:ascii="黑体" w:eastAsia="黑体" w:cs="宋体"/>
                <w:szCs w:val="21"/>
              </w:rPr>
            </w:pPr>
          </w:p>
        </w:tc>
        <w:tc>
          <w:tcPr>
            <w:tcW w:w="1735" w:type="dxa"/>
            <w:noWrap w:val="0"/>
            <w:vAlign w:val="center"/>
          </w:tcPr>
          <w:p w14:paraId="68294DCB">
            <w:pPr>
              <w:spacing w:line="440" w:lineRule="exact"/>
              <w:jc w:val="center"/>
              <w:rPr>
                <w:rFonts w:hint="eastAsia" w:ascii="黑体" w:eastAsia="黑体" w:cs="宋体"/>
                <w:szCs w:val="21"/>
              </w:rPr>
            </w:pPr>
          </w:p>
        </w:tc>
        <w:tc>
          <w:tcPr>
            <w:tcW w:w="1890" w:type="dxa"/>
            <w:noWrap w:val="0"/>
            <w:vAlign w:val="center"/>
          </w:tcPr>
          <w:p w14:paraId="2BEF2EB7">
            <w:pPr>
              <w:spacing w:line="440" w:lineRule="exact"/>
              <w:jc w:val="center"/>
              <w:rPr>
                <w:rFonts w:hint="eastAsia" w:ascii="黑体" w:eastAsia="黑体" w:cs="宋体"/>
                <w:szCs w:val="21"/>
              </w:rPr>
            </w:pPr>
          </w:p>
        </w:tc>
      </w:tr>
    </w:tbl>
    <w:p w14:paraId="58F7A523">
      <w:pPr>
        <w:spacing w:line="430" w:lineRule="exact"/>
        <w:ind w:firstLine="420" w:firstLineChars="200"/>
        <w:rPr>
          <w:rFonts w:hint="eastAsia" w:ascii="宋体" w:cs="宋体"/>
          <w:szCs w:val="21"/>
          <w:highlight w:val="none"/>
        </w:rPr>
      </w:pPr>
      <w:r>
        <w:rPr>
          <w:rFonts w:hint="eastAsia" w:ascii="宋体" w:cs="宋体"/>
          <w:szCs w:val="21"/>
          <w:highlight w:val="none"/>
          <w:lang w:val="en-US" w:eastAsia="zh-CN"/>
        </w:rPr>
        <w:t>3</w:t>
      </w:r>
      <w:r>
        <w:rPr>
          <w:rFonts w:hint="eastAsia" w:ascii="宋体" w:cs="宋体"/>
          <w:szCs w:val="21"/>
          <w:highlight w:val="none"/>
        </w:rPr>
        <w:t>、前期手续办理：</w:t>
      </w:r>
      <w:r>
        <w:rPr>
          <w:rFonts w:hint="eastAsia" w:ascii="宋体" w:hAnsi="宋体" w:cs="宋体"/>
          <w:szCs w:val="21"/>
          <w:highlight w:val="none"/>
        </w:rPr>
        <w:t>合同签订后90日内配合发包人完成质量、安全报监和施工许可证办理，否则，每延期一天处罚承包人500元/天的违约金（因发包人原因除外）。</w:t>
      </w:r>
    </w:p>
    <w:p w14:paraId="64568000">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lang w:val="en-US" w:eastAsia="zh-CN"/>
        </w:rPr>
        <w:t>4</w:t>
      </w:r>
      <w:r>
        <w:rPr>
          <w:rFonts w:hint="eastAsia" w:ascii="宋体" w:cs="宋体"/>
          <w:szCs w:val="21"/>
          <w:highlight w:val="none"/>
        </w:rPr>
        <w:t>、监理人员费用考核：中标监理费总价最终结合投标人员到位数量来结算。即：投标总价/服务期（月）/投标人数=每个投标人员每月应得的费用，经现场考勤，少投入1人扣除1人应得费用（以委托人签字认可的考勤表为准）。中标后，如实际到岗人数不满足招标文件要求的，将按上述标准从监理费用中予以扣除。（各专业监理可结合项目的实施阶段经委托人签字认可后分期到岗）</w:t>
      </w:r>
    </w:p>
    <w:p w14:paraId="1B712F43">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、监理考核考勤：</w:t>
      </w:r>
    </w:p>
    <w:p w14:paraId="680DC625">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rPr>
        <w:t>（1）人员考核：工程开工进场后，监理单位必须按招标文件要求和投标承诺配备项目总监、专业监理工程师、监理员等监理部关键岗位人员以监理单位任命文为准。未经发包人同意，不得更换上述人员。发包人将组织对上述人员进行业务能力考核，对未按投标文件配备或经考核不合格要求更换人员的，（从第一次监理例会进行计算时间）监理单位累计7日内必须整改调整到位。否则，对于总监，按照2000元/人·天处以违约金，专业监理工程师、监理员按照1000元/人·天处以违约金。累计28日内未整改调整到位的，发包人有权终止合同，并提请相关行政主管部门对企业和人员进行“黑名单”处罚。</w:t>
      </w:r>
    </w:p>
    <w:p w14:paraId="4E1F6BEC">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rPr>
        <w:t>（2）在第一次监理例会，监理单位针对投标承诺配备项目总监，监理单位为本项目配备的专业监理工程师、监理员等监理部关键岗位人员必须全部到场参加，否则发包人有权终止合同，并提请相关行政主管部门对企业和人员进行“黑名单”处罚。</w:t>
      </w:r>
    </w:p>
    <w:p w14:paraId="2FCA7C3E">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rPr>
        <w:t>（3）在图纸交底会议，监理单位针对投标承诺配备项目总监，监理单位为本项目配备的专业监理工程师、监理员等监理部关键岗位人员必须全部到场参加，否则发包人有权终止合同，并提请相关行政主管部门对企业和人员进行“黑名单”处罚。</w:t>
      </w:r>
    </w:p>
    <w:p w14:paraId="3B2E2287">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rPr>
        <w:t>（4）人员考勤：①监理部所有管理人员上下班实行人脸识别电子考勤，人脸识别电子考勤系统设备必须与招标人现行使用的监管平台无缝对接。②监管平台设备及人脸识别电子考勤系统设备，监理人可以租赁或购买，但租赁或购买费用由监理人在投标报价时自行考虑，含在投标报价中，招标人将不再支付任何费用。③监管平台考勤范围为本项目监理部和项目部所有管理人员，监管平台信息及数据录入（包括质量、进度、安全、施工许可办理等）均由监理单位负责。</w:t>
      </w:r>
    </w:p>
    <w:p w14:paraId="260152D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cs="宋体"/>
          <w:szCs w:val="21"/>
          <w:highlight w:val="none"/>
        </w:rPr>
      </w:pPr>
      <w:r>
        <w:rPr>
          <w:rFonts w:hint="eastAsia" w:ascii="宋体" w:cs="宋体"/>
          <w:szCs w:val="21"/>
          <w:highlight w:val="none"/>
        </w:rPr>
        <w:t>根据施工实际需要安排，按照经批准的人员进场计划进行考勤。总监每月在岗时间不得少于20天，专业监理工程师、监理员每月均在岗。未按规定在岗履责的，对总监处以1000元/人·天的违约金，对专业监理工程师、监理员处以1000元/人·天的违约金。监理部关键岗位人员离岗必须向发包人代表履行请假手续，若被相关部门日常检查和随机抽查中发现不在岗的，又未履行请假手续的，处以5000元/人·次的违约金。</w:t>
      </w:r>
    </w:p>
    <w:p w14:paraId="7437FC9E">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default"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en-US" w:eastAsia="zh-CN"/>
        </w:rPr>
        <w:t>、日常履责管理</w:t>
      </w:r>
    </w:p>
    <w:p w14:paraId="4C462043">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一、工作纪律</w:t>
      </w:r>
    </w:p>
    <w:p w14:paraId="4645EEFB">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工程项目开工后</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应按时向建设单位提供监理规划、监理细则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总监应常驻工程现场，根据施工内容可按投标承诺安排人员进退场，进退场人员报项目组备案纳入考勤。工作期间</w:t>
      </w:r>
      <w:r>
        <w:rPr>
          <w:rFonts w:hint="eastAsia" w:ascii="宋体" w:hAnsi="宋体" w:eastAsia="宋体" w:cs="宋体"/>
          <w:color w:val="auto"/>
          <w:sz w:val="21"/>
          <w:szCs w:val="21"/>
          <w:highlight w:val="none"/>
          <w:lang w:eastAsia="zh-CN"/>
        </w:rPr>
        <w:t>上下班应与施工单位同步，</w:t>
      </w:r>
      <w:r>
        <w:rPr>
          <w:rFonts w:hint="eastAsia" w:ascii="宋体" w:hAnsi="宋体" w:eastAsia="宋体" w:cs="宋体"/>
          <w:color w:val="auto"/>
          <w:sz w:val="21"/>
          <w:szCs w:val="21"/>
          <w:highlight w:val="none"/>
        </w:rPr>
        <w:t>不得无故离岗、迟到、早退、酗酒，检查中如有发现给予1000元/次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，工作期间酗酒的予以清退。</w:t>
      </w:r>
    </w:p>
    <w:p w14:paraId="0E33A1B8">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应认真审核施工图，在施工图纸交底、会审时，提出图纸中各专业存在的错、漏、碰、缺等，并提出优化意见，及时协调图纸变更手续，不及时办理</w:t>
      </w:r>
      <w:r>
        <w:rPr>
          <w:rFonts w:hint="eastAsia" w:ascii="宋体" w:hAnsi="宋体" w:eastAsia="宋体" w:cs="宋体"/>
          <w:color w:val="auto"/>
          <w:sz w:val="21"/>
          <w:szCs w:val="21"/>
          <w:highlight w:val="none"/>
          <w:lang w:eastAsia="zh-CN"/>
        </w:rPr>
        <w:t>给予</w:t>
      </w:r>
      <w:r>
        <w:rPr>
          <w:rFonts w:hint="eastAsia" w:ascii="宋体" w:hAnsi="宋体" w:eastAsia="宋体" w:cs="宋体"/>
          <w:color w:val="auto"/>
          <w:sz w:val="21"/>
          <w:szCs w:val="21"/>
          <w:highlight w:val="none"/>
        </w:rPr>
        <w:t>2000元/次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w:t>
      </w:r>
    </w:p>
    <w:p w14:paraId="1347DAE0">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.现场配备必要的检测设备和仪器，</w:t>
      </w:r>
      <w:r>
        <w:rPr>
          <w:rFonts w:hint="eastAsia" w:ascii="宋体" w:hAnsi="宋体" w:eastAsia="宋体" w:cs="宋体"/>
          <w:color w:val="auto"/>
          <w:sz w:val="21"/>
          <w:szCs w:val="21"/>
          <w:highlight w:val="none"/>
        </w:rPr>
        <w:t>按职责做好见证取样、抽检工作；</w:t>
      </w:r>
      <w:r>
        <w:rPr>
          <w:rFonts w:hint="eastAsia" w:ascii="宋体" w:hAnsi="宋体" w:eastAsia="宋体" w:cs="宋体"/>
          <w:color w:val="auto"/>
          <w:sz w:val="21"/>
          <w:szCs w:val="21"/>
          <w:highlight w:val="none"/>
          <w:lang w:eastAsia="zh-CN"/>
        </w:rPr>
        <w:t>无设备和仪器</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2000元，未做好见证取样或抽检处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500元/次。</w:t>
      </w:r>
    </w:p>
    <w:p w14:paraId="32C7AA84">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审查第三方检测方案</w:t>
      </w:r>
      <w:r>
        <w:rPr>
          <w:rFonts w:hint="eastAsia" w:ascii="宋体" w:hAnsi="宋体" w:eastAsia="宋体" w:cs="宋体"/>
          <w:color w:val="auto"/>
          <w:sz w:val="21"/>
          <w:szCs w:val="21"/>
          <w:highlight w:val="none"/>
          <w:lang w:eastAsia="zh-CN"/>
        </w:rPr>
        <w:t>并</w:t>
      </w:r>
      <w:r>
        <w:rPr>
          <w:rFonts w:hint="eastAsia" w:ascii="宋体" w:hAnsi="宋体" w:eastAsia="宋体" w:cs="宋体"/>
          <w:color w:val="auto"/>
          <w:sz w:val="21"/>
          <w:szCs w:val="21"/>
          <w:highlight w:val="none"/>
        </w:rPr>
        <w:t>负责第三方检测过程中的协调</w:t>
      </w:r>
      <w:r>
        <w:rPr>
          <w:rFonts w:hint="eastAsia" w:ascii="宋体" w:hAnsi="宋体" w:eastAsia="宋体" w:cs="宋体"/>
          <w:color w:val="auto"/>
          <w:sz w:val="21"/>
          <w:szCs w:val="21"/>
          <w:highlight w:val="none"/>
          <w:lang w:eastAsia="zh-CN"/>
        </w:rPr>
        <w:t>和</w:t>
      </w:r>
      <w:r>
        <w:rPr>
          <w:rFonts w:hint="eastAsia" w:ascii="宋体" w:hAnsi="宋体" w:eastAsia="宋体" w:cs="宋体"/>
          <w:color w:val="auto"/>
          <w:sz w:val="21"/>
          <w:szCs w:val="21"/>
          <w:highlight w:val="none"/>
        </w:rPr>
        <w:t>报告运用</w:t>
      </w:r>
      <w:r>
        <w:rPr>
          <w:rFonts w:hint="eastAsia" w:ascii="宋体" w:hAnsi="宋体" w:eastAsia="宋体" w:cs="宋体"/>
          <w:color w:val="auto"/>
          <w:sz w:val="21"/>
          <w:szCs w:val="21"/>
          <w:highlight w:val="none"/>
          <w:lang w:eastAsia="zh-CN"/>
        </w:rPr>
        <w:t>，不审查或协调不力的</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500元/次。</w:t>
      </w:r>
    </w:p>
    <w:p w14:paraId="5DDF5F4A">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定期召开监理例会，认真书写监理例会纪要并于监理例会后的24小时内下发例会纪要，不及时传发以上资料的一次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300元。监理日志填写内容齐全、真实、清晰、可追溯；监理月报应包括监理管理执行情况说明，质量、进度、安全控制情况评析等内容详实。每月3日前报上月监理月报至建设单位项目组审阅</w:t>
      </w:r>
      <w:r>
        <w:rPr>
          <w:rFonts w:hint="eastAsia" w:ascii="宋体" w:hAnsi="宋体" w:eastAsia="宋体" w:cs="宋体"/>
          <w:color w:val="auto"/>
          <w:sz w:val="21"/>
          <w:szCs w:val="21"/>
          <w:highlight w:val="none"/>
          <w:lang w:eastAsia="zh-CN"/>
        </w:rPr>
        <w:t>，日志、月报内容不详实或超期</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500元/次。</w:t>
      </w:r>
    </w:p>
    <w:p w14:paraId="6F73ACB8">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应公正开展监理工作，不得故意刁难施工单位，现场验收不得拖延，工程资料应及时签认，一经发现违反规定，</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00元</w:t>
      </w:r>
      <w:r>
        <w:rPr>
          <w:rFonts w:hint="eastAsia" w:ascii="宋体" w:hAnsi="宋体" w:eastAsia="宋体" w:cs="宋体"/>
          <w:color w:val="auto"/>
          <w:sz w:val="21"/>
          <w:szCs w:val="21"/>
          <w:highlight w:val="none"/>
          <w:lang w:val="en-US" w:eastAsia="zh-CN"/>
        </w:rPr>
        <w:t>/次</w:t>
      </w:r>
      <w:r>
        <w:rPr>
          <w:rFonts w:hint="eastAsia" w:ascii="宋体" w:hAnsi="宋体" w:eastAsia="宋体" w:cs="宋体"/>
          <w:color w:val="auto"/>
          <w:sz w:val="21"/>
          <w:szCs w:val="21"/>
          <w:highlight w:val="none"/>
        </w:rPr>
        <w:t>。</w:t>
      </w:r>
    </w:p>
    <w:p w14:paraId="3D6D02FD">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不得向施工单位推销材料、介绍队伍、索取钱物、报销费用，不得接受施工单位、供货商的吃请或接受回扣</w:t>
      </w:r>
      <w:r>
        <w:rPr>
          <w:rFonts w:hint="eastAsia" w:ascii="宋体" w:hAnsi="宋体" w:eastAsia="宋体" w:cs="宋体"/>
          <w:color w:val="auto"/>
          <w:sz w:val="21"/>
          <w:szCs w:val="21"/>
          <w:highlight w:val="none"/>
          <w:lang w:eastAsia="zh-CN"/>
        </w:rPr>
        <w:t>，一经发现</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3000元，并记入“黑名单”。</w:t>
      </w:r>
    </w:p>
    <w:p w14:paraId="3B8DC444">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监理人员在服务期内如果有重大失职，造成经济损失的</w:t>
      </w:r>
      <w:r>
        <w:rPr>
          <w:rFonts w:hint="eastAsia" w:ascii="宋体" w:hAnsi="宋体" w:eastAsia="宋体" w:cs="宋体"/>
          <w:color w:val="auto"/>
          <w:sz w:val="21"/>
          <w:szCs w:val="21"/>
          <w:highlight w:val="none"/>
          <w:lang w:eastAsia="zh-CN"/>
        </w:rPr>
        <w:t>监理公司</w:t>
      </w:r>
      <w:r>
        <w:rPr>
          <w:rFonts w:hint="eastAsia" w:ascii="宋体" w:hAnsi="宋体" w:eastAsia="宋体" w:cs="宋体"/>
          <w:color w:val="auto"/>
          <w:sz w:val="21"/>
          <w:szCs w:val="21"/>
          <w:highlight w:val="none"/>
        </w:rPr>
        <w:t>应予以赔偿损失。不准泄露与工程有关的技术和机密，对建设单位造成损失的按照合同有关规定执行</w:t>
      </w:r>
      <w:r>
        <w:rPr>
          <w:rFonts w:hint="eastAsia" w:ascii="宋体" w:hAnsi="宋体" w:eastAsia="宋体" w:cs="宋体"/>
          <w:color w:val="auto"/>
          <w:sz w:val="21"/>
          <w:szCs w:val="21"/>
          <w:highlight w:val="none"/>
          <w:lang w:eastAsia="zh-CN"/>
        </w:rPr>
        <w:t>，并记入黑名单。</w:t>
      </w:r>
    </w:p>
    <w:p w14:paraId="1E4BF093">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二</w:t>
      </w:r>
      <w:r>
        <w:rPr>
          <w:rFonts w:hint="eastAsia" w:ascii="宋体" w:hAnsi="宋体" w:eastAsia="宋体" w:cs="宋体"/>
          <w:color w:val="auto"/>
          <w:sz w:val="21"/>
          <w:szCs w:val="21"/>
          <w:highlight w:val="none"/>
        </w:rPr>
        <w:t>、质量控制</w:t>
      </w:r>
    </w:p>
    <w:p w14:paraId="485E4A59">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审核各专业施工方案，使之符合规范及标准强制性条文的规定，并监督施工单位按批准的方案施工，发现问题应及时解决。</w:t>
      </w:r>
      <w:r>
        <w:rPr>
          <w:rFonts w:hint="eastAsia" w:ascii="宋体" w:hAnsi="宋体" w:eastAsia="宋体" w:cs="宋体"/>
          <w:color w:val="auto"/>
          <w:sz w:val="21"/>
          <w:szCs w:val="21"/>
          <w:highlight w:val="none"/>
          <w:lang w:eastAsia="zh-CN"/>
        </w:rPr>
        <w:t>发现审核后的施工方案有</w:t>
      </w:r>
      <w:r>
        <w:rPr>
          <w:rFonts w:hint="eastAsia" w:ascii="宋体" w:hAnsi="宋体" w:eastAsia="宋体" w:cs="宋体"/>
          <w:color w:val="auto"/>
          <w:sz w:val="21"/>
          <w:szCs w:val="21"/>
          <w:highlight w:val="none"/>
        </w:rPr>
        <w:t>严重审查错误而不及时处理的，一次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1000元。</w:t>
      </w:r>
    </w:p>
    <w:p w14:paraId="3A836A78">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基础放线及挖槽时监理部应按规划红线及甲方提供的坐标基准点、标高进行复核验线并做详细记录，发现偏差应及时纠正。如在竣工验收时发现放线偏差；上部结构轴线偏差在允许范围之外，造成损失的，对监理公司处以监理总费用</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0%的罚款</w:t>
      </w:r>
      <w:r>
        <w:rPr>
          <w:rFonts w:hint="eastAsia" w:ascii="宋体" w:hAnsi="宋体" w:eastAsia="宋体" w:cs="宋体"/>
          <w:color w:val="auto"/>
          <w:sz w:val="21"/>
          <w:szCs w:val="21"/>
          <w:highlight w:val="none"/>
          <w:lang w:eastAsia="zh-CN"/>
        </w:rPr>
        <w:t>，并记入“黑名单”。</w:t>
      </w:r>
    </w:p>
    <w:p w14:paraId="5A06C587">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材料进场验收手续齐全，质量证明资料与实物核验符合设计及规范要求。由于发现不及时或发现未经批准的材料使用，监理不采取措施制止的，一次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1000元。</w:t>
      </w:r>
    </w:p>
    <w:p w14:paraId="4F0A225D">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对现场存在的质量问题、安全隐患应及时发现并及时发出整改通知单。施工中存在质量问题，能够及时发现并进行处理的，及时安排处理并复查，质量问题不得隐瞒并私自处理；否则发现一次</w:t>
      </w:r>
      <w:r>
        <w:rPr>
          <w:rFonts w:hint="eastAsia" w:ascii="宋体" w:hAnsi="宋体" w:eastAsia="宋体" w:cs="宋体"/>
          <w:color w:val="auto"/>
          <w:sz w:val="21"/>
          <w:szCs w:val="21"/>
          <w:highlight w:val="none"/>
          <w:lang w:val="en-US" w:eastAsia="zh-CN"/>
        </w:rPr>
        <w:t>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3000元。经验收合格的工程，</w:t>
      </w:r>
      <w:r>
        <w:rPr>
          <w:rFonts w:hint="eastAsia" w:ascii="宋体" w:hAnsi="宋体" w:eastAsia="宋体" w:cs="宋体"/>
          <w:color w:val="auto"/>
          <w:sz w:val="21"/>
          <w:szCs w:val="21"/>
          <w:highlight w:val="none"/>
          <w:lang w:eastAsia="zh-CN"/>
        </w:rPr>
        <w:t>应</w:t>
      </w:r>
      <w:r>
        <w:rPr>
          <w:rFonts w:hint="eastAsia" w:ascii="宋体" w:hAnsi="宋体" w:eastAsia="宋体" w:cs="宋体"/>
          <w:color w:val="auto"/>
          <w:sz w:val="21"/>
          <w:szCs w:val="21"/>
          <w:highlight w:val="none"/>
        </w:rPr>
        <w:t>不得再有质量问题。</w:t>
      </w:r>
    </w:p>
    <w:p w14:paraId="3D3003B0">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监理单位对各种质量检验报告单、中间交工证书符合要求的及时签认；对施工单位的报验的关键部位或工序要及时进行验收，凡未履行签字验收程序就进行下道施工的发现一次处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rPr>
        <w:t>2000元。</w:t>
      </w:r>
    </w:p>
    <w:p w14:paraId="497BBD94">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6.各级巡查检查中对现场管理混乱、观感质量差的处</w:t>
      </w:r>
      <w:r>
        <w:rPr>
          <w:rFonts w:hint="eastAsia" w:ascii="宋体" w:hAnsi="宋体" w:cs="宋体"/>
          <w:color w:val="auto"/>
          <w:sz w:val="21"/>
          <w:szCs w:val="21"/>
          <w:highlight w:val="none"/>
          <w:lang w:val="en-US" w:eastAsia="zh-CN"/>
        </w:rPr>
        <w:t>以违约金</w:t>
      </w:r>
      <w:r>
        <w:rPr>
          <w:rFonts w:hint="eastAsia" w:ascii="宋体" w:hAnsi="宋体" w:eastAsia="宋体" w:cs="宋体"/>
          <w:color w:val="auto"/>
          <w:sz w:val="21"/>
          <w:szCs w:val="21"/>
          <w:highlight w:val="none"/>
          <w:lang w:val="en-US" w:eastAsia="zh-CN"/>
        </w:rPr>
        <w:t>1000元/次；检查中发现</w:t>
      </w:r>
      <w:r>
        <w:rPr>
          <w:rFonts w:hint="eastAsia" w:ascii="宋体" w:hAnsi="宋体" w:eastAsia="宋体" w:cs="宋体"/>
          <w:color w:val="auto"/>
          <w:sz w:val="21"/>
          <w:szCs w:val="21"/>
          <w:highlight w:val="none"/>
          <w:lang w:eastAsia="zh-CN"/>
        </w:rPr>
        <w:t>未按图纸及《规范》施工，</w:t>
      </w:r>
      <w:r>
        <w:rPr>
          <w:rFonts w:hint="eastAsia" w:ascii="宋体" w:hAnsi="宋体" w:eastAsia="宋体" w:cs="宋体"/>
          <w:color w:val="auto"/>
          <w:sz w:val="21"/>
          <w:szCs w:val="21"/>
          <w:highlight w:val="none"/>
          <w:lang w:val="en-US" w:eastAsia="zh-CN"/>
        </w:rPr>
        <w:t>监理理应发现而未发现，视为监理失误，处</w:t>
      </w:r>
      <w:r>
        <w:rPr>
          <w:rFonts w:hint="eastAsia" w:ascii="宋体" w:hAnsi="宋体" w:cs="宋体"/>
          <w:color w:val="auto"/>
          <w:sz w:val="21"/>
          <w:szCs w:val="21"/>
          <w:highlight w:val="none"/>
          <w:lang w:val="en-US" w:eastAsia="zh-CN"/>
        </w:rPr>
        <w:t>以</w:t>
      </w:r>
      <w:r>
        <w:rPr>
          <w:rFonts w:hint="eastAsia" w:ascii="宋体" w:hAnsi="宋体" w:eastAsia="宋体" w:cs="宋体"/>
          <w:color w:val="auto"/>
          <w:sz w:val="21"/>
          <w:szCs w:val="21"/>
          <w:highlight w:val="none"/>
          <w:lang w:val="en-US" w:eastAsia="zh-CN"/>
        </w:rPr>
        <w:t>违约金1000--10000元/次；上述行为虽被监理人员发现但未采取有效措施，听之任之的，处</w:t>
      </w:r>
      <w:r>
        <w:rPr>
          <w:rFonts w:hint="eastAsia" w:ascii="宋体" w:hAnsi="宋体" w:cs="宋体"/>
          <w:color w:val="auto"/>
          <w:sz w:val="21"/>
          <w:szCs w:val="21"/>
          <w:highlight w:val="none"/>
          <w:lang w:val="en-US" w:eastAsia="zh-CN"/>
        </w:rPr>
        <w:t>以</w:t>
      </w:r>
      <w:r>
        <w:rPr>
          <w:rFonts w:hint="eastAsia" w:ascii="宋体" w:hAnsi="宋体" w:eastAsia="宋体" w:cs="宋体"/>
          <w:color w:val="auto"/>
          <w:sz w:val="21"/>
          <w:szCs w:val="21"/>
          <w:highlight w:val="none"/>
          <w:lang w:val="en-US" w:eastAsia="zh-CN"/>
        </w:rPr>
        <w:t>违约金2000--20000元。情节严重的记入“黑名单”。</w:t>
      </w:r>
    </w:p>
    <w:p w14:paraId="0BD0D16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人员在施工阶段对关键部位和关键工序的施工质量实施全过程跟班旁站，旁站时发现问题要及时予以纠正。当发现施工出现了安全隐患、工程质量出现的缺陷可能引发工程质量事故时，应口头要求暂停施工并采取录相、摄影等手段予以记录，立即向总监理工程师汇报，由总监理工程师签发《暂停施工令》，并将所发现问题及处理过程记入监理日志。建设单位抽查发现旁站不到位，一次处1000元</w:t>
      </w:r>
      <w:r>
        <w:rPr>
          <w:rFonts w:hint="eastAsia" w:ascii="宋体" w:hAnsi="宋体" w:cs="宋体"/>
          <w:color w:val="auto"/>
          <w:sz w:val="21"/>
          <w:szCs w:val="21"/>
          <w:highlight w:val="none"/>
          <w:lang w:val="en-US" w:eastAsia="zh-CN"/>
        </w:rPr>
        <w:t>违约金</w:t>
      </w:r>
      <w:r>
        <w:rPr>
          <w:rFonts w:hint="eastAsia" w:ascii="宋体" w:hAnsi="宋体" w:eastAsia="宋体" w:cs="宋体"/>
          <w:color w:val="auto"/>
          <w:sz w:val="21"/>
          <w:szCs w:val="21"/>
          <w:highlight w:val="none"/>
        </w:rPr>
        <w:t>。</w:t>
      </w:r>
    </w:p>
    <w:p w14:paraId="06D0A32A">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三</w:t>
      </w:r>
      <w:r>
        <w:rPr>
          <w:rFonts w:hint="eastAsia" w:ascii="宋体" w:hAnsi="宋体" w:eastAsia="宋体" w:cs="宋体"/>
          <w:color w:val="auto"/>
          <w:sz w:val="21"/>
          <w:szCs w:val="21"/>
          <w:highlight w:val="none"/>
        </w:rPr>
        <w:t>、进度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投资控制</w:t>
      </w:r>
    </w:p>
    <w:p w14:paraId="1076967B">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监理单位须配合施工进度,根据总进度计划,要求施工单位提出各分部、分项工程的季度、月度的具体计划安排,组织各专业监理工程师审查其可行性并提出意见，如不审查处罚1000元/次。</w:t>
      </w:r>
    </w:p>
    <w:p w14:paraId="1CA611BD">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为了配合施工单位按计划完成施工任务，在施工过程中，监理人员应加强过程检查，对违反施工规范、与图纸不符、有严重错误的问题敢于指出并要求整改，必要时签发监理通知，以减少工序验收时返工。</w:t>
      </w:r>
    </w:p>
    <w:p w14:paraId="266BDFDA">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监理工程师审核施工方提交的已完成工程量月报,对设计变更及工地洽商等造成的工程量增减变化情况进行审查,不符合质量要求不予签认，对</w:t>
      </w:r>
      <w:r>
        <w:rPr>
          <w:rFonts w:hint="eastAsia" w:ascii="宋体" w:hAnsi="宋体" w:eastAsia="宋体" w:cs="宋体"/>
          <w:color w:val="auto"/>
          <w:sz w:val="21"/>
          <w:szCs w:val="21"/>
          <w:highlight w:val="none"/>
          <w:lang w:eastAsia="zh-CN"/>
        </w:rPr>
        <w:t>进度</w:t>
      </w:r>
      <w:r>
        <w:rPr>
          <w:rFonts w:hint="eastAsia" w:ascii="宋体" w:hAnsi="宋体" w:eastAsia="宋体" w:cs="宋体"/>
          <w:color w:val="auto"/>
          <w:sz w:val="21"/>
          <w:szCs w:val="21"/>
          <w:highlight w:val="none"/>
        </w:rPr>
        <w:t>滞后提出原因分析并督促采取补救措施，及时汇报业主方。</w:t>
      </w:r>
    </w:p>
    <w:p w14:paraId="56020E3E">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实行业主、监理、跟审和施工单位四方共同计量方式，严格控制工程量清单数量，做到及时、准确、不漏计、不重计。为保证请款资料的完整性、准确性，采取进度款支付联合会审逐级签认，若监理单位出现漏签、错签、代签的处罚2000元/次。</w:t>
      </w:r>
    </w:p>
    <w:p w14:paraId="7BB1BA55">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四</w:t>
      </w:r>
      <w:r>
        <w:rPr>
          <w:rFonts w:hint="eastAsia" w:ascii="宋体" w:hAnsi="宋体" w:eastAsia="宋体" w:cs="宋体"/>
          <w:color w:val="auto"/>
          <w:sz w:val="21"/>
          <w:szCs w:val="21"/>
          <w:highlight w:val="none"/>
        </w:rPr>
        <w:t>、安全文明生产、扬尘控制</w:t>
      </w:r>
    </w:p>
    <w:p w14:paraId="3F66B71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监理部应定期组织现场安全文明生产检查，对检查发现的问题应及时</w:t>
      </w:r>
      <w:r>
        <w:rPr>
          <w:rFonts w:hint="eastAsia" w:ascii="宋体" w:hAnsi="宋体" w:eastAsia="宋体" w:cs="宋体"/>
          <w:color w:val="auto"/>
          <w:sz w:val="21"/>
          <w:szCs w:val="21"/>
          <w:highlight w:val="none"/>
          <w:lang w:eastAsia="zh-CN"/>
        </w:rPr>
        <w:t>督促</w:t>
      </w:r>
      <w:r>
        <w:rPr>
          <w:rFonts w:hint="eastAsia" w:ascii="宋体" w:hAnsi="宋体" w:eastAsia="宋体" w:cs="宋体"/>
          <w:color w:val="auto"/>
          <w:sz w:val="21"/>
          <w:szCs w:val="21"/>
          <w:highlight w:val="none"/>
        </w:rPr>
        <w:t>施工单位整改，并将整改结果上报建设单位。</w:t>
      </w:r>
    </w:p>
    <w:p w14:paraId="35C7F916">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督促施工单位严格执行大气污染防治措施，做好台账，若出现防治措施不到位，被巡查、检查发现的，按</w:t>
      </w:r>
      <w:r>
        <w:rPr>
          <w:rFonts w:hint="eastAsia" w:ascii="宋体" w:hAnsi="宋体" w:cs="宋体"/>
          <w:color w:val="auto"/>
          <w:sz w:val="21"/>
          <w:szCs w:val="21"/>
          <w:highlight w:val="none"/>
          <w:lang w:val="en-US" w:eastAsia="zh-CN"/>
        </w:rPr>
        <w:t>相关</w:t>
      </w:r>
      <w:r>
        <w:rPr>
          <w:rFonts w:hint="eastAsia" w:ascii="宋体" w:hAnsi="宋体" w:eastAsia="宋体" w:cs="宋体"/>
          <w:color w:val="auto"/>
          <w:sz w:val="21"/>
          <w:szCs w:val="21"/>
          <w:highlight w:val="none"/>
        </w:rPr>
        <w:t>规定处罚。</w:t>
      </w:r>
    </w:p>
    <w:p w14:paraId="0B27FD73">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做好日常安全监护及督促，对发现下述情况，监理单位不按照要求提出整改听之任之的，对监理单位处罚1000元/项。</w:t>
      </w:r>
    </w:p>
    <w:p w14:paraId="2946591F">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（1）工程标牌未设置，或设置位置不醒目，破损未及时修复的。</w:t>
      </w:r>
    </w:p>
    <w:p w14:paraId="569A22C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（2）施工单位未建立安全生产责任制，未落实安全生产的组织保证体系，安全员缺岗或不到位；施工单位安全管理台帐未及时建立</w:t>
      </w:r>
      <w:r>
        <w:rPr>
          <w:rFonts w:hint="eastAsia" w:ascii="宋体" w:hAnsi="宋体" w:eastAsia="宋体" w:cs="宋体"/>
          <w:color w:val="auto"/>
          <w:sz w:val="21"/>
          <w:szCs w:val="21"/>
          <w:highlight w:val="none"/>
          <w:lang w:eastAsia="zh-CN"/>
        </w:rPr>
        <w:t>或不</w:t>
      </w:r>
      <w:r>
        <w:rPr>
          <w:rFonts w:hint="eastAsia" w:ascii="宋体" w:hAnsi="宋体" w:eastAsia="宋体" w:cs="宋体"/>
          <w:color w:val="auto"/>
          <w:sz w:val="21"/>
          <w:szCs w:val="21"/>
          <w:highlight w:val="none"/>
        </w:rPr>
        <w:t>完善，未对施工作业人员进行安全生产教育或分部分项工程</w:t>
      </w:r>
      <w:r>
        <w:rPr>
          <w:rFonts w:hint="eastAsia" w:ascii="宋体" w:hAnsi="宋体" w:eastAsia="宋体" w:cs="宋体"/>
          <w:color w:val="auto"/>
          <w:sz w:val="21"/>
          <w:szCs w:val="21"/>
          <w:highlight w:val="none"/>
          <w:lang w:eastAsia="zh-CN"/>
        </w:rPr>
        <w:t>未进行</w:t>
      </w:r>
      <w:r>
        <w:rPr>
          <w:rFonts w:hint="eastAsia" w:ascii="宋体" w:hAnsi="宋体" w:eastAsia="宋体" w:cs="宋体"/>
          <w:color w:val="auto"/>
          <w:sz w:val="21"/>
          <w:szCs w:val="21"/>
          <w:highlight w:val="none"/>
        </w:rPr>
        <w:t>安全技术交底，施工单位特种作业人员未持证上岗。</w:t>
      </w:r>
    </w:p>
    <w:p w14:paraId="04656FDD">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（3）施工现场消防设施未按要求配置，施工脚手架未按规范搭设、报验不及时及未能满足安全防护要求的，现场安全帽、安全网、安全带等未按要求佩带或配置的。</w:t>
      </w:r>
    </w:p>
    <w:p w14:paraId="6FE8CDA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（4）施工现场扬尘、高空抛物或从高处倾倒物体、随意倾倒垃圾、损坏设施不及时修复的。</w:t>
      </w:r>
    </w:p>
    <w:p w14:paraId="5FDC5CE5">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（5）外墙脚手架未保持整洁、美观，发生破损，钢管、扣件、栏杆颜色标识不清楚，围档及周边道路、工地出入口未保持清洁，绿化、广告、灯箱等发生破损未及时修复的。</w:t>
      </w:r>
    </w:p>
    <w:p w14:paraId="79F04317">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现场出入口、通道口、楼梯口、井道口、预留洞口、临边洞口、基坑边缘等容易发生坠落的地方未设置安全警示标志，临边防护未及时设置，现场塔吊、架桥机、吊车及其他施工机具未按要求配备有效的保险、限位等安全设施和装置或超过质检期违规使用的。</w:t>
      </w:r>
    </w:p>
    <w:p w14:paraId="6104C235">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（7）施工现场成品、半成品及原材料未按规定堆放的。</w:t>
      </w:r>
    </w:p>
    <w:p w14:paraId="3C3A0581">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施工现场用电设备、配电箱、开关箱未采用TN-S接零保护系统，未实行三级配电、两级保护系统，施工电缆随意拖拉，未架空或埋地，接头未保护，绝缘层有破损，现场用电设备漏电保护装置未按要求配置或失灵的。</w:t>
      </w:r>
    </w:p>
    <w:p w14:paraId="1ACC69FC">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（9）发现生活区、职工集体宿舍、食堂违规使用电器，电线私拉乱接及未配设防火设备的。</w:t>
      </w:r>
    </w:p>
    <w:p w14:paraId="378B1202">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五</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其他</w:t>
      </w:r>
    </w:p>
    <w:p w14:paraId="1E3871DE">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单位工程质量未达到施工合同约定质量标准，每出现一项扣减监理费用人民币10000元，依次类推。</w:t>
      </w:r>
    </w:p>
    <w:p w14:paraId="4664E1AE">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因监理服务不及时造成工期延误每天扣减监理费用人民币500元。</w:t>
      </w:r>
    </w:p>
    <w:p w14:paraId="51DFF02F">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因监理责任造成的工程质量返工，</w:t>
      </w:r>
      <w:r>
        <w:rPr>
          <w:rFonts w:hint="eastAsia" w:ascii="宋体" w:hAnsi="宋体" w:eastAsia="宋体" w:cs="宋体"/>
          <w:color w:val="auto"/>
          <w:sz w:val="21"/>
          <w:szCs w:val="21"/>
          <w:highlight w:val="none"/>
          <w:lang w:eastAsia="zh-CN"/>
        </w:rPr>
        <w:t>对监理单位</w:t>
      </w:r>
      <w:r>
        <w:rPr>
          <w:rFonts w:hint="eastAsia" w:ascii="宋体" w:hAnsi="宋体" w:eastAsia="宋体" w:cs="宋体"/>
          <w:color w:val="auto"/>
          <w:sz w:val="21"/>
          <w:szCs w:val="21"/>
          <w:highlight w:val="none"/>
        </w:rPr>
        <w:t>按返工损失</w:t>
      </w:r>
      <w:r>
        <w:rPr>
          <w:rFonts w:hint="eastAsia" w:ascii="宋体" w:hAnsi="宋体" w:eastAsia="宋体" w:cs="宋体"/>
          <w:color w:val="auto"/>
          <w:sz w:val="21"/>
          <w:szCs w:val="21"/>
          <w:highlight w:val="none"/>
          <w:lang w:eastAsia="zh-CN"/>
        </w:rPr>
        <w:t>总额</w:t>
      </w:r>
      <w:r>
        <w:rPr>
          <w:rFonts w:hint="eastAsia" w:ascii="宋体" w:hAnsi="宋体" w:eastAsia="宋体" w:cs="宋体"/>
          <w:color w:val="auto"/>
          <w:sz w:val="21"/>
          <w:szCs w:val="21"/>
          <w:highlight w:val="none"/>
        </w:rPr>
        <w:t>的10%</w:t>
      </w:r>
      <w:r>
        <w:rPr>
          <w:rFonts w:hint="eastAsia" w:ascii="宋体" w:hAnsi="宋体" w:eastAsia="宋体" w:cs="宋体"/>
          <w:color w:val="auto"/>
          <w:sz w:val="21"/>
          <w:szCs w:val="21"/>
          <w:highlight w:val="none"/>
          <w:lang w:eastAsia="zh-CN"/>
        </w:rPr>
        <w:t>给予处罚</w:t>
      </w:r>
      <w:r>
        <w:rPr>
          <w:rFonts w:hint="eastAsia" w:ascii="宋体" w:hAnsi="宋体" w:eastAsia="宋体" w:cs="宋体"/>
          <w:color w:val="auto"/>
          <w:sz w:val="21"/>
          <w:szCs w:val="21"/>
          <w:highlight w:val="none"/>
        </w:rPr>
        <w:t>。</w:t>
      </w:r>
    </w:p>
    <w:p w14:paraId="5D9CE9ED">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如监理人员与施工单位串通弄虚作假，降低工程质量，将不合格材料按照合格签字的，给委托人造成损失。视其情节轻重，扣减监理费用10000元—30000元</w:t>
      </w:r>
      <w:r>
        <w:rPr>
          <w:rFonts w:hint="eastAsia" w:ascii="宋体" w:hAnsi="宋体" w:eastAsia="宋体" w:cs="宋体"/>
          <w:color w:val="auto"/>
          <w:sz w:val="21"/>
          <w:szCs w:val="21"/>
          <w:highlight w:val="none"/>
          <w:lang w:eastAsia="zh-CN"/>
        </w:rPr>
        <w:t>，并追究经济法律责任。</w:t>
      </w:r>
    </w:p>
    <w:p w14:paraId="06FC092F">
      <w:pPr>
        <w:keepNext w:val="0"/>
        <w:keepLines w:val="0"/>
        <w:pageBreakBefore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若是监理人员与施工单位串通弄虚作假，签发不实的经济和工期签证，给委托人造成损失。视其情节轻重，扣减监理费用10000元—20000元</w:t>
      </w:r>
      <w:r>
        <w:rPr>
          <w:rFonts w:hint="eastAsia" w:ascii="宋体" w:hAnsi="宋体" w:eastAsia="宋体" w:cs="宋体"/>
          <w:color w:val="auto"/>
          <w:sz w:val="21"/>
          <w:szCs w:val="21"/>
          <w:highlight w:val="none"/>
          <w:lang w:eastAsia="zh-CN"/>
        </w:rPr>
        <w:t>，并追究经济法律责任。</w:t>
      </w:r>
    </w:p>
    <w:p w14:paraId="7F9DACBB">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color w:val="auto"/>
          <w:sz w:val="21"/>
          <w:szCs w:val="21"/>
          <w:highlight w:val="none"/>
        </w:rPr>
      </w:pP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rPr>
        <w:t>、禁止条款：</w:t>
      </w:r>
      <w:r>
        <w:rPr>
          <w:rFonts w:hint="eastAsia" w:ascii="宋体" w:hAnsi="宋体" w:eastAsia="宋体" w:cs="宋体"/>
          <w:color w:val="auto"/>
          <w:sz w:val="21"/>
          <w:szCs w:val="21"/>
          <w:highlight w:val="none"/>
          <w:lang w:val="en-US" w:eastAsia="zh-CN"/>
        </w:rPr>
        <w:t>监理单位</w:t>
      </w:r>
      <w:r>
        <w:rPr>
          <w:rFonts w:hint="eastAsia" w:ascii="宋体" w:hAnsi="宋体" w:eastAsia="宋体" w:cs="宋体"/>
          <w:color w:val="auto"/>
          <w:sz w:val="21"/>
          <w:szCs w:val="21"/>
          <w:highlight w:val="none"/>
        </w:rPr>
        <w:t>不得与施工单位同吃同住；不得将罚款、差旅费及相关费用转嫁给施工单位；不得代替施工单位整理相关施工资料及相关有偿服务；不得以监理费支付等为由拒绝履行监理服务，如有发现，委托人有权立即予以清退出场，终止合同，并另行委托同等资质的监理单位完善后续服务。</w:t>
      </w:r>
    </w:p>
    <w:p w14:paraId="70EB56A3">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kern w:val="0"/>
          <w:sz w:val="21"/>
          <w:szCs w:val="21"/>
          <w:highlight w:val="none"/>
        </w:rPr>
      </w:pPr>
      <w:r>
        <w:rPr>
          <w:rFonts w:hint="eastAsia" w:ascii="宋体" w:hAnsi="宋体" w:cs="宋体"/>
          <w:b/>
          <w:bCs/>
          <w:color w:val="auto"/>
          <w:sz w:val="21"/>
          <w:szCs w:val="21"/>
          <w:highlight w:val="none"/>
          <w:lang w:val="en-US" w:eastAsia="zh-CN"/>
        </w:rPr>
        <w:t>8</w:t>
      </w:r>
      <w:r>
        <w:rPr>
          <w:rFonts w:hint="eastAsia" w:ascii="宋体" w:hAnsi="宋体" w:eastAsia="宋体" w:cs="宋体"/>
          <w:b/>
          <w:bCs/>
          <w:color w:val="auto"/>
          <w:sz w:val="21"/>
          <w:szCs w:val="21"/>
          <w:highlight w:val="none"/>
        </w:rPr>
        <w:t>、</w:t>
      </w:r>
      <w:r>
        <w:rPr>
          <w:rFonts w:hint="eastAsia" w:ascii="宋体" w:hAnsi="宋体" w:eastAsia="宋体" w:cs="宋体"/>
          <w:b/>
          <w:bCs/>
          <w:color w:val="auto"/>
          <w:kern w:val="0"/>
          <w:sz w:val="21"/>
          <w:szCs w:val="21"/>
          <w:highlight w:val="none"/>
        </w:rPr>
        <w:t>有下列情况之一的，招标人有权终止合同：</w:t>
      </w:r>
    </w:p>
    <w:p w14:paraId="09A380E1">
      <w:pPr>
        <w:keepNext w:val="0"/>
        <w:keepLines w:val="0"/>
        <w:pageBreakBefore w:val="0"/>
        <w:widowControl/>
        <w:tabs>
          <w:tab w:val="left" w:pos="0"/>
        </w:tabs>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（1）在第一次监理例会，监理单位针对投标承诺配备项目总监</w:t>
      </w:r>
      <w:r>
        <w:rPr>
          <w:rFonts w:hint="eastAsia" w:ascii="宋体" w:hAnsi="宋体" w:eastAsia="宋体" w:cs="宋体"/>
          <w:b/>
          <w:bCs/>
          <w:color w:val="auto"/>
          <w:sz w:val="21"/>
          <w:szCs w:val="21"/>
          <w:highlight w:val="none"/>
          <w:lang w:val="en-US" w:eastAsia="zh-CN"/>
        </w:rPr>
        <w:t>和</w:t>
      </w:r>
      <w:r>
        <w:rPr>
          <w:rFonts w:hint="eastAsia" w:ascii="宋体" w:hAnsi="宋体" w:eastAsia="宋体" w:cs="宋体"/>
          <w:b/>
          <w:bCs/>
          <w:color w:val="auto"/>
          <w:sz w:val="21"/>
          <w:szCs w:val="21"/>
          <w:highlight w:val="none"/>
        </w:rPr>
        <w:t>以监理单位任命文为准</w:t>
      </w:r>
      <w:r>
        <w:rPr>
          <w:rFonts w:hint="eastAsia" w:ascii="宋体" w:hAnsi="宋体" w:eastAsia="宋体" w:cs="宋体"/>
          <w:b/>
          <w:bCs/>
          <w:color w:val="auto"/>
          <w:sz w:val="21"/>
          <w:szCs w:val="21"/>
          <w:highlight w:val="none"/>
          <w:lang w:val="en-US" w:eastAsia="zh-CN"/>
        </w:rPr>
        <w:t>的</w:t>
      </w:r>
      <w:r>
        <w:rPr>
          <w:rFonts w:hint="eastAsia" w:ascii="宋体" w:hAnsi="宋体" w:eastAsia="宋体" w:cs="宋体"/>
          <w:b/>
          <w:bCs/>
          <w:color w:val="auto"/>
          <w:sz w:val="21"/>
          <w:szCs w:val="21"/>
          <w:highlight w:val="none"/>
        </w:rPr>
        <w:t>专业监理工程师、监理员等监理部关键岗位人员必须全部到场参加；</w:t>
      </w:r>
    </w:p>
    <w:p w14:paraId="276FB839">
      <w:pPr>
        <w:keepNext w:val="0"/>
        <w:keepLines w:val="0"/>
        <w:pageBreakBefore w:val="0"/>
        <w:widowControl/>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（2）在图纸交底会议，监理单位针对投标承诺配备项目总监和以监理单位任命文为准的专业监理工程师、监理员等监理部关键岗位人员必须全部到场参加；</w:t>
      </w:r>
    </w:p>
    <w:p w14:paraId="75002074">
      <w:pPr>
        <w:keepNext w:val="0"/>
        <w:keepLines w:val="0"/>
        <w:pageBreakBefore w:val="0"/>
        <w:widowControl/>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（3）发包人组织对总监进行业务能力考核，经考核不合格要求更换人员，且更换人员考核依然不合格的；</w:t>
      </w:r>
    </w:p>
    <w:p w14:paraId="6038C946">
      <w:pPr>
        <w:keepNext w:val="0"/>
        <w:keepLines w:val="0"/>
        <w:pageBreakBefore w:val="0"/>
        <w:widowControl/>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（4）各专业监理可结合项目的实施阶段经委托人签字认可后分期到岗，若实际到岗人数不满足</w:t>
      </w:r>
      <w:r>
        <w:rPr>
          <w:rFonts w:hint="eastAsia" w:ascii="宋体" w:hAnsi="宋体" w:eastAsia="宋体" w:cs="宋体"/>
          <w:b/>
          <w:bCs/>
          <w:color w:val="auto"/>
          <w:sz w:val="21"/>
          <w:szCs w:val="21"/>
          <w:highlight w:val="none"/>
          <w:lang w:eastAsia="zh-CN"/>
        </w:rPr>
        <w:t>招标文件</w:t>
      </w:r>
      <w:r>
        <w:rPr>
          <w:rFonts w:hint="eastAsia" w:ascii="宋体" w:hAnsi="宋体" w:eastAsia="宋体" w:cs="宋体"/>
          <w:b/>
          <w:bCs/>
          <w:color w:val="auto"/>
          <w:sz w:val="21"/>
          <w:szCs w:val="21"/>
          <w:highlight w:val="none"/>
        </w:rPr>
        <w:t>要求的；</w:t>
      </w:r>
    </w:p>
    <w:p w14:paraId="653FC092">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（5）工程进度管理：执行</w:t>
      </w:r>
      <w:r>
        <w:rPr>
          <w:rFonts w:hint="eastAsia" w:hAnsi="宋体" w:cs="宋体"/>
          <w:b/>
          <w:bCs/>
          <w:color w:val="auto"/>
          <w:sz w:val="21"/>
          <w:szCs w:val="21"/>
          <w:highlight w:val="none"/>
          <w:lang w:val="en-US" w:eastAsia="zh-CN"/>
        </w:rPr>
        <w:t>招标人</w:t>
      </w:r>
      <w:r>
        <w:rPr>
          <w:rFonts w:hint="eastAsia" w:ascii="宋体" w:hAnsi="宋体" w:eastAsia="宋体" w:cs="宋体"/>
          <w:b/>
          <w:bCs/>
          <w:color w:val="auto"/>
          <w:sz w:val="21"/>
          <w:szCs w:val="21"/>
          <w:highlight w:val="none"/>
        </w:rPr>
        <w:t>规定；情节严重的，委托人有权解除合同，并追究经济损失。</w:t>
      </w:r>
    </w:p>
    <w:p w14:paraId="13F821F6">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422" w:firstLineChars="200"/>
        <w:jc w:val="left"/>
        <w:textAlignment w:val="auto"/>
        <w:rPr>
          <w:rFonts w:hint="eastAsia" w:ascii="宋体" w:hAnsi="宋体" w:eastAsia="宋体" w:cs="宋体"/>
          <w:color w:val="auto"/>
          <w:sz w:val="21"/>
          <w:szCs w:val="21"/>
          <w:highlight w:val="none"/>
        </w:rPr>
      </w:pPr>
      <w:r>
        <w:rPr>
          <w:rFonts w:hint="eastAsia"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、监管平台</w:t>
      </w:r>
    </w:p>
    <w:p w14:paraId="33E5E87C">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监理单位须在监管平台录入以下（但不限于）内容：</w:t>
      </w:r>
    </w:p>
    <w:p w14:paraId="10F07862">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1、在进度管理中，每周实际完成工作量、投入人员及机械使用情况；</w:t>
      </w:r>
    </w:p>
    <w:p w14:paraId="28BBEA7A">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2、在安全管理中，现场存在的安全隐患等问题；</w:t>
      </w:r>
    </w:p>
    <w:p w14:paraId="2373BB29">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3、在质量控制要点中的关键工序、验收资料及检测资料及存在的质量问题；</w:t>
      </w:r>
    </w:p>
    <w:p w14:paraId="0737511C">
      <w:pPr>
        <w:keepNext w:val="0"/>
        <w:keepLines w:val="0"/>
        <w:pageBreakBefore w:val="0"/>
        <w:kinsoku/>
        <w:wordWrap/>
        <w:overflowPunct/>
        <w:topLinePunct w:val="0"/>
        <w:autoSpaceDE/>
        <w:autoSpaceDN/>
        <w:bidi w:val="0"/>
        <w:adjustRightInd/>
        <w:snapToGrid/>
        <w:spacing w:line="440" w:lineRule="exact"/>
        <w:ind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4、监理日志</w:t>
      </w:r>
    </w:p>
    <w:p w14:paraId="3890DC79">
      <w:pPr>
        <w:pStyle w:val="2"/>
        <w:keepNext w:val="0"/>
        <w:keepLines w:val="0"/>
        <w:pageBreakBefore w:val="0"/>
        <w:kinsoku/>
        <w:wordWrap/>
        <w:overflowPunct/>
        <w:topLinePunct w:val="0"/>
        <w:autoSpaceDE/>
        <w:autoSpaceDN/>
        <w:bidi w:val="0"/>
        <w:adjustRightInd/>
        <w:snapToGrid/>
        <w:spacing w:after="0" w:afterLines="0" w:line="440" w:lineRule="exact"/>
        <w:ind w:left="0" w:leftChars="0" w:firstLine="422" w:firstLineChars="200"/>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5、创城、创卫管理内容</w:t>
      </w:r>
    </w:p>
    <w:p w14:paraId="2C0CA201">
      <w:pPr>
        <w:pageBreakBefore/>
        <w:spacing w:line="440" w:lineRule="exact"/>
        <w:ind w:firstLine="422" w:firstLineChars="200"/>
        <w:jc w:val="center"/>
        <w:outlineLvl w:val="0"/>
        <w:rPr>
          <w:rFonts w:hint="eastAsia" w:ascii="宋体" w:hAnsi="宋体" w:eastAsia="宋体" w:cs="宋体"/>
          <w:b/>
          <w:bCs/>
          <w:color w:val="auto"/>
          <w:szCs w:val="21"/>
          <w:highlight w:val="none"/>
        </w:rPr>
      </w:pPr>
      <w:bookmarkStart w:id="878" w:name="_Toc27018"/>
      <w:bookmarkStart w:id="879" w:name="_Toc20311"/>
      <w:r>
        <w:rPr>
          <w:rFonts w:hint="eastAsia" w:ascii="宋体" w:hAnsi="宋体" w:eastAsia="宋体" w:cs="宋体"/>
          <w:b/>
          <w:bCs/>
          <w:color w:val="auto"/>
          <w:szCs w:val="21"/>
          <w:highlight w:val="none"/>
        </w:rPr>
        <w:t>附录A  相关服务的范围和内容</w:t>
      </w:r>
      <w:bookmarkEnd w:id="878"/>
      <w:bookmarkEnd w:id="879"/>
    </w:p>
    <w:p w14:paraId="79AB0104">
      <w:pPr>
        <w:snapToGrid w:val="0"/>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A-1 勘察阶段：</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w:t>
      </w:r>
    </w:p>
    <w:p w14:paraId="0CE0A295">
      <w:pPr>
        <w:snapToGrid w:val="0"/>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A-2 设计阶段：</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16C524C1">
      <w:pPr>
        <w:snapToGrid w:val="0"/>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A-3 保修阶段：</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p>
    <w:p w14:paraId="1BF582CD">
      <w:pPr>
        <w:snapToGrid w:val="0"/>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 xml:space="preserve">A-4 </w:t>
      </w:r>
      <w:r>
        <w:rPr>
          <w:rFonts w:hint="eastAsia" w:ascii="宋体" w:hAnsi="宋体" w:eastAsia="宋体" w:cs="宋体"/>
          <w:color w:val="auto"/>
          <w:szCs w:val="21"/>
          <w:highlight w:val="none"/>
        </w:rPr>
        <w:t>其他（专业技术咨询、外部协调工作等）：</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w:t>
      </w:r>
      <w:bookmarkStart w:id="880" w:name="_Toc24500"/>
      <w:bookmarkStart w:id="881" w:name="_Toc16232"/>
    </w:p>
    <w:p w14:paraId="1B18691D">
      <w:pPr>
        <w:snapToGrid w:val="0"/>
        <w:spacing w:line="440" w:lineRule="exact"/>
        <w:ind w:firstLine="422" w:firstLineChars="20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附录B  委托人派遣的人员和提供的房屋、资料、设备</w:t>
      </w:r>
      <w:bookmarkEnd w:id="880"/>
      <w:bookmarkEnd w:id="881"/>
    </w:p>
    <w:p w14:paraId="37FA2FAD">
      <w:pPr>
        <w:spacing w:line="440" w:lineRule="exact"/>
        <w:ind w:firstLine="422" w:firstLineChars="20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B-1  委托人派遣的人员</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170D3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noWrap w:val="0"/>
            <w:vAlign w:val="center"/>
          </w:tcPr>
          <w:p w14:paraId="24AC975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w:t>
            </w:r>
          </w:p>
        </w:tc>
        <w:tc>
          <w:tcPr>
            <w:tcW w:w="1770" w:type="dxa"/>
            <w:noWrap w:val="0"/>
            <w:vAlign w:val="center"/>
          </w:tcPr>
          <w:p w14:paraId="5EEBA1B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2130" w:type="dxa"/>
            <w:noWrap w:val="0"/>
            <w:vAlign w:val="center"/>
          </w:tcPr>
          <w:p w14:paraId="5C518E7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工作要求</w:t>
            </w:r>
          </w:p>
        </w:tc>
        <w:tc>
          <w:tcPr>
            <w:tcW w:w="1860" w:type="dxa"/>
            <w:noWrap w:val="0"/>
            <w:vAlign w:val="center"/>
          </w:tcPr>
          <w:p w14:paraId="7E7C946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提供时间</w:t>
            </w:r>
          </w:p>
        </w:tc>
      </w:tr>
      <w:tr w14:paraId="0E01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noWrap w:val="0"/>
            <w:vAlign w:val="center"/>
          </w:tcPr>
          <w:p w14:paraId="72C1D06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 工程技术人员</w:t>
            </w:r>
          </w:p>
        </w:tc>
        <w:tc>
          <w:tcPr>
            <w:tcW w:w="1770" w:type="dxa"/>
            <w:noWrap w:val="0"/>
            <w:vAlign w:val="center"/>
          </w:tcPr>
          <w:p w14:paraId="645D26A5">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6D99196B">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14FD33A9">
            <w:pPr>
              <w:spacing w:line="440" w:lineRule="exact"/>
              <w:jc w:val="center"/>
              <w:rPr>
                <w:rFonts w:hint="eastAsia" w:ascii="宋体" w:hAnsi="宋体" w:eastAsia="宋体" w:cs="宋体"/>
                <w:color w:val="auto"/>
                <w:szCs w:val="21"/>
                <w:highlight w:val="none"/>
              </w:rPr>
            </w:pPr>
          </w:p>
        </w:tc>
      </w:tr>
      <w:tr w14:paraId="736A6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noWrap w:val="0"/>
            <w:vAlign w:val="center"/>
          </w:tcPr>
          <w:p w14:paraId="1078C07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 辅助工作人员</w:t>
            </w:r>
          </w:p>
        </w:tc>
        <w:tc>
          <w:tcPr>
            <w:tcW w:w="1770" w:type="dxa"/>
            <w:noWrap w:val="0"/>
            <w:vAlign w:val="center"/>
          </w:tcPr>
          <w:p w14:paraId="47D9C91B">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42CB23BD">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61C29BF2">
            <w:pPr>
              <w:spacing w:line="440" w:lineRule="exact"/>
              <w:jc w:val="center"/>
              <w:rPr>
                <w:rFonts w:hint="eastAsia" w:ascii="宋体" w:hAnsi="宋体" w:eastAsia="宋体" w:cs="宋体"/>
                <w:color w:val="auto"/>
                <w:szCs w:val="21"/>
                <w:highlight w:val="none"/>
              </w:rPr>
            </w:pPr>
          </w:p>
        </w:tc>
      </w:tr>
      <w:tr w14:paraId="2D42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noWrap w:val="0"/>
            <w:vAlign w:val="center"/>
          </w:tcPr>
          <w:p w14:paraId="1F9B7D2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 其他人员</w:t>
            </w:r>
          </w:p>
        </w:tc>
        <w:tc>
          <w:tcPr>
            <w:tcW w:w="1770" w:type="dxa"/>
            <w:noWrap w:val="0"/>
            <w:vAlign w:val="center"/>
          </w:tcPr>
          <w:p w14:paraId="6CD9570D">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35502E99">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4BA3A393">
            <w:pPr>
              <w:spacing w:line="440" w:lineRule="exact"/>
              <w:jc w:val="center"/>
              <w:rPr>
                <w:rFonts w:hint="eastAsia" w:ascii="宋体" w:hAnsi="宋体" w:eastAsia="宋体" w:cs="宋体"/>
                <w:color w:val="auto"/>
                <w:szCs w:val="21"/>
                <w:highlight w:val="none"/>
              </w:rPr>
            </w:pPr>
          </w:p>
        </w:tc>
      </w:tr>
      <w:tr w14:paraId="17715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noWrap w:val="0"/>
            <w:vAlign w:val="center"/>
          </w:tcPr>
          <w:p w14:paraId="6D367036">
            <w:pPr>
              <w:spacing w:line="440" w:lineRule="exact"/>
              <w:jc w:val="center"/>
              <w:rPr>
                <w:rFonts w:hint="eastAsia" w:ascii="宋体" w:hAnsi="宋体" w:eastAsia="宋体" w:cs="宋体"/>
                <w:color w:val="auto"/>
                <w:szCs w:val="21"/>
                <w:highlight w:val="none"/>
              </w:rPr>
            </w:pPr>
          </w:p>
        </w:tc>
        <w:tc>
          <w:tcPr>
            <w:tcW w:w="1770" w:type="dxa"/>
            <w:noWrap w:val="0"/>
            <w:vAlign w:val="center"/>
          </w:tcPr>
          <w:p w14:paraId="4825C6B3">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1D220C75">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2C41625B">
            <w:pPr>
              <w:spacing w:line="440" w:lineRule="exact"/>
              <w:jc w:val="center"/>
              <w:rPr>
                <w:rFonts w:hint="eastAsia" w:ascii="宋体" w:hAnsi="宋体" w:eastAsia="宋体" w:cs="宋体"/>
                <w:color w:val="auto"/>
                <w:szCs w:val="21"/>
                <w:highlight w:val="none"/>
              </w:rPr>
            </w:pPr>
          </w:p>
        </w:tc>
      </w:tr>
    </w:tbl>
    <w:p w14:paraId="78EAFD51">
      <w:pPr>
        <w:spacing w:line="440" w:lineRule="exact"/>
        <w:ind w:firstLine="422" w:firstLineChars="200"/>
        <w:outlineLvl w:val="0"/>
        <w:rPr>
          <w:rFonts w:hint="eastAsia" w:ascii="宋体" w:hAnsi="宋体" w:eastAsia="宋体" w:cs="宋体"/>
          <w:b/>
          <w:color w:val="auto"/>
          <w:kern w:val="0"/>
          <w:szCs w:val="21"/>
          <w:highlight w:val="none"/>
        </w:rPr>
      </w:pPr>
      <w:bookmarkStart w:id="882" w:name="_Toc15300912"/>
      <w:bookmarkStart w:id="883" w:name="_Toc13821"/>
      <w:bookmarkStart w:id="884" w:name="_Toc11615"/>
      <w:bookmarkStart w:id="885" w:name="_Toc10969"/>
      <w:r>
        <w:rPr>
          <w:rFonts w:hint="eastAsia" w:ascii="宋体" w:hAnsi="宋体" w:eastAsia="宋体" w:cs="宋体"/>
          <w:b/>
          <w:color w:val="auto"/>
          <w:kern w:val="0"/>
          <w:szCs w:val="21"/>
          <w:highlight w:val="none"/>
        </w:rPr>
        <w:t>B-2  委托人提供的房屋</w:t>
      </w:r>
      <w:bookmarkEnd w:id="882"/>
      <w:bookmarkEnd w:id="883"/>
      <w:bookmarkEnd w:id="884"/>
      <w:bookmarkEnd w:id="885"/>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A2BB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2E4A7EA4">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w:t>
            </w:r>
          </w:p>
        </w:tc>
        <w:tc>
          <w:tcPr>
            <w:tcW w:w="2130" w:type="dxa"/>
            <w:noWrap w:val="0"/>
            <w:vAlign w:val="center"/>
          </w:tcPr>
          <w:p w14:paraId="0E7E6F5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2130" w:type="dxa"/>
            <w:noWrap w:val="0"/>
            <w:vAlign w:val="center"/>
          </w:tcPr>
          <w:p w14:paraId="2D59CC9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面积</w:t>
            </w:r>
          </w:p>
        </w:tc>
        <w:tc>
          <w:tcPr>
            <w:tcW w:w="1860" w:type="dxa"/>
            <w:noWrap w:val="0"/>
            <w:vAlign w:val="center"/>
          </w:tcPr>
          <w:p w14:paraId="7DC9870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提供时间</w:t>
            </w:r>
          </w:p>
        </w:tc>
      </w:tr>
      <w:tr w14:paraId="0465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17DFA944">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 办公用房</w:t>
            </w:r>
          </w:p>
        </w:tc>
        <w:tc>
          <w:tcPr>
            <w:tcW w:w="2130" w:type="dxa"/>
            <w:noWrap w:val="0"/>
            <w:vAlign w:val="center"/>
          </w:tcPr>
          <w:p w14:paraId="5733521A">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1686746D">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1C86D279">
            <w:pPr>
              <w:spacing w:line="440" w:lineRule="exact"/>
              <w:jc w:val="center"/>
              <w:rPr>
                <w:rFonts w:hint="eastAsia" w:ascii="宋体" w:hAnsi="宋体" w:eastAsia="宋体" w:cs="宋体"/>
                <w:color w:val="auto"/>
                <w:szCs w:val="21"/>
                <w:highlight w:val="none"/>
              </w:rPr>
            </w:pPr>
          </w:p>
        </w:tc>
      </w:tr>
      <w:tr w14:paraId="3F84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52C8C67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 生活用房</w:t>
            </w:r>
          </w:p>
        </w:tc>
        <w:tc>
          <w:tcPr>
            <w:tcW w:w="2130" w:type="dxa"/>
            <w:noWrap w:val="0"/>
            <w:vAlign w:val="center"/>
          </w:tcPr>
          <w:p w14:paraId="67A2BA89">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64A7E141">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0C11F837">
            <w:pPr>
              <w:spacing w:line="440" w:lineRule="exact"/>
              <w:jc w:val="center"/>
              <w:rPr>
                <w:rFonts w:hint="eastAsia" w:ascii="宋体" w:hAnsi="宋体" w:eastAsia="宋体" w:cs="宋体"/>
                <w:color w:val="auto"/>
                <w:szCs w:val="21"/>
                <w:highlight w:val="none"/>
              </w:rPr>
            </w:pPr>
          </w:p>
        </w:tc>
      </w:tr>
      <w:tr w14:paraId="4EFF7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022D7123">
            <w:pPr>
              <w:spacing w:line="440" w:lineRule="exact"/>
              <w:jc w:val="center"/>
              <w:rPr>
                <w:rFonts w:hint="eastAsia" w:ascii="宋体" w:hAnsi="宋体" w:eastAsia="宋体" w:cs="宋体"/>
                <w:dstrike/>
                <w:color w:val="auto"/>
                <w:szCs w:val="21"/>
                <w:highlight w:val="none"/>
              </w:rPr>
            </w:pPr>
            <w:r>
              <w:rPr>
                <w:rFonts w:hint="eastAsia" w:ascii="宋体" w:hAnsi="宋体" w:eastAsia="宋体" w:cs="宋体"/>
                <w:color w:val="auto"/>
                <w:szCs w:val="21"/>
                <w:highlight w:val="none"/>
              </w:rPr>
              <w:t>3. 试验用房</w:t>
            </w:r>
          </w:p>
        </w:tc>
        <w:tc>
          <w:tcPr>
            <w:tcW w:w="2130" w:type="dxa"/>
            <w:noWrap w:val="0"/>
            <w:vAlign w:val="center"/>
          </w:tcPr>
          <w:p w14:paraId="2D4D5699">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34AE0302">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4482A18C">
            <w:pPr>
              <w:spacing w:line="440" w:lineRule="exact"/>
              <w:jc w:val="center"/>
              <w:rPr>
                <w:rFonts w:hint="eastAsia" w:ascii="宋体" w:hAnsi="宋体" w:eastAsia="宋体" w:cs="宋体"/>
                <w:color w:val="auto"/>
                <w:szCs w:val="21"/>
                <w:highlight w:val="none"/>
              </w:rPr>
            </w:pPr>
          </w:p>
        </w:tc>
      </w:tr>
      <w:tr w14:paraId="478F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65164AE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 样品用房</w:t>
            </w:r>
          </w:p>
        </w:tc>
        <w:tc>
          <w:tcPr>
            <w:tcW w:w="2130" w:type="dxa"/>
            <w:noWrap w:val="0"/>
            <w:vAlign w:val="center"/>
          </w:tcPr>
          <w:p w14:paraId="650EDAAE">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66734FA6">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77F9266C">
            <w:pPr>
              <w:spacing w:line="440" w:lineRule="exact"/>
              <w:jc w:val="center"/>
              <w:rPr>
                <w:rFonts w:hint="eastAsia" w:ascii="宋体" w:hAnsi="宋体" w:eastAsia="宋体" w:cs="宋体"/>
                <w:color w:val="auto"/>
                <w:szCs w:val="21"/>
                <w:highlight w:val="none"/>
              </w:rPr>
            </w:pPr>
          </w:p>
        </w:tc>
      </w:tr>
      <w:tr w14:paraId="7D939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1E869544">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7F5F15A0">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7F079CD3">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55778572">
            <w:pPr>
              <w:spacing w:line="440" w:lineRule="exact"/>
              <w:jc w:val="center"/>
              <w:rPr>
                <w:rFonts w:hint="eastAsia" w:ascii="宋体" w:hAnsi="宋体" w:eastAsia="宋体" w:cs="宋体"/>
                <w:color w:val="auto"/>
                <w:szCs w:val="21"/>
                <w:highlight w:val="none"/>
              </w:rPr>
            </w:pPr>
          </w:p>
        </w:tc>
      </w:tr>
      <w:tr w14:paraId="34D3F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8" w:type="dxa"/>
            <w:noWrap w:val="0"/>
            <w:vAlign w:val="center"/>
          </w:tcPr>
          <w:p w14:paraId="4149D88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用餐及其他生活条件</w:t>
            </w:r>
          </w:p>
        </w:tc>
        <w:tc>
          <w:tcPr>
            <w:tcW w:w="6120" w:type="dxa"/>
            <w:gridSpan w:val="3"/>
            <w:noWrap w:val="0"/>
            <w:vAlign w:val="center"/>
          </w:tcPr>
          <w:p w14:paraId="43A623BB">
            <w:pPr>
              <w:spacing w:line="440" w:lineRule="exact"/>
              <w:jc w:val="center"/>
              <w:rPr>
                <w:rFonts w:hint="eastAsia" w:ascii="宋体" w:hAnsi="宋体" w:eastAsia="宋体" w:cs="宋体"/>
                <w:color w:val="auto"/>
                <w:szCs w:val="21"/>
                <w:highlight w:val="none"/>
              </w:rPr>
            </w:pPr>
          </w:p>
        </w:tc>
      </w:tr>
    </w:tbl>
    <w:p w14:paraId="1F2646C0">
      <w:pPr>
        <w:spacing w:line="440" w:lineRule="exact"/>
        <w:ind w:firstLine="422" w:firstLineChars="200"/>
        <w:outlineLvl w:val="0"/>
        <w:rPr>
          <w:rFonts w:hint="eastAsia" w:ascii="宋体" w:hAnsi="宋体" w:eastAsia="宋体" w:cs="宋体"/>
          <w:b/>
          <w:color w:val="auto"/>
          <w:kern w:val="0"/>
          <w:szCs w:val="21"/>
          <w:highlight w:val="none"/>
        </w:rPr>
      </w:pPr>
      <w:bookmarkStart w:id="886" w:name="_Toc15300913"/>
      <w:bookmarkStart w:id="887" w:name="_Toc22478"/>
      <w:bookmarkStart w:id="888" w:name="_Toc19084"/>
      <w:bookmarkStart w:id="889" w:name="_Toc12000"/>
      <w:r>
        <w:rPr>
          <w:rFonts w:hint="eastAsia" w:ascii="宋体" w:hAnsi="宋体" w:eastAsia="宋体" w:cs="宋体"/>
          <w:b/>
          <w:color w:val="auto"/>
          <w:kern w:val="0"/>
          <w:szCs w:val="21"/>
          <w:highlight w:val="none"/>
        </w:rPr>
        <w:t>B-3  委托人提供的资料</w:t>
      </w:r>
      <w:bookmarkEnd w:id="886"/>
      <w:bookmarkEnd w:id="887"/>
      <w:bookmarkEnd w:id="888"/>
      <w:bookmarkEnd w:id="889"/>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25AB7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660E71FF">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名称</w:t>
            </w:r>
          </w:p>
        </w:tc>
        <w:tc>
          <w:tcPr>
            <w:tcW w:w="1491" w:type="dxa"/>
            <w:noWrap w:val="0"/>
            <w:vAlign w:val="center"/>
          </w:tcPr>
          <w:p w14:paraId="0C941E8A">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份数</w:t>
            </w:r>
          </w:p>
        </w:tc>
        <w:tc>
          <w:tcPr>
            <w:tcW w:w="2147" w:type="dxa"/>
            <w:noWrap w:val="0"/>
            <w:vAlign w:val="center"/>
          </w:tcPr>
          <w:p w14:paraId="7CB5BC7B">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提供时间</w:t>
            </w:r>
          </w:p>
        </w:tc>
        <w:tc>
          <w:tcPr>
            <w:tcW w:w="2082" w:type="dxa"/>
            <w:noWrap w:val="0"/>
            <w:vAlign w:val="center"/>
          </w:tcPr>
          <w:p w14:paraId="63784E1F">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备注</w:t>
            </w:r>
          </w:p>
        </w:tc>
      </w:tr>
      <w:tr w14:paraId="270E4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42D0DB10">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 工程立项文件</w:t>
            </w:r>
          </w:p>
        </w:tc>
        <w:tc>
          <w:tcPr>
            <w:tcW w:w="1491" w:type="dxa"/>
            <w:noWrap w:val="0"/>
            <w:vAlign w:val="center"/>
          </w:tcPr>
          <w:p w14:paraId="48BAE1A6">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35643025">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126141AB">
            <w:pPr>
              <w:spacing w:line="440" w:lineRule="exact"/>
              <w:jc w:val="center"/>
              <w:rPr>
                <w:rFonts w:hint="eastAsia" w:ascii="宋体" w:hAnsi="宋体" w:eastAsia="宋体" w:cs="宋体"/>
                <w:color w:val="auto"/>
                <w:kern w:val="0"/>
                <w:szCs w:val="21"/>
                <w:highlight w:val="none"/>
              </w:rPr>
            </w:pPr>
          </w:p>
        </w:tc>
      </w:tr>
      <w:tr w14:paraId="2A178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34C1CDE3">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 工程勘察文件</w:t>
            </w:r>
          </w:p>
        </w:tc>
        <w:tc>
          <w:tcPr>
            <w:tcW w:w="1491" w:type="dxa"/>
            <w:noWrap w:val="0"/>
            <w:vAlign w:val="center"/>
          </w:tcPr>
          <w:p w14:paraId="2EA78227">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62518A0D">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1A0F728A">
            <w:pPr>
              <w:spacing w:line="440" w:lineRule="exact"/>
              <w:jc w:val="center"/>
              <w:rPr>
                <w:rFonts w:hint="eastAsia" w:ascii="宋体" w:hAnsi="宋体" w:eastAsia="宋体" w:cs="宋体"/>
                <w:color w:val="auto"/>
                <w:kern w:val="0"/>
                <w:szCs w:val="21"/>
                <w:highlight w:val="none"/>
              </w:rPr>
            </w:pPr>
          </w:p>
        </w:tc>
      </w:tr>
      <w:tr w14:paraId="321D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16401E41">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 工程设计及施工图纸</w:t>
            </w:r>
          </w:p>
        </w:tc>
        <w:tc>
          <w:tcPr>
            <w:tcW w:w="1491" w:type="dxa"/>
            <w:noWrap w:val="0"/>
            <w:vAlign w:val="center"/>
          </w:tcPr>
          <w:p w14:paraId="0EB38EEC">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58EF2867">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5B0B3BAD">
            <w:pPr>
              <w:spacing w:line="440" w:lineRule="exact"/>
              <w:jc w:val="center"/>
              <w:rPr>
                <w:rFonts w:hint="eastAsia" w:ascii="宋体" w:hAnsi="宋体" w:eastAsia="宋体" w:cs="宋体"/>
                <w:color w:val="auto"/>
                <w:kern w:val="0"/>
                <w:szCs w:val="21"/>
                <w:highlight w:val="none"/>
              </w:rPr>
            </w:pPr>
          </w:p>
        </w:tc>
      </w:tr>
      <w:tr w14:paraId="18484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47EBBCC2">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 工程承包合同及其他相关合同</w:t>
            </w:r>
          </w:p>
        </w:tc>
        <w:tc>
          <w:tcPr>
            <w:tcW w:w="1491" w:type="dxa"/>
            <w:noWrap w:val="0"/>
            <w:vAlign w:val="center"/>
          </w:tcPr>
          <w:p w14:paraId="28C19D8E">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0BB8438E">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398D5003">
            <w:pPr>
              <w:spacing w:line="440" w:lineRule="exact"/>
              <w:jc w:val="center"/>
              <w:rPr>
                <w:rFonts w:hint="eastAsia" w:ascii="宋体" w:hAnsi="宋体" w:eastAsia="宋体" w:cs="宋体"/>
                <w:color w:val="auto"/>
                <w:kern w:val="0"/>
                <w:szCs w:val="21"/>
                <w:highlight w:val="none"/>
              </w:rPr>
            </w:pPr>
          </w:p>
        </w:tc>
      </w:tr>
      <w:tr w14:paraId="2E0B3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5E3AF3FB">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 施工许可文件</w:t>
            </w:r>
          </w:p>
        </w:tc>
        <w:tc>
          <w:tcPr>
            <w:tcW w:w="1491" w:type="dxa"/>
            <w:noWrap w:val="0"/>
            <w:vAlign w:val="center"/>
          </w:tcPr>
          <w:p w14:paraId="7410D53E">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75D3D126">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101B60FD">
            <w:pPr>
              <w:spacing w:line="440" w:lineRule="exact"/>
              <w:jc w:val="center"/>
              <w:rPr>
                <w:rFonts w:hint="eastAsia" w:ascii="宋体" w:hAnsi="宋体" w:eastAsia="宋体" w:cs="宋体"/>
                <w:color w:val="auto"/>
                <w:kern w:val="0"/>
                <w:szCs w:val="21"/>
                <w:highlight w:val="none"/>
              </w:rPr>
            </w:pPr>
          </w:p>
        </w:tc>
      </w:tr>
      <w:tr w14:paraId="51129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22DCEF0A">
            <w:pPr>
              <w:spacing w:line="440" w:lineRule="exac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 其他文件</w:t>
            </w:r>
          </w:p>
        </w:tc>
        <w:tc>
          <w:tcPr>
            <w:tcW w:w="1491" w:type="dxa"/>
            <w:noWrap w:val="0"/>
            <w:vAlign w:val="center"/>
          </w:tcPr>
          <w:p w14:paraId="28AD0632">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28DFC547">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30C45E7E">
            <w:pPr>
              <w:spacing w:line="440" w:lineRule="exact"/>
              <w:jc w:val="center"/>
              <w:rPr>
                <w:rFonts w:hint="eastAsia" w:ascii="宋体" w:hAnsi="宋体" w:eastAsia="宋体" w:cs="宋体"/>
                <w:color w:val="auto"/>
                <w:kern w:val="0"/>
                <w:szCs w:val="21"/>
                <w:highlight w:val="none"/>
              </w:rPr>
            </w:pPr>
          </w:p>
        </w:tc>
      </w:tr>
      <w:tr w14:paraId="54533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2" w:type="dxa"/>
            <w:noWrap w:val="0"/>
            <w:vAlign w:val="center"/>
          </w:tcPr>
          <w:p w14:paraId="083B20BB">
            <w:pPr>
              <w:spacing w:line="440" w:lineRule="exact"/>
              <w:jc w:val="center"/>
              <w:rPr>
                <w:rFonts w:hint="eastAsia" w:ascii="宋体" w:hAnsi="宋体" w:eastAsia="宋体" w:cs="宋体"/>
                <w:color w:val="auto"/>
                <w:kern w:val="0"/>
                <w:szCs w:val="21"/>
                <w:highlight w:val="none"/>
              </w:rPr>
            </w:pPr>
          </w:p>
        </w:tc>
        <w:tc>
          <w:tcPr>
            <w:tcW w:w="1491" w:type="dxa"/>
            <w:noWrap w:val="0"/>
            <w:vAlign w:val="center"/>
          </w:tcPr>
          <w:p w14:paraId="33B79A57">
            <w:pPr>
              <w:spacing w:line="440" w:lineRule="exact"/>
              <w:jc w:val="center"/>
              <w:rPr>
                <w:rFonts w:hint="eastAsia" w:ascii="宋体" w:hAnsi="宋体" w:eastAsia="宋体" w:cs="宋体"/>
                <w:color w:val="auto"/>
                <w:kern w:val="0"/>
                <w:szCs w:val="21"/>
                <w:highlight w:val="none"/>
              </w:rPr>
            </w:pPr>
          </w:p>
        </w:tc>
        <w:tc>
          <w:tcPr>
            <w:tcW w:w="2147" w:type="dxa"/>
            <w:noWrap w:val="0"/>
            <w:vAlign w:val="center"/>
          </w:tcPr>
          <w:p w14:paraId="5C3EED47">
            <w:pPr>
              <w:spacing w:line="440" w:lineRule="exact"/>
              <w:jc w:val="center"/>
              <w:rPr>
                <w:rFonts w:hint="eastAsia" w:ascii="宋体" w:hAnsi="宋体" w:eastAsia="宋体" w:cs="宋体"/>
                <w:color w:val="auto"/>
                <w:kern w:val="0"/>
                <w:szCs w:val="21"/>
                <w:highlight w:val="none"/>
              </w:rPr>
            </w:pPr>
          </w:p>
        </w:tc>
        <w:tc>
          <w:tcPr>
            <w:tcW w:w="2082" w:type="dxa"/>
            <w:noWrap w:val="0"/>
            <w:vAlign w:val="center"/>
          </w:tcPr>
          <w:p w14:paraId="3141D896">
            <w:pPr>
              <w:spacing w:line="440" w:lineRule="exact"/>
              <w:jc w:val="center"/>
              <w:rPr>
                <w:rFonts w:hint="eastAsia" w:ascii="宋体" w:hAnsi="宋体" w:eastAsia="宋体" w:cs="宋体"/>
                <w:color w:val="auto"/>
                <w:kern w:val="0"/>
                <w:szCs w:val="21"/>
                <w:highlight w:val="none"/>
              </w:rPr>
            </w:pPr>
          </w:p>
        </w:tc>
      </w:tr>
    </w:tbl>
    <w:p w14:paraId="6F99202B">
      <w:pPr>
        <w:spacing w:line="440" w:lineRule="exact"/>
        <w:ind w:firstLine="422" w:firstLineChars="200"/>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B-4 委托人提供的设备</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7909B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noWrap w:val="0"/>
            <w:vAlign w:val="center"/>
          </w:tcPr>
          <w:p w14:paraId="28DF56D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名称</w:t>
            </w:r>
          </w:p>
        </w:tc>
        <w:tc>
          <w:tcPr>
            <w:tcW w:w="1590" w:type="dxa"/>
            <w:noWrap w:val="0"/>
            <w:vAlign w:val="center"/>
          </w:tcPr>
          <w:p w14:paraId="27B3D7E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2130" w:type="dxa"/>
            <w:noWrap w:val="0"/>
            <w:vAlign w:val="center"/>
          </w:tcPr>
          <w:p w14:paraId="1EDCBCC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型号与规格</w:t>
            </w:r>
          </w:p>
        </w:tc>
        <w:tc>
          <w:tcPr>
            <w:tcW w:w="1860" w:type="dxa"/>
            <w:noWrap w:val="0"/>
            <w:vAlign w:val="center"/>
          </w:tcPr>
          <w:p w14:paraId="40355DB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提供时间</w:t>
            </w:r>
          </w:p>
        </w:tc>
      </w:tr>
      <w:tr w14:paraId="75E1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noWrap w:val="0"/>
            <w:vAlign w:val="center"/>
          </w:tcPr>
          <w:p w14:paraId="5316BDD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 通讯设备</w:t>
            </w:r>
          </w:p>
        </w:tc>
        <w:tc>
          <w:tcPr>
            <w:tcW w:w="1590" w:type="dxa"/>
            <w:noWrap w:val="0"/>
            <w:vAlign w:val="center"/>
          </w:tcPr>
          <w:p w14:paraId="3B143C28">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53ACE9F6">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76B0A664">
            <w:pPr>
              <w:spacing w:line="440" w:lineRule="exact"/>
              <w:jc w:val="center"/>
              <w:rPr>
                <w:rFonts w:hint="eastAsia" w:ascii="宋体" w:hAnsi="宋体" w:eastAsia="宋体" w:cs="宋体"/>
                <w:color w:val="auto"/>
                <w:szCs w:val="21"/>
                <w:highlight w:val="none"/>
              </w:rPr>
            </w:pPr>
          </w:p>
        </w:tc>
      </w:tr>
      <w:tr w14:paraId="1A8BF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noWrap w:val="0"/>
            <w:vAlign w:val="center"/>
          </w:tcPr>
          <w:p w14:paraId="1F308DC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 办公设备</w:t>
            </w:r>
          </w:p>
        </w:tc>
        <w:tc>
          <w:tcPr>
            <w:tcW w:w="1590" w:type="dxa"/>
            <w:noWrap w:val="0"/>
            <w:vAlign w:val="center"/>
          </w:tcPr>
          <w:p w14:paraId="61C43F78">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505E1ECD">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4B0DC614">
            <w:pPr>
              <w:spacing w:line="440" w:lineRule="exact"/>
              <w:jc w:val="center"/>
              <w:rPr>
                <w:rFonts w:hint="eastAsia" w:ascii="宋体" w:hAnsi="宋体" w:eastAsia="宋体" w:cs="宋体"/>
                <w:color w:val="auto"/>
                <w:szCs w:val="21"/>
                <w:highlight w:val="none"/>
              </w:rPr>
            </w:pPr>
          </w:p>
        </w:tc>
      </w:tr>
      <w:tr w14:paraId="4AC6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noWrap w:val="0"/>
            <w:vAlign w:val="center"/>
          </w:tcPr>
          <w:p w14:paraId="37157E1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 交通工具</w:t>
            </w:r>
          </w:p>
        </w:tc>
        <w:tc>
          <w:tcPr>
            <w:tcW w:w="1590" w:type="dxa"/>
            <w:noWrap w:val="0"/>
            <w:vAlign w:val="center"/>
          </w:tcPr>
          <w:p w14:paraId="7FCD88C7">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1F65E9FE">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3377B134">
            <w:pPr>
              <w:spacing w:line="440" w:lineRule="exact"/>
              <w:jc w:val="center"/>
              <w:rPr>
                <w:rFonts w:hint="eastAsia" w:ascii="宋体" w:hAnsi="宋体" w:eastAsia="宋体" w:cs="宋体"/>
                <w:color w:val="auto"/>
                <w:szCs w:val="21"/>
                <w:highlight w:val="none"/>
              </w:rPr>
            </w:pPr>
          </w:p>
        </w:tc>
      </w:tr>
      <w:tr w14:paraId="65ECF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noWrap w:val="0"/>
            <w:vAlign w:val="center"/>
          </w:tcPr>
          <w:p w14:paraId="3661FC9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 检测和试验设备</w:t>
            </w:r>
          </w:p>
        </w:tc>
        <w:tc>
          <w:tcPr>
            <w:tcW w:w="1590" w:type="dxa"/>
            <w:noWrap w:val="0"/>
            <w:vAlign w:val="center"/>
          </w:tcPr>
          <w:p w14:paraId="079B867F">
            <w:pPr>
              <w:spacing w:line="440" w:lineRule="exact"/>
              <w:jc w:val="center"/>
              <w:rPr>
                <w:rFonts w:hint="eastAsia" w:ascii="宋体" w:hAnsi="宋体" w:eastAsia="宋体" w:cs="宋体"/>
                <w:color w:val="auto"/>
                <w:szCs w:val="21"/>
                <w:highlight w:val="none"/>
              </w:rPr>
            </w:pPr>
          </w:p>
        </w:tc>
        <w:tc>
          <w:tcPr>
            <w:tcW w:w="2130" w:type="dxa"/>
            <w:noWrap w:val="0"/>
            <w:vAlign w:val="center"/>
          </w:tcPr>
          <w:p w14:paraId="6306BA03">
            <w:pPr>
              <w:spacing w:line="440" w:lineRule="exact"/>
              <w:jc w:val="center"/>
              <w:rPr>
                <w:rFonts w:hint="eastAsia" w:ascii="宋体" w:hAnsi="宋体" w:eastAsia="宋体" w:cs="宋体"/>
                <w:color w:val="auto"/>
                <w:szCs w:val="21"/>
                <w:highlight w:val="none"/>
              </w:rPr>
            </w:pPr>
          </w:p>
        </w:tc>
        <w:tc>
          <w:tcPr>
            <w:tcW w:w="1860" w:type="dxa"/>
            <w:noWrap w:val="0"/>
            <w:vAlign w:val="center"/>
          </w:tcPr>
          <w:p w14:paraId="1223F460">
            <w:pPr>
              <w:spacing w:line="440" w:lineRule="exact"/>
              <w:jc w:val="center"/>
              <w:rPr>
                <w:rFonts w:hint="eastAsia" w:ascii="宋体" w:hAnsi="宋体" w:eastAsia="宋体" w:cs="宋体"/>
                <w:color w:val="auto"/>
                <w:szCs w:val="21"/>
                <w:highlight w:val="none"/>
              </w:rPr>
            </w:pPr>
          </w:p>
        </w:tc>
      </w:tr>
    </w:tbl>
    <w:p w14:paraId="3D7767AC">
      <w:pPr>
        <w:tabs>
          <w:tab w:val="left" w:pos="3120"/>
        </w:tabs>
        <w:spacing w:beforeLines="50" w:afterLines="50" w:line="440" w:lineRule="exact"/>
        <w:jc w:val="center"/>
        <w:rPr>
          <w:rFonts w:hint="eastAsia" w:ascii="宋体" w:hAnsi="宋体" w:cs="宋体"/>
          <w:b/>
          <w:bCs/>
          <w:sz w:val="28"/>
          <w:szCs w:val="28"/>
          <w:highlight w:val="none"/>
        </w:rPr>
      </w:pPr>
    </w:p>
    <w:p w14:paraId="5D4896D0">
      <w:pPr>
        <w:tabs>
          <w:tab w:val="left" w:pos="3120"/>
        </w:tabs>
        <w:spacing w:beforeLines="50" w:afterLines="50" w:line="440" w:lineRule="exact"/>
        <w:jc w:val="center"/>
        <w:rPr>
          <w:rFonts w:hint="eastAsia" w:ascii="宋体" w:hAnsi="宋体" w:cs="宋体"/>
          <w:b/>
          <w:bCs/>
          <w:sz w:val="28"/>
          <w:szCs w:val="28"/>
          <w:highlight w:val="none"/>
        </w:rPr>
      </w:pPr>
    </w:p>
    <w:p w14:paraId="57E35DF3">
      <w:pPr>
        <w:pStyle w:val="2"/>
        <w:rPr>
          <w:rFonts w:hint="eastAsia" w:ascii="宋体" w:hAnsi="宋体" w:cs="宋体"/>
          <w:b/>
          <w:bCs/>
          <w:sz w:val="28"/>
          <w:szCs w:val="28"/>
          <w:highlight w:val="none"/>
        </w:rPr>
      </w:pPr>
    </w:p>
    <w:p w14:paraId="747280C7">
      <w:pPr>
        <w:rPr>
          <w:rFonts w:hint="eastAsia" w:ascii="宋体" w:hAnsi="宋体" w:cs="宋体"/>
          <w:b/>
          <w:bCs/>
          <w:sz w:val="28"/>
          <w:szCs w:val="28"/>
          <w:highlight w:val="none"/>
        </w:rPr>
      </w:pPr>
    </w:p>
    <w:p w14:paraId="0B0C534D">
      <w:pPr>
        <w:pStyle w:val="2"/>
        <w:rPr>
          <w:rFonts w:hint="eastAsia" w:ascii="宋体" w:hAnsi="宋体" w:cs="宋体"/>
          <w:b/>
          <w:bCs/>
          <w:sz w:val="28"/>
          <w:szCs w:val="28"/>
          <w:highlight w:val="none"/>
        </w:rPr>
      </w:pPr>
    </w:p>
    <w:p w14:paraId="09A83084">
      <w:pPr>
        <w:rPr>
          <w:rFonts w:hint="eastAsia" w:ascii="宋体" w:hAnsi="宋体" w:cs="宋体"/>
          <w:b/>
          <w:bCs/>
          <w:sz w:val="28"/>
          <w:szCs w:val="28"/>
          <w:highlight w:val="none"/>
        </w:rPr>
      </w:pPr>
    </w:p>
    <w:p w14:paraId="17E0D407">
      <w:pPr>
        <w:pStyle w:val="2"/>
        <w:rPr>
          <w:rFonts w:hint="eastAsia" w:ascii="宋体" w:hAnsi="宋体" w:cs="宋体"/>
          <w:b/>
          <w:bCs/>
          <w:sz w:val="28"/>
          <w:szCs w:val="28"/>
          <w:highlight w:val="none"/>
        </w:rPr>
      </w:pPr>
    </w:p>
    <w:p w14:paraId="09E221A9">
      <w:pPr>
        <w:rPr>
          <w:rFonts w:hint="eastAsia" w:ascii="宋体" w:hAnsi="宋体" w:cs="宋体"/>
          <w:b/>
          <w:bCs/>
          <w:sz w:val="28"/>
          <w:szCs w:val="28"/>
          <w:highlight w:val="none"/>
        </w:rPr>
      </w:pPr>
    </w:p>
    <w:p w14:paraId="4FAF7184">
      <w:pPr>
        <w:pStyle w:val="2"/>
        <w:rPr>
          <w:rFonts w:hint="eastAsia" w:ascii="宋体" w:hAnsi="宋体" w:cs="宋体"/>
          <w:b/>
          <w:bCs/>
          <w:sz w:val="28"/>
          <w:szCs w:val="28"/>
          <w:highlight w:val="none"/>
        </w:rPr>
      </w:pPr>
    </w:p>
    <w:p w14:paraId="26B41639">
      <w:pPr>
        <w:rPr>
          <w:rFonts w:hint="eastAsia" w:ascii="宋体" w:hAnsi="宋体" w:cs="宋体"/>
          <w:b/>
          <w:bCs/>
          <w:sz w:val="28"/>
          <w:szCs w:val="28"/>
          <w:highlight w:val="none"/>
        </w:rPr>
      </w:pPr>
    </w:p>
    <w:p w14:paraId="18867940">
      <w:pPr>
        <w:pStyle w:val="2"/>
        <w:rPr>
          <w:rFonts w:hint="eastAsia" w:ascii="宋体" w:hAnsi="宋体" w:cs="宋体"/>
          <w:b/>
          <w:bCs/>
          <w:sz w:val="28"/>
          <w:szCs w:val="28"/>
          <w:highlight w:val="none"/>
        </w:rPr>
      </w:pPr>
    </w:p>
    <w:p w14:paraId="5246B775">
      <w:pPr>
        <w:rPr>
          <w:rFonts w:hint="eastAsia" w:ascii="宋体" w:hAnsi="宋体" w:cs="宋体"/>
          <w:b/>
          <w:bCs/>
          <w:sz w:val="28"/>
          <w:szCs w:val="28"/>
          <w:highlight w:val="none"/>
        </w:rPr>
      </w:pPr>
    </w:p>
    <w:p w14:paraId="2CE4CB33">
      <w:pPr>
        <w:pStyle w:val="2"/>
        <w:rPr>
          <w:rFonts w:hint="eastAsia" w:ascii="宋体" w:hAnsi="宋体" w:cs="宋体"/>
          <w:b/>
          <w:bCs/>
          <w:sz w:val="28"/>
          <w:szCs w:val="28"/>
          <w:highlight w:val="none"/>
        </w:rPr>
      </w:pPr>
    </w:p>
    <w:p w14:paraId="2249242A">
      <w:pPr>
        <w:rPr>
          <w:rFonts w:hint="eastAsia" w:ascii="宋体" w:hAnsi="宋体" w:cs="宋体"/>
          <w:b/>
          <w:bCs/>
          <w:sz w:val="28"/>
          <w:szCs w:val="28"/>
          <w:highlight w:val="none"/>
        </w:rPr>
      </w:pPr>
    </w:p>
    <w:p w14:paraId="6C4E8CF0">
      <w:pPr>
        <w:pStyle w:val="2"/>
        <w:rPr>
          <w:rFonts w:hint="eastAsia"/>
        </w:rPr>
      </w:pPr>
    </w:p>
    <w:bookmarkEnd w:id="830"/>
    <w:bookmarkEnd w:id="831"/>
    <w:bookmarkEnd w:id="832"/>
    <w:bookmarkEnd w:id="833"/>
    <w:p w14:paraId="6B026D95">
      <w:pPr>
        <w:rPr>
          <w:highlight w:val="none"/>
        </w:rPr>
      </w:pPr>
    </w:p>
    <w:p w14:paraId="6A9572DA">
      <w:pPr>
        <w:pStyle w:val="44"/>
        <w:numPr>
          <w:ilvl w:val="0"/>
          <w:numId w:val="2"/>
        </w:numPr>
        <w:spacing w:beforeLines="50" w:afterLines="50" w:line="440" w:lineRule="exact"/>
        <w:rPr>
          <w:rFonts w:hint="eastAsia"/>
          <w:bCs/>
          <w:szCs w:val="32"/>
          <w:highlight w:val="none"/>
        </w:rPr>
      </w:pPr>
      <w:bookmarkStart w:id="890" w:name="_Toc35425136"/>
      <w:bookmarkStart w:id="891" w:name="_Toc246996354"/>
      <w:bookmarkStart w:id="892" w:name="_Toc152042575"/>
      <w:bookmarkStart w:id="893" w:name="_Toc247085872"/>
      <w:bookmarkStart w:id="894" w:name="_Toc324404888"/>
      <w:bookmarkStart w:id="895" w:name="_Toc506107340"/>
      <w:bookmarkStart w:id="896" w:name="_Toc179632806"/>
      <w:bookmarkStart w:id="897" w:name="_Toc246997097"/>
      <w:bookmarkStart w:id="898" w:name="_Toc35424970"/>
      <w:bookmarkStart w:id="899" w:name="_Toc152045786"/>
      <w:bookmarkStart w:id="900" w:name="_Toc144974855"/>
      <w:bookmarkStart w:id="901" w:name="_Toc78803398"/>
      <w:bookmarkStart w:id="902" w:name="_Toc15058934"/>
      <w:r>
        <w:rPr>
          <w:rFonts w:hint="eastAsia"/>
          <w:bCs/>
          <w:szCs w:val="32"/>
          <w:highlight w:val="none"/>
        </w:rPr>
        <w:br w:type="page"/>
      </w:r>
      <w:r>
        <w:rPr>
          <w:rFonts w:hint="eastAsia"/>
          <w:bCs/>
          <w:szCs w:val="32"/>
          <w:highlight w:val="none"/>
        </w:rPr>
        <w:t xml:space="preserve"> 投标文件格式</w:t>
      </w:r>
      <w:bookmarkEnd w:id="890"/>
      <w:bookmarkEnd w:id="891"/>
      <w:bookmarkEnd w:id="892"/>
      <w:bookmarkEnd w:id="893"/>
      <w:bookmarkEnd w:id="894"/>
      <w:bookmarkEnd w:id="895"/>
      <w:bookmarkEnd w:id="896"/>
      <w:bookmarkEnd w:id="897"/>
      <w:bookmarkEnd w:id="898"/>
      <w:bookmarkEnd w:id="899"/>
      <w:bookmarkEnd w:id="900"/>
      <w:bookmarkEnd w:id="901"/>
      <w:bookmarkEnd w:id="902"/>
    </w:p>
    <w:p w14:paraId="3847315B">
      <w:pPr>
        <w:pStyle w:val="44"/>
        <w:numPr>
          <w:ilvl w:val="0"/>
          <w:numId w:val="0"/>
        </w:numPr>
        <w:spacing w:beforeLines="50" w:afterLines="50" w:line="440" w:lineRule="exact"/>
        <w:jc w:val="right"/>
        <w:rPr>
          <w:rFonts w:hint="default" w:eastAsia="宋体"/>
          <w:bCs/>
          <w:szCs w:val="32"/>
          <w:highlight w:val="none"/>
          <w:lang w:val="en-US" w:eastAsia="zh-CN"/>
        </w:rPr>
      </w:pPr>
      <w:r>
        <w:rPr>
          <w:rFonts w:hint="eastAsia"/>
          <w:bCs/>
          <w:szCs w:val="32"/>
          <w:highlight w:val="none"/>
          <w:lang w:val="en-US" w:eastAsia="zh-CN"/>
        </w:rPr>
        <w:t>正本/副本</w:t>
      </w:r>
    </w:p>
    <w:p w14:paraId="1BA15C9C">
      <w:pPr>
        <w:rPr>
          <w:highlight w:val="none"/>
        </w:rPr>
      </w:pPr>
    </w:p>
    <w:p w14:paraId="3F040955">
      <w:pPr>
        <w:rPr>
          <w:highlight w:val="none"/>
        </w:rPr>
      </w:pPr>
    </w:p>
    <w:p w14:paraId="6AD5AF8E">
      <w:pPr>
        <w:rPr>
          <w:highlight w:val="none"/>
        </w:rPr>
      </w:pPr>
    </w:p>
    <w:p w14:paraId="77C4945D">
      <w:pPr>
        <w:jc w:val="center"/>
        <w:rPr>
          <w:rFonts w:eastAsia="黑体"/>
          <w:sz w:val="20"/>
          <w:szCs w:val="20"/>
          <w:highlight w:val="none"/>
        </w:rPr>
      </w:pPr>
      <w:r>
        <w:rPr>
          <w:rFonts w:eastAsia="黑体"/>
          <w:sz w:val="28"/>
          <w:szCs w:val="28"/>
          <w:highlight w:val="none"/>
        </w:rPr>
        <w:t>（项目名称）</w:t>
      </w:r>
    </w:p>
    <w:p w14:paraId="55470732">
      <w:pPr>
        <w:jc w:val="center"/>
        <w:rPr>
          <w:rFonts w:eastAsia="黑体"/>
          <w:sz w:val="20"/>
          <w:szCs w:val="20"/>
          <w:highlight w:val="none"/>
        </w:rPr>
      </w:pPr>
    </w:p>
    <w:p w14:paraId="6809ECB1">
      <w:pPr>
        <w:jc w:val="center"/>
        <w:rPr>
          <w:rFonts w:eastAsia="黑体"/>
          <w:sz w:val="20"/>
          <w:szCs w:val="20"/>
          <w:highlight w:val="none"/>
        </w:rPr>
      </w:pPr>
    </w:p>
    <w:p w14:paraId="3ED3CAC2">
      <w:pPr>
        <w:jc w:val="center"/>
        <w:rPr>
          <w:rFonts w:eastAsia="黑体"/>
          <w:sz w:val="20"/>
          <w:szCs w:val="20"/>
          <w:highlight w:val="none"/>
        </w:rPr>
      </w:pPr>
    </w:p>
    <w:p w14:paraId="624227AF">
      <w:pPr>
        <w:rPr>
          <w:rFonts w:eastAsia="黑体"/>
          <w:sz w:val="20"/>
          <w:szCs w:val="20"/>
          <w:highlight w:val="none"/>
        </w:rPr>
      </w:pPr>
    </w:p>
    <w:p w14:paraId="3926FFA7">
      <w:pPr>
        <w:jc w:val="center"/>
        <w:rPr>
          <w:rFonts w:eastAsia="黑体"/>
          <w:sz w:val="44"/>
          <w:szCs w:val="44"/>
          <w:highlight w:val="none"/>
        </w:rPr>
      </w:pPr>
      <w:r>
        <w:rPr>
          <w:rFonts w:eastAsia="黑体"/>
          <w:sz w:val="44"/>
          <w:szCs w:val="44"/>
          <w:highlight w:val="none"/>
        </w:rPr>
        <w:t>投  标  文  件</w:t>
      </w:r>
      <w:r>
        <w:rPr>
          <w:rFonts w:hint="eastAsia" w:eastAsia="黑体"/>
          <w:sz w:val="44"/>
          <w:szCs w:val="44"/>
          <w:highlight w:val="none"/>
        </w:rPr>
        <w:t xml:space="preserve"> </w:t>
      </w:r>
    </w:p>
    <w:p w14:paraId="1C3FC352">
      <w:pPr>
        <w:rPr>
          <w:rFonts w:eastAsia="黑体"/>
          <w:sz w:val="28"/>
          <w:szCs w:val="28"/>
          <w:highlight w:val="none"/>
        </w:rPr>
      </w:pPr>
    </w:p>
    <w:p w14:paraId="0D3EEB6F">
      <w:pPr>
        <w:rPr>
          <w:rFonts w:eastAsia="黑体"/>
          <w:sz w:val="28"/>
          <w:szCs w:val="28"/>
          <w:highlight w:val="none"/>
        </w:rPr>
      </w:pPr>
    </w:p>
    <w:p w14:paraId="7B6A968B">
      <w:pPr>
        <w:rPr>
          <w:rFonts w:eastAsia="黑体"/>
          <w:sz w:val="28"/>
          <w:szCs w:val="28"/>
          <w:highlight w:val="none"/>
        </w:rPr>
      </w:pPr>
    </w:p>
    <w:p w14:paraId="66BC7FEE">
      <w:pPr>
        <w:rPr>
          <w:rFonts w:eastAsia="黑体"/>
          <w:sz w:val="28"/>
          <w:szCs w:val="28"/>
          <w:highlight w:val="none"/>
        </w:rPr>
      </w:pPr>
    </w:p>
    <w:p w14:paraId="2ACE6EEF">
      <w:pPr>
        <w:pStyle w:val="2"/>
        <w:ind w:firstLine="420"/>
        <w:rPr>
          <w:rFonts w:ascii="Times New Roman"/>
          <w:szCs w:val="24"/>
          <w:highlight w:val="none"/>
        </w:rPr>
      </w:pPr>
    </w:p>
    <w:p w14:paraId="29F0735C">
      <w:pPr>
        <w:rPr>
          <w:rFonts w:ascii="Times New Roman"/>
          <w:szCs w:val="24"/>
          <w:highlight w:val="none"/>
        </w:rPr>
      </w:pPr>
    </w:p>
    <w:p w14:paraId="57CD2D7A">
      <w:pPr>
        <w:pStyle w:val="2"/>
        <w:rPr>
          <w:rFonts w:ascii="Times New Roman"/>
          <w:szCs w:val="24"/>
          <w:highlight w:val="none"/>
        </w:rPr>
      </w:pPr>
    </w:p>
    <w:p w14:paraId="01B001EF">
      <w:pPr>
        <w:rPr>
          <w:rFonts w:ascii="Times New Roman"/>
          <w:szCs w:val="24"/>
          <w:highlight w:val="none"/>
        </w:rPr>
      </w:pPr>
    </w:p>
    <w:p w14:paraId="5C820182">
      <w:pPr>
        <w:pStyle w:val="2"/>
      </w:pPr>
    </w:p>
    <w:p w14:paraId="6A88BE17">
      <w:pPr>
        <w:pStyle w:val="2"/>
        <w:ind w:firstLine="420"/>
        <w:rPr>
          <w:highlight w:val="none"/>
        </w:rPr>
      </w:pPr>
    </w:p>
    <w:p w14:paraId="6FB69ECB">
      <w:pPr>
        <w:rPr>
          <w:rFonts w:eastAsia="黑体"/>
          <w:sz w:val="28"/>
          <w:szCs w:val="28"/>
          <w:highlight w:val="none"/>
        </w:rPr>
      </w:pPr>
    </w:p>
    <w:p w14:paraId="0730392B">
      <w:pPr>
        <w:rPr>
          <w:rFonts w:eastAsia="黑体"/>
          <w:sz w:val="28"/>
          <w:szCs w:val="28"/>
          <w:highlight w:val="none"/>
        </w:rPr>
      </w:pPr>
    </w:p>
    <w:p w14:paraId="1D2964F1">
      <w:pPr>
        <w:jc w:val="center"/>
        <w:rPr>
          <w:rFonts w:eastAsia="黑体"/>
          <w:sz w:val="28"/>
          <w:szCs w:val="28"/>
          <w:u w:val="single"/>
        </w:rPr>
      </w:pPr>
      <w:r>
        <w:rPr>
          <w:rFonts w:hint="eastAsia" w:eastAsia="黑体"/>
          <w:sz w:val="28"/>
          <w:szCs w:val="28"/>
        </w:rPr>
        <w:t xml:space="preserve"> 投标人</w:t>
      </w:r>
      <w:r>
        <w:rPr>
          <w:rFonts w:eastAsia="黑体"/>
          <w:sz w:val="28"/>
          <w:szCs w:val="28"/>
        </w:rPr>
        <w:t>：</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w:t>
      </w:r>
      <w:r>
        <w:rPr>
          <w:rFonts w:hint="eastAsia" w:eastAsia="黑体"/>
          <w:sz w:val="28"/>
          <w:szCs w:val="28"/>
        </w:rPr>
        <w:t>盖</w:t>
      </w:r>
      <w:r>
        <w:rPr>
          <w:rFonts w:eastAsia="黑体"/>
          <w:sz w:val="28"/>
          <w:szCs w:val="28"/>
        </w:rPr>
        <w:t>章）</w:t>
      </w:r>
    </w:p>
    <w:p w14:paraId="3E3F7FFC">
      <w:pPr>
        <w:jc w:val="center"/>
        <w:rPr>
          <w:rFonts w:eastAsia="黑体"/>
          <w:sz w:val="28"/>
          <w:szCs w:val="28"/>
        </w:rPr>
      </w:pPr>
      <w:r>
        <w:rPr>
          <w:rFonts w:hint="eastAsia" w:eastAsia="黑体"/>
          <w:sz w:val="28"/>
          <w:szCs w:val="28"/>
        </w:rPr>
        <w:t xml:space="preserve">   </w:t>
      </w:r>
      <w:r>
        <w:rPr>
          <w:rFonts w:eastAsia="黑体"/>
          <w:sz w:val="28"/>
          <w:szCs w:val="28"/>
        </w:rPr>
        <w:t>法定代表人</w:t>
      </w:r>
      <w:r>
        <w:rPr>
          <w:rFonts w:hint="eastAsia" w:eastAsia="黑体"/>
          <w:sz w:val="28"/>
          <w:szCs w:val="28"/>
          <w:lang w:val="en-US" w:eastAsia="zh-CN"/>
        </w:rPr>
        <w:t>或授权委托人</w:t>
      </w:r>
      <w:r>
        <w:rPr>
          <w:rFonts w:eastAsia="黑体"/>
          <w:sz w:val="28"/>
          <w:szCs w:val="28"/>
        </w:rPr>
        <w:t>：</w:t>
      </w:r>
      <w:r>
        <w:rPr>
          <w:rFonts w:eastAsia="黑体"/>
          <w:sz w:val="28"/>
          <w:szCs w:val="28"/>
          <w:u w:val="single"/>
        </w:rPr>
        <w:t xml:space="preserve">         </w:t>
      </w:r>
      <w:r>
        <w:rPr>
          <w:rFonts w:hint="eastAsia" w:eastAsia="黑体"/>
          <w:sz w:val="28"/>
          <w:szCs w:val="28"/>
          <w:u w:val="single"/>
        </w:rPr>
        <w:t xml:space="preserve">         </w:t>
      </w:r>
      <w:r>
        <w:rPr>
          <w:rFonts w:eastAsia="黑体"/>
          <w:sz w:val="28"/>
          <w:szCs w:val="28"/>
          <w:u w:val="single"/>
        </w:rPr>
        <w:t xml:space="preserve">       </w:t>
      </w:r>
      <w:r>
        <w:rPr>
          <w:rFonts w:eastAsia="黑体"/>
          <w:sz w:val="28"/>
          <w:szCs w:val="28"/>
        </w:rPr>
        <w:t>（</w:t>
      </w:r>
      <w:r>
        <w:rPr>
          <w:rFonts w:hint="eastAsia" w:eastAsia="黑体"/>
          <w:sz w:val="28"/>
          <w:szCs w:val="28"/>
        </w:rPr>
        <w:t>签字或盖章</w:t>
      </w:r>
      <w:r>
        <w:rPr>
          <w:rFonts w:eastAsia="黑体"/>
          <w:sz w:val="28"/>
          <w:szCs w:val="28"/>
        </w:rPr>
        <w:t>）</w:t>
      </w:r>
    </w:p>
    <w:p w14:paraId="1C7ED43C">
      <w:pPr>
        <w:jc w:val="center"/>
        <w:rPr>
          <w:rFonts w:eastAsia="黑体"/>
          <w:sz w:val="28"/>
          <w:szCs w:val="28"/>
          <w:highlight w:val="none"/>
        </w:rPr>
      </w:pPr>
      <w:r>
        <w:rPr>
          <w:rFonts w:hint="eastAsia" w:eastAsia="黑体"/>
          <w:sz w:val="28"/>
          <w:szCs w:val="28"/>
          <w:highlight w:val="none"/>
          <w:u w:val="single"/>
        </w:rPr>
        <w:t xml:space="preserve">      </w:t>
      </w:r>
      <w:r>
        <w:rPr>
          <w:rFonts w:eastAsia="黑体"/>
          <w:sz w:val="28"/>
          <w:szCs w:val="28"/>
          <w:highlight w:val="none"/>
        </w:rPr>
        <w:t>年</w:t>
      </w:r>
      <w:r>
        <w:rPr>
          <w:rFonts w:hint="eastAsia" w:eastAsia="黑体"/>
          <w:sz w:val="28"/>
          <w:szCs w:val="28"/>
          <w:highlight w:val="none"/>
          <w:u w:val="single"/>
        </w:rPr>
        <w:t xml:space="preserve">     </w:t>
      </w:r>
      <w:r>
        <w:rPr>
          <w:rFonts w:eastAsia="黑体"/>
          <w:sz w:val="28"/>
          <w:szCs w:val="28"/>
          <w:highlight w:val="none"/>
        </w:rPr>
        <w:t>月</w:t>
      </w:r>
      <w:r>
        <w:rPr>
          <w:rFonts w:hint="eastAsia" w:eastAsia="黑体"/>
          <w:sz w:val="28"/>
          <w:szCs w:val="28"/>
          <w:highlight w:val="none"/>
          <w:u w:val="single"/>
        </w:rPr>
        <w:t xml:space="preserve">     </w:t>
      </w:r>
      <w:r>
        <w:rPr>
          <w:rFonts w:eastAsia="黑体"/>
          <w:sz w:val="28"/>
          <w:szCs w:val="28"/>
          <w:highlight w:val="none"/>
        </w:rPr>
        <w:t>日</w:t>
      </w:r>
    </w:p>
    <w:p w14:paraId="2BF17FB8">
      <w:pPr>
        <w:rPr>
          <w:highlight w:val="none"/>
        </w:rPr>
      </w:pPr>
      <w:bookmarkStart w:id="903" w:name="_Toc35425137"/>
      <w:bookmarkStart w:id="904" w:name="_Toc12683"/>
      <w:bookmarkStart w:id="905" w:name="_Toc35424971"/>
    </w:p>
    <w:p w14:paraId="79755BB8">
      <w:pPr>
        <w:spacing w:beforeLines="50" w:afterLines="50" w:line="440" w:lineRule="exact"/>
        <w:ind w:firstLine="643" w:firstLineChars="200"/>
        <w:jc w:val="center"/>
        <w:rPr>
          <w:rFonts w:ascii="宋体" w:hAnsi="宋体" w:cs="宋体"/>
          <w:b/>
          <w:sz w:val="28"/>
          <w:szCs w:val="28"/>
          <w:highlight w:val="none"/>
        </w:rPr>
      </w:pPr>
      <w:bookmarkStart w:id="906" w:name="_Toc78803399"/>
      <w:r>
        <w:rPr>
          <w:rStyle w:val="120"/>
          <w:rFonts w:hint="eastAsia" w:ascii="宋体" w:hAnsi="宋体" w:cs="宋体"/>
          <w:sz w:val="32"/>
          <w:highlight w:val="none"/>
        </w:rPr>
        <w:br w:type="page"/>
      </w:r>
      <w:bookmarkEnd w:id="903"/>
      <w:bookmarkEnd w:id="904"/>
      <w:bookmarkEnd w:id="905"/>
      <w:bookmarkEnd w:id="906"/>
      <w:r>
        <w:rPr>
          <w:rFonts w:hint="eastAsia" w:ascii="宋体" w:hAnsi="宋体" w:cs="宋体"/>
          <w:b/>
          <w:sz w:val="28"/>
          <w:szCs w:val="28"/>
          <w:highlight w:val="none"/>
        </w:rPr>
        <w:t>目</w:t>
      </w:r>
      <w:r>
        <w:rPr>
          <w:rFonts w:hint="eastAsia" w:ascii="宋体" w:hAnsi="宋体" w:cs="宋体"/>
          <w:b/>
          <w:sz w:val="28"/>
          <w:szCs w:val="28"/>
          <w:highlight w:val="none"/>
          <w:lang w:val="en-US" w:eastAsia="zh-CN"/>
        </w:rPr>
        <w:t xml:space="preserve">  </w:t>
      </w:r>
      <w:r>
        <w:rPr>
          <w:rFonts w:hint="eastAsia" w:ascii="宋体" w:hAnsi="宋体" w:cs="宋体"/>
          <w:b/>
          <w:sz w:val="28"/>
          <w:szCs w:val="28"/>
          <w:highlight w:val="none"/>
        </w:rPr>
        <w:t>录</w:t>
      </w:r>
    </w:p>
    <w:p w14:paraId="5BB5831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（1）法定代表人身份证明文件和本人有效身份证(或法定代表人授权委托书和委托代理人有效身份证)；</w:t>
      </w:r>
    </w:p>
    <w:p w14:paraId="18994D64">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（2）诚信投标承诺书；</w:t>
      </w:r>
    </w:p>
    <w:p w14:paraId="0DC32BC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（3）企业法人营业执照；</w:t>
      </w:r>
    </w:p>
    <w:p w14:paraId="2A0A6680">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（4）企业资质证书；</w:t>
      </w:r>
    </w:p>
    <w:p w14:paraId="0048055E">
      <w:pPr>
        <w:spacing w:line="440" w:lineRule="exact"/>
        <w:ind w:firstLine="420" w:firstLineChars="200"/>
        <w:jc w:val="left"/>
        <w:rPr>
          <w:rFonts w:hint="eastAsia" w:ascii="宋体" w:hAnsi="宋体" w:eastAsia="宋体" w:cs="宋体"/>
          <w:szCs w:val="21"/>
          <w:highlight w:val="none"/>
          <w:lang w:eastAsia="zh-CN"/>
        </w:rPr>
      </w:pPr>
      <w:r>
        <w:rPr>
          <w:rFonts w:hint="eastAsia" w:ascii="宋体" w:hAnsi="宋体" w:cs="宋体"/>
          <w:szCs w:val="21"/>
          <w:highlight w:val="none"/>
          <w:lang w:eastAsia="zh-CN"/>
        </w:rPr>
        <w:t>（</w:t>
      </w:r>
      <w:r>
        <w:rPr>
          <w:rFonts w:hint="eastAsia" w:ascii="宋体" w:hAnsi="宋体" w:cs="宋体"/>
          <w:szCs w:val="21"/>
          <w:highlight w:val="none"/>
          <w:lang w:val="en-US" w:eastAsia="zh-CN"/>
        </w:rPr>
        <w:t>5</w:t>
      </w:r>
      <w:r>
        <w:rPr>
          <w:rFonts w:hint="eastAsia" w:ascii="宋体" w:hAnsi="宋体" w:cs="宋体"/>
          <w:szCs w:val="21"/>
          <w:highlight w:val="none"/>
          <w:lang w:eastAsia="zh-CN"/>
        </w:rPr>
        <w:t>）</w:t>
      </w:r>
      <w:r>
        <w:rPr>
          <w:rFonts w:hint="eastAsia" w:ascii="宋体" w:hAnsi="宋体" w:cs="宋体"/>
          <w:szCs w:val="21"/>
          <w:highlight w:val="none"/>
        </w:rPr>
        <w:t>拟派项目负责人（总监理工程师）的有效身份证及在本单位注册的国家注册监理工程师证书</w:t>
      </w:r>
      <w:r>
        <w:rPr>
          <w:rFonts w:hint="eastAsia" w:ascii="宋体" w:hAnsi="宋体" w:cs="宋体"/>
          <w:szCs w:val="21"/>
          <w:highlight w:val="none"/>
          <w:lang w:eastAsia="zh-CN"/>
        </w:rPr>
        <w:t>；</w:t>
      </w:r>
    </w:p>
    <w:p w14:paraId="6304433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）投标人的法定代表人(或委托代理人)</w:t>
      </w:r>
      <w:r>
        <w:rPr>
          <w:rFonts w:hint="eastAsia" w:ascii="宋体" w:hAnsi="宋体" w:cs="宋体"/>
          <w:szCs w:val="21"/>
          <w:highlight w:val="none"/>
          <w:lang w:val="en-US" w:eastAsia="zh-CN"/>
        </w:rPr>
        <w:t>和</w:t>
      </w:r>
      <w:r>
        <w:rPr>
          <w:rFonts w:hint="eastAsia" w:ascii="宋体" w:hAnsi="宋体" w:cs="宋体"/>
          <w:szCs w:val="21"/>
          <w:highlight w:val="none"/>
        </w:rPr>
        <w:t>拟任项目负责人（总监理工程师）须持有社保部门出具的本单位为其缴纳的投标前近三个月连续的养老保险证明（含官网在线打印件，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p w14:paraId="7EF3220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w:t>
      </w:r>
      <w:r>
        <w:rPr>
          <w:rFonts w:hint="eastAsia" w:ascii="宋体" w:hAnsi="宋体"/>
          <w:szCs w:val="21"/>
        </w:rPr>
        <w:t>监理人员</w:t>
      </w:r>
      <w:r>
        <w:rPr>
          <w:rFonts w:hint="eastAsia" w:ascii="宋体" w:hAnsi="宋体"/>
          <w:szCs w:val="21"/>
          <w:lang w:val="en-US" w:eastAsia="zh-CN"/>
        </w:rPr>
        <w:t>配备</w:t>
      </w:r>
      <w:r>
        <w:rPr>
          <w:rFonts w:hint="eastAsia" w:ascii="宋体" w:hAnsi="宋体"/>
          <w:szCs w:val="21"/>
        </w:rPr>
        <w:t>名单</w:t>
      </w:r>
      <w:r>
        <w:rPr>
          <w:rFonts w:hint="eastAsia"/>
          <w:color w:val="auto"/>
          <w:lang w:eastAsia="zh-CN"/>
        </w:rPr>
        <w:t>；</w:t>
      </w:r>
    </w:p>
    <w:p w14:paraId="49FD898D">
      <w:pPr>
        <w:spacing w:line="440" w:lineRule="exact"/>
        <w:ind w:firstLine="420" w:firstLineChars="200"/>
        <w:jc w:val="left"/>
        <w:rPr>
          <w:rFonts w:hint="eastAsia" w:ascii="宋体" w:hAnsi="宋体" w:cs="宋体"/>
          <w:highlight w:val="none"/>
          <w:lang w:eastAsia="zh-CN"/>
        </w:rPr>
      </w:pPr>
      <w:r>
        <w:rPr>
          <w:rFonts w:hint="eastAsia" w:ascii="宋体" w:hAnsi="宋体" w:cs="宋体"/>
          <w:szCs w:val="21"/>
          <w:highlight w:val="none"/>
          <w:lang w:eastAsia="zh-CN"/>
        </w:rPr>
        <w:t>（</w:t>
      </w:r>
      <w:r>
        <w:rPr>
          <w:rFonts w:hint="eastAsia" w:ascii="宋体" w:hAnsi="宋体" w:cs="宋体"/>
          <w:szCs w:val="21"/>
          <w:highlight w:val="none"/>
          <w:lang w:val="en-US" w:eastAsia="zh-CN"/>
        </w:rPr>
        <w:t>8</w:t>
      </w:r>
      <w:r>
        <w:rPr>
          <w:rFonts w:hint="eastAsia" w:ascii="宋体" w:hAnsi="宋体" w:cs="宋体"/>
          <w:szCs w:val="21"/>
          <w:highlight w:val="none"/>
          <w:lang w:eastAsia="zh-CN"/>
        </w:rPr>
        <w:t>）</w:t>
      </w:r>
      <w:r>
        <w:rPr>
          <w:rFonts w:hint="eastAsia" w:ascii="宋体" w:hAnsi="宋体" w:cs="宋体"/>
          <w:highlight w:val="none"/>
        </w:rPr>
        <w:t>投标函（格式见附件）</w:t>
      </w:r>
      <w:r>
        <w:rPr>
          <w:rFonts w:hint="eastAsia" w:ascii="宋体" w:hAnsi="宋体" w:cs="宋体"/>
          <w:highlight w:val="none"/>
          <w:lang w:eastAsia="zh-CN"/>
        </w:rPr>
        <w:t>；</w:t>
      </w:r>
    </w:p>
    <w:p w14:paraId="16EC3CDA">
      <w:pPr>
        <w:spacing w:line="440" w:lineRule="exact"/>
        <w:ind w:firstLine="420" w:firstLineChars="200"/>
        <w:jc w:val="left"/>
        <w:rPr>
          <w:rFonts w:hint="default" w:ascii="宋体" w:hAnsi="宋体" w:cs="宋体"/>
          <w:highlight w:val="none"/>
          <w:lang w:val="en-US" w:eastAsia="zh-CN"/>
        </w:rPr>
      </w:pPr>
      <w:r>
        <w:rPr>
          <w:rFonts w:hint="eastAsia" w:ascii="宋体" w:hAnsi="宋体" w:cs="宋体"/>
          <w:highlight w:val="none"/>
          <w:lang w:eastAsia="zh-CN"/>
        </w:rPr>
        <w:t>（</w:t>
      </w:r>
      <w:r>
        <w:rPr>
          <w:rFonts w:hint="eastAsia" w:ascii="宋体" w:hAnsi="宋体" w:cs="宋体"/>
          <w:highlight w:val="none"/>
          <w:lang w:val="en-US" w:eastAsia="zh-CN"/>
        </w:rPr>
        <w:t>9</w:t>
      </w:r>
      <w:r>
        <w:rPr>
          <w:rFonts w:hint="eastAsia" w:ascii="宋体" w:hAnsi="宋体" w:cs="宋体"/>
          <w:highlight w:val="none"/>
          <w:lang w:eastAsia="zh-CN"/>
        </w:rPr>
        <w:t>）</w:t>
      </w:r>
      <w:r>
        <w:rPr>
          <w:rFonts w:hint="eastAsia" w:ascii="宋体" w:hAnsi="宋体" w:cs="宋体"/>
          <w:color w:val="auto"/>
          <w:szCs w:val="21"/>
        </w:rPr>
        <w:t>投标人认为需要的其它材料。</w:t>
      </w:r>
    </w:p>
    <w:p w14:paraId="281CEACD">
      <w:pPr>
        <w:spacing w:line="440" w:lineRule="exact"/>
        <w:ind w:firstLine="420" w:firstLineChars="200"/>
        <w:jc w:val="left"/>
        <w:rPr>
          <w:rFonts w:hint="eastAsia" w:ascii="宋体" w:hAnsi="宋体" w:eastAsia="宋体" w:cs="宋体"/>
          <w:szCs w:val="21"/>
          <w:highlight w:val="none"/>
          <w:lang w:eastAsia="zh-CN"/>
        </w:rPr>
      </w:pPr>
    </w:p>
    <w:p w14:paraId="11AD137F">
      <w:pPr>
        <w:spacing w:line="360" w:lineRule="auto"/>
        <w:jc w:val="center"/>
        <w:rPr>
          <w:rFonts w:ascii="宋体"/>
          <w:b/>
          <w:sz w:val="28"/>
          <w:szCs w:val="28"/>
          <w:highlight w:val="none"/>
        </w:rPr>
      </w:pPr>
      <w:r>
        <w:rPr>
          <w:rFonts w:hint="eastAsia"/>
          <w:b/>
          <w:sz w:val="28"/>
          <w:szCs w:val="28"/>
          <w:highlight w:val="none"/>
        </w:rPr>
        <w:br w:type="page"/>
      </w:r>
      <w:r>
        <w:rPr>
          <w:rFonts w:hint="eastAsia"/>
          <w:b/>
          <w:sz w:val="28"/>
          <w:szCs w:val="28"/>
          <w:highlight w:val="none"/>
        </w:rPr>
        <w:t>（1）法定代表人身份证明或授权委托书</w:t>
      </w:r>
    </w:p>
    <w:p w14:paraId="61A8048F">
      <w:pPr>
        <w:pStyle w:val="74"/>
        <w:keepNext w:val="0"/>
        <w:keepLines w:val="0"/>
        <w:pageBreakBefore w:val="0"/>
        <w:kinsoku/>
        <w:wordWrap/>
        <w:overflowPunct/>
        <w:topLinePunct w:val="0"/>
        <w:autoSpaceDE/>
        <w:autoSpaceDN/>
        <w:bidi w:val="0"/>
        <w:adjustRightInd/>
        <w:snapToGrid/>
        <w:spacing w:beforeLines="100" w:afterLines="100" w:line="440" w:lineRule="exact"/>
        <w:rPr>
          <w:rFonts w:ascii="宋体"/>
          <w:b/>
          <w:color w:val="auto"/>
          <w:sz w:val="24"/>
          <w:szCs w:val="24"/>
          <w:highlight w:val="none"/>
        </w:rPr>
      </w:pPr>
      <w:bookmarkStart w:id="907" w:name="_Toc506107356"/>
      <w:bookmarkStart w:id="908" w:name="_Toc503196197"/>
      <w:bookmarkStart w:id="909" w:name="_Toc26598"/>
      <w:r>
        <w:rPr>
          <w:rFonts w:hint="eastAsia" w:ascii="宋体"/>
          <w:color w:val="auto"/>
          <w:sz w:val="24"/>
          <w:szCs w:val="24"/>
          <w:highlight w:val="none"/>
        </w:rPr>
        <w:t>1、法定代表人身份证明</w:t>
      </w:r>
    </w:p>
    <w:p w14:paraId="0299A765">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投标人名称：</w:t>
      </w:r>
      <w:r>
        <w:rPr>
          <w:rFonts w:hint="eastAsia" w:ascii="宋体"/>
          <w:sz w:val="24"/>
          <w:highlight w:val="none"/>
          <w:u w:val="single"/>
        </w:rPr>
        <w:t xml:space="preserve">                            </w:t>
      </w:r>
    </w:p>
    <w:p w14:paraId="6A442253">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单位性质：</w:t>
      </w:r>
      <w:r>
        <w:rPr>
          <w:rFonts w:hint="eastAsia" w:ascii="宋体"/>
          <w:sz w:val="24"/>
          <w:highlight w:val="none"/>
          <w:u w:val="single"/>
        </w:rPr>
        <w:t xml:space="preserve">                              </w:t>
      </w:r>
    </w:p>
    <w:p w14:paraId="498D2138">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地    址：</w:t>
      </w:r>
      <w:r>
        <w:rPr>
          <w:rFonts w:hint="eastAsia" w:ascii="宋体"/>
          <w:sz w:val="24"/>
          <w:highlight w:val="none"/>
          <w:u w:val="single"/>
        </w:rPr>
        <w:t xml:space="preserve">                              </w:t>
      </w:r>
    </w:p>
    <w:p w14:paraId="5046A6CB">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506FCF70">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经营期限：</w:t>
      </w:r>
      <w:r>
        <w:rPr>
          <w:rFonts w:hint="eastAsia" w:ascii="宋体"/>
          <w:sz w:val="24"/>
          <w:highlight w:val="none"/>
          <w:u w:val="single"/>
        </w:rPr>
        <w:t xml:space="preserve">                              </w:t>
      </w:r>
    </w:p>
    <w:p w14:paraId="55DAFA07">
      <w:pPr>
        <w:keepNext w:val="0"/>
        <w:keepLines w:val="0"/>
        <w:pageBreakBefore w:val="0"/>
        <w:kinsoku/>
        <w:wordWrap/>
        <w:overflowPunct/>
        <w:topLinePunct w:val="0"/>
        <w:autoSpaceDE/>
        <w:autoSpaceDN/>
        <w:bidi w:val="0"/>
        <w:adjustRightInd/>
        <w:snapToGrid/>
        <w:spacing w:line="440" w:lineRule="exact"/>
        <w:jc w:val="left"/>
        <w:rPr>
          <w:rFonts w:ascii="宋体"/>
          <w:sz w:val="24"/>
          <w:highlight w:val="none"/>
          <w:u w:val="single"/>
        </w:rPr>
      </w:pPr>
      <w:r>
        <w:rPr>
          <w:rFonts w:hint="eastAsia" w:ascii="宋体"/>
          <w:spacing w:val="240"/>
          <w:sz w:val="24"/>
          <w:highlight w:val="none"/>
        </w:rPr>
        <w:t>姓</w:t>
      </w:r>
      <w:r>
        <w:rPr>
          <w:rFonts w:hint="eastAsia" w:ascii="宋体"/>
          <w:sz w:val="24"/>
          <w:highlight w:val="none"/>
        </w:rPr>
        <w:t>名：</w:t>
      </w:r>
      <w:r>
        <w:rPr>
          <w:rFonts w:hint="eastAsia" w:ascii="宋体"/>
          <w:sz w:val="24"/>
          <w:highlight w:val="none"/>
          <w:u w:val="single"/>
        </w:rPr>
        <w:t xml:space="preserve">     </w:t>
      </w:r>
      <w:r>
        <w:rPr>
          <w:rFonts w:hint="eastAsia" w:ascii="宋体"/>
          <w:sz w:val="24"/>
          <w:highlight w:val="none"/>
        </w:rPr>
        <w:t>身份证号码：</w:t>
      </w:r>
      <w:r>
        <w:rPr>
          <w:rFonts w:hint="eastAsia" w:ascii="宋体"/>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rPr>
        <w:t>，系</w:t>
      </w:r>
      <w:r>
        <w:rPr>
          <w:rFonts w:hint="eastAsia" w:ascii="宋体"/>
          <w:sz w:val="24"/>
          <w:highlight w:val="none"/>
          <w:u w:val="single"/>
        </w:rPr>
        <w:t xml:space="preserve">     （投标人名称）</w:t>
      </w:r>
      <w:r>
        <w:rPr>
          <w:rFonts w:hint="eastAsia" w:ascii="宋体"/>
          <w:sz w:val="24"/>
          <w:highlight w:val="none"/>
        </w:rPr>
        <w:t>的法定代表人。</w:t>
      </w:r>
    </w:p>
    <w:p w14:paraId="2AD1556F">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特此证明。</w:t>
      </w:r>
    </w:p>
    <w:p w14:paraId="35A7DCC8">
      <w:pPr>
        <w:keepNext w:val="0"/>
        <w:keepLines w:val="0"/>
        <w:pageBreakBefore w:val="0"/>
        <w:kinsoku/>
        <w:wordWrap/>
        <w:overflowPunct/>
        <w:topLinePunct w:val="0"/>
        <w:autoSpaceDE/>
        <w:autoSpaceDN/>
        <w:bidi w:val="0"/>
        <w:adjustRightInd/>
        <w:snapToGrid/>
        <w:spacing w:line="440" w:lineRule="exact"/>
        <w:ind w:firstLine="480" w:firstLineChars="200"/>
        <w:rPr>
          <w:highlight w:val="none"/>
        </w:rPr>
      </w:pPr>
      <w:r>
        <w:rPr>
          <w:rFonts w:hint="eastAsia" w:ascii="宋体"/>
          <w:sz w:val="24"/>
          <w:highlight w:val="none"/>
        </w:rPr>
        <w:t>附：</w:t>
      </w:r>
      <w:r>
        <w:rPr>
          <w:rFonts w:hint="eastAsia" w:ascii="宋体"/>
          <w:b/>
          <w:sz w:val="24"/>
          <w:highlight w:val="none"/>
        </w:rPr>
        <w:t>法定代表人有效身份证扫描件</w:t>
      </w:r>
    </w:p>
    <w:p w14:paraId="7602B59E">
      <w:pPr>
        <w:keepNext w:val="0"/>
        <w:keepLines w:val="0"/>
        <w:pageBreakBefore w:val="0"/>
        <w:kinsoku/>
        <w:wordWrap/>
        <w:overflowPunct/>
        <w:topLinePunct w:val="0"/>
        <w:autoSpaceDE/>
        <w:autoSpaceDN/>
        <w:bidi w:val="0"/>
        <w:adjustRightInd/>
        <w:snapToGrid/>
        <w:spacing w:line="440" w:lineRule="exact"/>
        <w:ind w:firstLine="3720" w:firstLineChars="1550"/>
        <w:rPr>
          <w:rFonts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u w:val="single"/>
          <w:lang w:val="en-US" w:eastAsia="zh-CN"/>
        </w:rPr>
        <w:t>盖</w:t>
      </w:r>
      <w:r>
        <w:rPr>
          <w:rFonts w:hint="eastAsia" w:ascii="宋体"/>
          <w:sz w:val="24"/>
          <w:highlight w:val="none"/>
          <w:u w:val="single"/>
        </w:rPr>
        <w:t>章）</w:t>
      </w:r>
    </w:p>
    <w:p w14:paraId="1135B536">
      <w:pPr>
        <w:keepNext w:val="0"/>
        <w:keepLines w:val="0"/>
        <w:pageBreakBefore w:val="0"/>
        <w:kinsoku/>
        <w:wordWrap/>
        <w:overflowPunct/>
        <w:topLinePunct w:val="0"/>
        <w:autoSpaceDE/>
        <w:autoSpaceDN/>
        <w:bidi w:val="0"/>
        <w:adjustRightInd/>
        <w:snapToGrid/>
        <w:spacing w:line="440" w:lineRule="exact"/>
        <w:rPr>
          <w:rFonts w:ascii="宋体"/>
          <w:sz w:val="24"/>
          <w:highlight w:val="none"/>
        </w:rPr>
      </w:pPr>
      <w:r>
        <w:rPr>
          <w:rFonts w:hint="eastAsia" w:ascii="宋体"/>
          <w:sz w:val="24"/>
          <w:highlight w:val="none"/>
        </w:rPr>
        <w:t xml:space="preserve">                                        年    月     日</w:t>
      </w:r>
    </w:p>
    <w:p w14:paraId="27A7BF25">
      <w:pPr>
        <w:keepNext w:val="0"/>
        <w:keepLines w:val="0"/>
        <w:pageBreakBefore w:val="0"/>
        <w:kinsoku/>
        <w:wordWrap/>
        <w:overflowPunct/>
        <w:topLinePunct w:val="0"/>
        <w:autoSpaceDE/>
        <w:autoSpaceDN/>
        <w:bidi w:val="0"/>
        <w:adjustRightInd/>
        <w:snapToGrid/>
        <w:spacing w:line="440" w:lineRule="exact"/>
        <w:rPr>
          <w:highlight w:val="none"/>
        </w:rPr>
      </w:pPr>
    </w:p>
    <w:p w14:paraId="75E4AE11">
      <w:pPr>
        <w:pStyle w:val="74"/>
        <w:keepNext w:val="0"/>
        <w:keepLines w:val="0"/>
        <w:pageBreakBefore w:val="0"/>
        <w:kinsoku/>
        <w:wordWrap/>
        <w:overflowPunct/>
        <w:topLinePunct w:val="0"/>
        <w:autoSpaceDE/>
        <w:autoSpaceDN/>
        <w:bidi w:val="0"/>
        <w:adjustRightInd/>
        <w:snapToGrid/>
        <w:spacing w:beforeLines="100" w:afterLines="100" w:line="440" w:lineRule="exact"/>
        <w:rPr>
          <w:rFonts w:ascii="宋体"/>
          <w:color w:val="auto"/>
          <w:sz w:val="24"/>
          <w:szCs w:val="24"/>
          <w:highlight w:val="none"/>
        </w:rPr>
      </w:pPr>
      <w:r>
        <w:rPr>
          <w:rFonts w:hint="eastAsia" w:ascii="宋体"/>
          <w:color w:val="auto"/>
          <w:sz w:val="24"/>
          <w:szCs w:val="24"/>
          <w:highlight w:val="none"/>
        </w:rPr>
        <w:t>或1、授权委托书</w:t>
      </w:r>
    </w:p>
    <w:p w14:paraId="2E6EB421">
      <w:pPr>
        <w:keepNext w:val="0"/>
        <w:keepLines w:val="0"/>
        <w:pageBreakBefore w:val="0"/>
        <w:kinsoku/>
        <w:wordWrap/>
        <w:overflowPunct/>
        <w:topLinePunct w:val="0"/>
        <w:autoSpaceDE/>
        <w:autoSpaceDN/>
        <w:bidi w:val="0"/>
        <w:adjustRightInd/>
        <w:snapToGrid/>
        <w:spacing w:line="440" w:lineRule="exact"/>
        <w:ind w:firstLine="480" w:firstLineChars="200"/>
        <w:jc w:val="left"/>
        <w:rPr>
          <w:rFonts w:ascii="宋体"/>
          <w:sz w:val="24"/>
          <w:highlight w:val="none"/>
        </w:rPr>
      </w:pPr>
      <w:r>
        <w:rPr>
          <w:rFonts w:hint="eastAsia" w:ascii="宋体"/>
          <w:sz w:val="24"/>
          <w:highlight w:val="none"/>
        </w:rPr>
        <w:t>本人</w:t>
      </w:r>
      <w:r>
        <w:rPr>
          <w:rFonts w:hint="eastAsia" w:ascii="宋体"/>
          <w:sz w:val="24"/>
          <w:highlight w:val="none"/>
          <w:u w:val="single"/>
        </w:rPr>
        <w:t xml:space="preserve"> （姓名）</w:t>
      </w:r>
      <w:r>
        <w:rPr>
          <w:rFonts w:hint="eastAsia" w:ascii="宋体"/>
          <w:sz w:val="24"/>
          <w:highlight w:val="none"/>
        </w:rPr>
        <w:t>系</w:t>
      </w:r>
      <w:r>
        <w:rPr>
          <w:rFonts w:hint="eastAsia" w:ascii="宋体"/>
          <w:sz w:val="24"/>
          <w:highlight w:val="none"/>
          <w:u w:val="single"/>
        </w:rPr>
        <w:t>（投标人）</w:t>
      </w:r>
      <w:r>
        <w:rPr>
          <w:rFonts w:hint="eastAsia" w:ascii="宋体"/>
          <w:sz w:val="24"/>
          <w:highlight w:val="none"/>
        </w:rPr>
        <w:t>的法定代表人，现委托</w:t>
      </w:r>
      <w:r>
        <w:rPr>
          <w:rFonts w:hint="eastAsia" w:ascii="宋体"/>
          <w:sz w:val="24"/>
          <w:highlight w:val="none"/>
          <w:u w:val="single"/>
        </w:rPr>
        <w:t>（姓名）</w:t>
      </w:r>
      <w:r>
        <w:rPr>
          <w:rFonts w:hint="eastAsia" w:ascii="宋体"/>
          <w:sz w:val="24"/>
          <w:highlight w:val="none"/>
        </w:rPr>
        <w:t>为我方代理人。代理人根据授权，以我方名义签署、澄清、说明、补正、递交、撤回、修改</w:t>
      </w:r>
      <w:r>
        <w:rPr>
          <w:rFonts w:hint="eastAsia" w:ascii="宋体"/>
          <w:sz w:val="24"/>
          <w:highlight w:val="none"/>
          <w:u w:val="single"/>
        </w:rPr>
        <w:t xml:space="preserve"> “   ”(项目名称）</w:t>
      </w:r>
      <w:r>
        <w:rPr>
          <w:rFonts w:hint="eastAsia" w:ascii="宋体"/>
          <w:sz w:val="24"/>
          <w:highlight w:val="none"/>
        </w:rPr>
        <w:t>投标文件，全权处理与该项目投标、评审答疑、签订合同以及与合同执行有关的一切事务，其法律后果由我方承担。</w:t>
      </w:r>
    </w:p>
    <w:p w14:paraId="2A854AD2">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sz w:val="24"/>
          <w:highlight w:val="none"/>
        </w:rPr>
      </w:pPr>
      <w:r>
        <w:rPr>
          <w:rFonts w:hint="eastAsia" w:ascii="宋体"/>
          <w:sz w:val="24"/>
          <w:highlight w:val="none"/>
        </w:rPr>
        <w:t>委托期限：</w:t>
      </w:r>
      <w:r>
        <w:rPr>
          <w:rFonts w:hint="eastAsia" w:ascii="宋体"/>
          <w:sz w:val="24"/>
          <w:highlight w:val="none"/>
          <w:u w:val="single"/>
          <w:lang w:val="en-US" w:eastAsia="zh-CN"/>
        </w:rPr>
        <w:t xml:space="preserve">              </w:t>
      </w:r>
      <w:r>
        <w:rPr>
          <w:rFonts w:hint="eastAsia" w:ascii="宋体" w:cs="宋体"/>
          <w:sz w:val="24"/>
          <w:highlight w:val="none"/>
        </w:rPr>
        <w:t>。</w:t>
      </w:r>
    </w:p>
    <w:p w14:paraId="01CB1C14">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sz w:val="24"/>
          <w:highlight w:val="none"/>
        </w:rPr>
      </w:pPr>
      <w:r>
        <w:rPr>
          <w:rFonts w:hint="eastAsia" w:ascii="宋体"/>
          <w:sz w:val="24"/>
          <w:highlight w:val="none"/>
        </w:rPr>
        <w:t>代理人无转委托权。</w:t>
      </w:r>
    </w:p>
    <w:p w14:paraId="2F0934AC">
      <w:pPr>
        <w:keepNext w:val="0"/>
        <w:keepLines w:val="0"/>
        <w:pageBreakBefore w:val="0"/>
        <w:kinsoku/>
        <w:wordWrap/>
        <w:overflowPunct/>
        <w:topLinePunct w:val="0"/>
        <w:autoSpaceDE/>
        <w:autoSpaceDN/>
        <w:bidi w:val="0"/>
        <w:adjustRightInd/>
        <w:snapToGrid/>
        <w:spacing w:line="440" w:lineRule="exact"/>
        <w:ind w:firstLine="480" w:firstLineChars="200"/>
        <w:rPr>
          <w:rFonts w:ascii="宋体"/>
          <w:b/>
          <w:sz w:val="24"/>
          <w:highlight w:val="none"/>
        </w:rPr>
      </w:pPr>
      <w:r>
        <w:rPr>
          <w:rFonts w:hint="eastAsia" w:ascii="宋体"/>
          <w:sz w:val="24"/>
          <w:highlight w:val="none"/>
        </w:rPr>
        <w:t>附：</w:t>
      </w:r>
      <w:r>
        <w:rPr>
          <w:rFonts w:hint="eastAsia" w:ascii="宋体"/>
          <w:b/>
          <w:sz w:val="24"/>
          <w:highlight w:val="none"/>
        </w:rPr>
        <w:t>委托代理人有效身份证扫描件</w:t>
      </w:r>
    </w:p>
    <w:p w14:paraId="6397F779">
      <w:pPr>
        <w:keepNext w:val="0"/>
        <w:keepLines w:val="0"/>
        <w:pageBreakBefore w:val="0"/>
        <w:kinsoku/>
        <w:wordWrap/>
        <w:overflowPunct/>
        <w:topLinePunct w:val="0"/>
        <w:autoSpaceDE/>
        <w:autoSpaceDN/>
        <w:bidi w:val="0"/>
        <w:adjustRightInd/>
        <w:snapToGrid/>
        <w:spacing w:line="440" w:lineRule="exact"/>
        <w:ind w:firstLine="964" w:firstLineChars="400"/>
        <w:rPr>
          <w:rFonts w:ascii="宋体"/>
          <w:b/>
          <w:sz w:val="24"/>
          <w:highlight w:val="none"/>
        </w:rPr>
      </w:pPr>
      <w:r>
        <w:rPr>
          <w:rFonts w:hint="eastAsia" w:ascii="宋体"/>
          <w:b/>
          <w:sz w:val="24"/>
          <w:highlight w:val="none"/>
        </w:rPr>
        <w:t>法定代表人有效身份证扫描件</w:t>
      </w:r>
    </w:p>
    <w:p w14:paraId="0FC78F18">
      <w:pPr>
        <w:keepNext w:val="0"/>
        <w:keepLines w:val="0"/>
        <w:pageBreakBefore w:val="0"/>
        <w:kinsoku/>
        <w:wordWrap/>
        <w:overflowPunct/>
        <w:topLinePunct w:val="0"/>
        <w:autoSpaceDE/>
        <w:autoSpaceDN/>
        <w:bidi w:val="0"/>
        <w:adjustRightInd/>
        <w:snapToGrid/>
        <w:spacing w:line="440" w:lineRule="exact"/>
        <w:ind w:firstLine="833" w:firstLineChars="397"/>
        <w:rPr>
          <w:highlight w:val="none"/>
        </w:rPr>
      </w:pPr>
    </w:p>
    <w:p w14:paraId="77384DD0">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 xml:space="preserve"> 投标人（盖章）：</w:t>
      </w:r>
    </w:p>
    <w:p w14:paraId="60253ECD">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法定代表人（身份证号码）：    （签字或盖章）</w:t>
      </w:r>
    </w:p>
    <w:p w14:paraId="5AA963F1">
      <w:pPr>
        <w:keepNext w:val="0"/>
        <w:keepLines w:val="0"/>
        <w:pageBreakBefore w:val="0"/>
        <w:kinsoku/>
        <w:wordWrap/>
        <w:overflowPunct/>
        <w:topLinePunct w:val="0"/>
        <w:autoSpaceDE/>
        <w:autoSpaceDN/>
        <w:bidi w:val="0"/>
        <w:adjustRightInd/>
        <w:snapToGrid/>
        <w:spacing w:line="440" w:lineRule="exact"/>
        <w:ind w:firstLine="3720" w:firstLineChars="1550"/>
        <w:rPr>
          <w:rFonts w:hint="eastAsia" w:ascii="宋体" w:hAnsi="Times New Roman" w:eastAsia="宋体" w:cs="Times New Roman"/>
          <w:sz w:val="24"/>
          <w:highlight w:val="none"/>
        </w:rPr>
      </w:pPr>
      <w:r>
        <w:rPr>
          <w:rFonts w:hint="eastAsia" w:ascii="宋体" w:hAnsi="Times New Roman" w:eastAsia="宋体" w:cs="Times New Roman"/>
          <w:sz w:val="24"/>
          <w:highlight w:val="none"/>
        </w:rPr>
        <w:t>委托代理人（身份证号码）：    （签字或盖章）</w:t>
      </w:r>
    </w:p>
    <w:p w14:paraId="561F4EBE">
      <w:pPr>
        <w:keepNext w:val="0"/>
        <w:keepLines w:val="0"/>
        <w:pageBreakBefore w:val="0"/>
        <w:kinsoku/>
        <w:wordWrap/>
        <w:overflowPunct/>
        <w:topLinePunct w:val="0"/>
        <w:autoSpaceDE/>
        <w:autoSpaceDN/>
        <w:bidi w:val="0"/>
        <w:adjustRightInd/>
        <w:snapToGrid/>
        <w:spacing w:line="440" w:lineRule="exact"/>
        <w:ind w:firstLine="5040" w:firstLineChars="2100"/>
        <w:rPr>
          <w:rFonts w:ascii="宋体"/>
          <w:sz w:val="24"/>
          <w:highlight w:val="none"/>
        </w:rPr>
      </w:pPr>
      <w:r>
        <w:rPr>
          <w:rFonts w:hint="eastAsia" w:ascii="宋体"/>
          <w:sz w:val="24"/>
          <w:highlight w:val="none"/>
        </w:rPr>
        <w:t xml:space="preserve">   </w:t>
      </w:r>
    </w:p>
    <w:p w14:paraId="1D6E9AF3">
      <w:pPr>
        <w:keepNext w:val="0"/>
        <w:keepLines w:val="0"/>
        <w:pageBreakBefore w:val="0"/>
        <w:kinsoku/>
        <w:wordWrap/>
        <w:overflowPunct/>
        <w:topLinePunct w:val="0"/>
        <w:autoSpaceDE/>
        <w:autoSpaceDN/>
        <w:bidi w:val="0"/>
        <w:adjustRightInd/>
        <w:snapToGrid/>
        <w:spacing w:line="440" w:lineRule="exact"/>
        <w:ind w:firstLine="5700" w:firstLineChars="2375"/>
        <w:rPr>
          <w:rFonts w:ascii="宋体"/>
          <w:sz w:val="24"/>
          <w:highlight w:val="none"/>
        </w:rPr>
      </w:pPr>
      <w:r>
        <w:rPr>
          <w:rFonts w:hint="eastAsia" w:ascii="宋体"/>
          <w:sz w:val="24"/>
          <w:highlight w:val="none"/>
        </w:rPr>
        <w:t>年    月    日</w:t>
      </w:r>
    </w:p>
    <w:p w14:paraId="10D9B89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b/>
          <w:sz w:val="28"/>
          <w:szCs w:val="28"/>
          <w:highlight w:val="none"/>
        </w:rPr>
      </w:pPr>
      <w:r>
        <w:rPr>
          <w:rFonts w:hint="eastAsia"/>
          <w:b/>
          <w:sz w:val="28"/>
          <w:szCs w:val="28"/>
          <w:highlight w:val="none"/>
        </w:rPr>
        <w:t>（2）诚信投标承诺书</w:t>
      </w:r>
      <w:bookmarkEnd w:id="907"/>
      <w:bookmarkEnd w:id="908"/>
      <w:bookmarkEnd w:id="909"/>
    </w:p>
    <w:p w14:paraId="1C62022F">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szCs w:val="21"/>
          <w:highlight w:val="none"/>
        </w:rPr>
      </w:pPr>
      <w:r>
        <w:rPr>
          <w:rFonts w:hint="eastAsia" w:ascii="宋体" w:hAnsi="宋体"/>
          <w:szCs w:val="21"/>
          <w:highlight w:val="none"/>
        </w:rPr>
        <w:t>本人以企业法定代表人的身份郑重承诺：</w:t>
      </w:r>
    </w:p>
    <w:p w14:paraId="07A9C106">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szCs w:val="21"/>
          <w:highlight w:val="none"/>
        </w:rPr>
      </w:pPr>
      <w:r>
        <w:rPr>
          <w:rFonts w:hint="eastAsia" w:ascii="宋体" w:hAnsi="宋体"/>
          <w:szCs w:val="21"/>
          <w:highlight w:val="none"/>
        </w:rPr>
        <w:t>一、将遵循公开、公正和诚实信用的原则自愿参加</w:t>
      </w:r>
      <w:r>
        <w:rPr>
          <w:rFonts w:hint="eastAsia" w:ascii="宋体" w:hAnsi="宋体"/>
          <w:szCs w:val="21"/>
          <w:highlight w:val="none"/>
          <w:u w:val="single"/>
        </w:rPr>
        <w:t xml:space="preserve">       （项目名称）        </w:t>
      </w:r>
      <w:r>
        <w:rPr>
          <w:rFonts w:hint="eastAsia" w:ascii="宋体" w:hAnsi="宋体"/>
          <w:szCs w:val="21"/>
          <w:highlight w:val="none"/>
        </w:rPr>
        <w:t>项目的投标；</w:t>
      </w:r>
    </w:p>
    <w:p w14:paraId="6FA7510C">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二、所提供的一切材料都是真实、有效、合法的；</w:t>
      </w:r>
    </w:p>
    <w:p w14:paraId="72C97043">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三、不出借、转让资质证书，不让他人挂靠投标，不以他人名义投标或者以其他方式弄虚作假，骗取中标；</w:t>
      </w:r>
    </w:p>
    <w:p w14:paraId="38F96393">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四、不与其他投标人相互串通投标报价，不排挤其他投标人的公平竞争、损害招标人的合法权益；</w:t>
      </w:r>
    </w:p>
    <w:p w14:paraId="267661EF">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五、不与招标人、招标代理机构或其他投标人串通投标，损害国家利益、社会公共利益或者他人的合法权益；</w:t>
      </w:r>
    </w:p>
    <w:p w14:paraId="57541D1D">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lang w:val="en-US" w:eastAsia="zh-CN"/>
        </w:rPr>
      </w:pPr>
      <w:r>
        <w:rPr>
          <w:rFonts w:hint="eastAsia" w:ascii="宋体" w:hAnsi="宋体" w:eastAsia="宋体" w:cs="Times New Roman"/>
          <w:szCs w:val="21"/>
          <w:highlight w:val="none"/>
        </w:rPr>
        <w:t>六、投标企业及其法定代表人、拟任项目负责人没有下列情形： 1、被人民法院列入失信被执行人的；2、近三年被人民检察院列入行贿犯罪档案的；3、被市场监督管理部门列入经营异常名录或者严重违法企业名单的；4、被税收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w:t>
      </w:r>
      <w:r>
        <w:rPr>
          <w:rFonts w:hint="eastAsia" w:ascii="宋体" w:hAnsi="宋体" w:eastAsia="宋体" w:cs="Times New Roman"/>
          <w:szCs w:val="21"/>
          <w:highlight w:val="none"/>
          <w:lang w:val="en-US" w:eastAsia="zh-CN"/>
        </w:rPr>
        <w:t>8、被人力资源社会保障行政部门列入拖欠农民工工资“黑名单”或者近三年因拖欠农民工工资被县级及以上有关行政主管部门行政处理、行政处罚的。</w:t>
      </w:r>
    </w:p>
    <w:p w14:paraId="41BDA758">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七、投标人近三年无农民工工资拖欠情况，若发生相关质疑或投诉，则在五个工作日内提供相关项目所在地的县级以上有关行政主管部门出具的投标人无农民工工资拖欠情况的信用证明，否则取消中标资格；</w:t>
      </w:r>
    </w:p>
    <w:p w14:paraId="45FA960A">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八、严格遵守开标现场纪律，服从监管人员管理；</w:t>
      </w:r>
    </w:p>
    <w:p w14:paraId="67909579">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九、保证中标后不转包及使用挂靠施工队伍，若有分包征得建设单位同意；</w:t>
      </w:r>
    </w:p>
    <w:p w14:paraId="7A746129">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十、保证中标之后，按照投标文件承诺派驻管理人员及投入机械设备，如有违反，同意接受建设单位违约处罚；</w:t>
      </w:r>
    </w:p>
    <w:p w14:paraId="06AF815F">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十一、保证企业及所属相关人员在本次投标中无行贿等犯罪行为；</w:t>
      </w:r>
    </w:p>
    <w:p w14:paraId="4524F6AF">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十二、如我公司中标，保证中标的总监在滁州本地（含区县）不多于两个项目，滁州以外无在建项目，否则取消中标资格。</w:t>
      </w:r>
    </w:p>
    <w:p w14:paraId="0C604B4D">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十三、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467C5FBB">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lang w:eastAsia="zh-CN"/>
        </w:rPr>
      </w:pPr>
      <w:r>
        <w:rPr>
          <w:rFonts w:hint="eastAsia" w:ascii="宋体" w:hAnsi="宋体" w:eastAsia="宋体" w:cs="Times New Roman"/>
          <w:szCs w:val="21"/>
          <w:highlight w:val="none"/>
        </w:rPr>
        <w:t>十四、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28427B47">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宋体" w:hAnsi="宋体" w:eastAsia="宋体" w:cs="Times New Roman"/>
          <w:szCs w:val="21"/>
          <w:highlight w:val="none"/>
        </w:rPr>
      </w:pPr>
      <w:r>
        <w:rPr>
          <w:rFonts w:hint="eastAsia" w:ascii="宋体" w:hAnsi="宋体" w:eastAsia="宋体" w:cs="Times New Roman"/>
          <w:szCs w:val="21"/>
          <w:highlight w:val="none"/>
        </w:rPr>
        <w:t xml:space="preserve"> 以上内容我已仔细阅读，本公司若有违反承诺内容的行为，自愿依法接受取消投标资格、记入信用档案、取消中标资格、没收投标保证金等有关处理，愿意承担法律责任，给招标人造成损失的，依法承担赔偿责任。</w:t>
      </w:r>
    </w:p>
    <w:p w14:paraId="4A596ED2">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szCs w:val="21"/>
          <w:highlight w:val="none"/>
        </w:rPr>
      </w:pPr>
      <w:r>
        <w:rPr>
          <w:rFonts w:hint="eastAsia" w:ascii="宋体" w:hAnsi="宋体"/>
          <w:szCs w:val="21"/>
          <w:highlight w:val="none"/>
        </w:rPr>
        <w:t>开户银行：                          基本账户：</w:t>
      </w:r>
    </w:p>
    <w:p w14:paraId="4714C467">
      <w:pPr>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ascii="宋体" w:hAnsi="宋体"/>
          <w:szCs w:val="21"/>
          <w:highlight w:val="none"/>
        </w:rPr>
      </w:pPr>
      <w:r>
        <w:rPr>
          <w:rFonts w:hint="eastAsia" w:ascii="宋体" w:hAnsi="宋体"/>
          <w:szCs w:val="21"/>
          <w:highlight w:val="none"/>
        </w:rPr>
        <w:t>投标人（盖章）：              法定代表人（签字或</w:t>
      </w:r>
      <w:r>
        <w:rPr>
          <w:rFonts w:hint="eastAsia" w:ascii="宋体" w:hAnsi="宋体"/>
          <w:szCs w:val="21"/>
          <w:highlight w:val="none"/>
          <w:lang w:val="en-US" w:eastAsia="zh-CN"/>
        </w:rPr>
        <w:t>盖</w:t>
      </w:r>
      <w:r>
        <w:rPr>
          <w:rFonts w:hint="eastAsia" w:ascii="宋体" w:hAnsi="宋体"/>
          <w:szCs w:val="21"/>
          <w:highlight w:val="none"/>
        </w:rPr>
        <w:t>章）：</w:t>
      </w:r>
    </w:p>
    <w:p w14:paraId="4510829A">
      <w:pPr>
        <w:keepNext w:val="0"/>
        <w:keepLines w:val="0"/>
        <w:pageBreakBefore w:val="0"/>
        <w:widowControl w:val="0"/>
        <w:kinsoku/>
        <w:wordWrap/>
        <w:overflowPunct/>
        <w:topLinePunct w:val="0"/>
        <w:autoSpaceDE/>
        <w:autoSpaceDN/>
        <w:bidi w:val="0"/>
        <w:adjustRightInd/>
        <w:snapToGrid/>
        <w:spacing w:line="360" w:lineRule="exact"/>
        <w:ind w:firstLine="6300" w:firstLineChars="3000"/>
        <w:textAlignment w:val="auto"/>
        <w:rPr>
          <w:highlight w:val="none"/>
        </w:rPr>
      </w:pPr>
      <w:r>
        <w:rPr>
          <w:rFonts w:hint="eastAsia" w:ascii="宋体" w:hAnsi="宋体"/>
          <w:szCs w:val="21"/>
          <w:highlight w:val="none"/>
        </w:rPr>
        <w:t>日期：    年   月   日</w:t>
      </w:r>
    </w:p>
    <w:p w14:paraId="5339DCCE">
      <w:pPr>
        <w:rPr>
          <w:rFonts w:eastAsia="黑体"/>
          <w:sz w:val="28"/>
          <w:szCs w:val="28"/>
          <w:highlight w:val="none"/>
          <w:u w:val="single"/>
        </w:rPr>
      </w:pPr>
      <w:r>
        <w:rPr>
          <w:rFonts w:hint="eastAsia" w:ascii="宋体" w:hAnsi="宋体"/>
          <w:b/>
          <w:sz w:val="32"/>
          <w:szCs w:val="32"/>
          <w:highlight w:val="none"/>
        </w:rPr>
        <w:br w:type="page"/>
      </w:r>
    </w:p>
    <w:p w14:paraId="7C5C9A14">
      <w:pPr>
        <w:jc w:val="center"/>
        <w:rPr>
          <w:rFonts w:ascii="宋体" w:hAnsi="宋体"/>
          <w:b/>
          <w:sz w:val="32"/>
          <w:szCs w:val="32"/>
          <w:highlight w:val="none"/>
        </w:rPr>
      </w:pPr>
      <w:r>
        <w:rPr>
          <w:rFonts w:hint="eastAsia" w:ascii="宋体" w:hAnsi="宋体"/>
          <w:b/>
          <w:sz w:val="32"/>
          <w:szCs w:val="32"/>
          <w:highlight w:val="none"/>
        </w:rPr>
        <w:t>（</w:t>
      </w:r>
      <w:r>
        <w:rPr>
          <w:rFonts w:hint="eastAsia" w:ascii="宋体" w:hAnsi="宋体"/>
          <w:b/>
          <w:sz w:val="32"/>
          <w:szCs w:val="32"/>
          <w:highlight w:val="none"/>
          <w:lang w:val="en-US" w:eastAsia="zh-CN"/>
        </w:rPr>
        <w:t>3</w:t>
      </w:r>
      <w:r>
        <w:rPr>
          <w:rFonts w:hint="eastAsia" w:ascii="宋体" w:hAnsi="宋体"/>
          <w:b/>
          <w:sz w:val="32"/>
          <w:szCs w:val="32"/>
          <w:highlight w:val="none"/>
        </w:rPr>
        <w:t>）投 标 函</w:t>
      </w:r>
    </w:p>
    <w:p w14:paraId="76DBE303">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eastAsia="宋体" w:cs="宋体"/>
          <w:color w:val="auto"/>
        </w:rPr>
      </w:pPr>
      <w:bookmarkStart w:id="910" w:name="_Toc15058950"/>
      <w:bookmarkStart w:id="911" w:name="_Toc506107366"/>
      <w:bookmarkStart w:id="912" w:name="_Toc35424974"/>
      <w:bookmarkStart w:id="913" w:name="_Toc35425140"/>
      <w:r>
        <w:rPr>
          <w:rFonts w:hint="eastAsia" w:ascii="宋体" w:hAnsi="宋体" w:eastAsia="宋体" w:cs="宋体"/>
          <w:b/>
          <w:bCs/>
          <w:color w:val="auto"/>
        </w:rPr>
        <w:t>致 ：</w:t>
      </w:r>
      <w:r>
        <w:rPr>
          <w:rFonts w:hint="eastAsia" w:ascii="宋体" w:hAnsi="宋体" w:eastAsia="宋体" w:cs="宋体"/>
          <w:b/>
          <w:bCs/>
          <w:color w:val="auto"/>
          <w:u w:val="single"/>
          <w:lang w:val="en-US" w:eastAsia="zh-CN"/>
        </w:rPr>
        <w:t xml:space="preserve">       （招标人） </w:t>
      </w:r>
      <w:r>
        <w:rPr>
          <w:rFonts w:hint="eastAsia" w:ascii="宋体" w:hAnsi="宋体" w:eastAsia="宋体" w:cs="宋体"/>
          <w:color w:val="auto"/>
        </w:rPr>
        <w:t xml:space="preserve">：  </w:t>
      </w:r>
    </w:p>
    <w:p w14:paraId="7C968ABF">
      <w:pPr>
        <w:keepNext w:val="0"/>
        <w:keepLines w:val="0"/>
        <w:pageBreakBefore w:val="0"/>
        <w:widowControl w:val="0"/>
        <w:kinsoku/>
        <w:wordWrap/>
        <w:overflowPunct/>
        <w:topLinePunct w:val="0"/>
        <w:autoSpaceDE/>
        <w:autoSpaceDN/>
        <w:bidi w:val="0"/>
        <w:adjustRightInd/>
        <w:snapToGrid/>
        <w:spacing w:line="460" w:lineRule="exact"/>
        <w:ind w:firstLine="525" w:firstLineChars="250"/>
        <w:jc w:val="left"/>
        <w:textAlignment w:val="auto"/>
        <w:rPr>
          <w:rFonts w:hint="eastAsia" w:ascii="宋体" w:hAnsi="宋体" w:eastAsia="宋体" w:cs="宋体"/>
          <w:color w:val="auto"/>
          <w:lang w:eastAsia="zh-CN"/>
        </w:rPr>
      </w:pPr>
      <w:r>
        <w:rPr>
          <w:rFonts w:hint="eastAsia" w:ascii="宋体" w:hAnsi="宋体" w:eastAsia="宋体" w:cs="宋体"/>
          <w:color w:val="auto"/>
        </w:rPr>
        <w:t>我们决定参加贵单位组织的“</w:t>
      </w:r>
      <w:r>
        <w:rPr>
          <w:rFonts w:hint="eastAsia" w:ascii="宋体" w:hAnsi="宋体" w:eastAsia="宋体" w:cs="宋体"/>
          <w:color w:val="auto"/>
          <w:u w:val="single"/>
          <w:lang w:val="en-US" w:eastAsia="zh-CN"/>
        </w:rPr>
        <w:t xml:space="preserve">                   （项目名称）</w:t>
      </w:r>
      <w:r>
        <w:rPr>
          <w:rFonts w:hint="eastAsia" w:ascii="宋体" w:hAnsi="宋体" w:eastAsia="宋体" w:cs="宋体"/>
          <w:color w:val="auto"/>
        </w:rPr>
        <w:t xml:space="preserve">”的项目。我方授权 </w:t>
      </w:r>
      <w:r>
        <w:rPr>
          <w:rFonts w:hint="eastAsia" w:ascii="宋体" w:hAnsi="宋体" w:eastAsia="宋体" w:cs="宋体"/>
          <w:color w:val="auto"/>
          <w:u w:val="single"/>
        </w:rPr>
        <w:t xml:space="preserve">              </w:t>
      </w:r>
      <w:r>
        <w:rPr>
          <w:rFonts w:hint="eastAsia" w:ascii="宋体" w:hAnsi="宋体" w:eastAsia="宋体" w:cs="宋体"/>
          <w:color w:val="auto"/>
        </w:rPr>
        <w:t xml:space="preserve"> (</w:t>
      </w:r>
      <w:r>
        <w:rPr>
          <w:rFonts w:hint="eastAsia" w:ascii="宋体" w:hAnsi="宋体" w:eastAsia="宋体" w:cs="宋体"/>
          <w:color w:val="auto"/>
          <w:u w:val="none"/>
        </w:rPr>
        <w:t>姓名和职务</w:t>
      </w:r>
      <w:r>
        <w:rPr>
          <w:rFonts w:hint="eastAsia" w:ascii="宋体" w:hAnsi="宋体" w:eastAsia="宋体" w:cs="宋体"/>
          <w:color w:val="auto"/>
        </w:rPr>
        <w:t xml:space="preserve">)代表我方 </w:t>
      </w:r>
      <w:r>
        <w:rPr>
          <w:rFonts w:hint="eastAsia" w:ascii="宋体" w:hAnsi="宋体" w:eastAsia="宋体" w:cs="宋体"/>
          <w:color w:val="auto"/>
          <w:u w:val="single"/>
        </w:rPr>
        <w:t xml:space="preserve">             </w:t>
      </w:r>
      <w:r>
        <w:rPr>
          <w:rFonts w:hint="eastAsia" w:ascii="宋体" w:hAnsi="宋体" w:eastAsia="宋体" w:cs="宋体"/>
          <w:color w:val="auto"/>
        </w:rPr>
        <w:t xml:space="preserve">（投标单位的名称）全权处理本项目投标的有关事宜 </w:t>
      </w:r>
      <w:r>
        <w:rPr>
          <w:rFonts w:hint="eastAsia" w:ascii="宋体" w:hAnsi="宋体" w:eastAsia="宋体" w:cs="宋体"/>
          <w:color w:val="auto"/>
          <w:lang w:eastAsia="zh-CN"/>
        </w:rPr>
        <w:t>。</w:t>
      </w:r>
    </w:p>
    <w:p w14:paraId="7B4F7FF9">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default" w:ascii="宋体" w:hAnsi="宋体" w:eastAsia="宋体" w:cs="宋体"/>
          <w:color w:val="auto"/>
          <w:kern w:val="2"/>
          <w:sz w:val="21"/>
          <w:szCs w:val="21"/>
          <w:highlight w:val="cyan"/>
          <w:lang w:val="en-US" w:eastAsia="zh-CN" w:bidi="ar-SA"/>
        </w:rPr>
      </w:pPr>
      <w:r>
        <w:rPr>
          <w:rFonts w:hint="eastAsia" w:ascii="宋体" w:hAnsi="宋体" w:cs="宋体"/>
          <w:color w:val="auto"/>
          <w:lang w:val="en-US" w:eastAsia="zh-CN"/>
        </w:rPr>
        <w:t>1、</w:t>
      </w:r>
      <w:r>
        <w:rPr>
          <w:rFonts w:hint="eastAsia" w:ascii="宋体" w:hAnsi="宋体" w:eastAsia="宋体" w:cs="宋体"/>
          <w:color w:val="auto"/>
        </w:rPr>
        <w:t>我们已仔细地研究了</w:t>
      </w:r>
      <w:r>
        <w:rPr>
          <w:rFonts w:hint="eastAsia" w:ascii="宋体" w:hAnsi="宋体" w:eastAsia="宋体" w:cs="宋体"/>
          <w:color w:val="auto"/>
          <w:u w:val="single"/>
          <w:lang w:val="en-US" w:eastAsia="zh-CN"/>
        </w:rPr>
        <w:t xml:space="preserve">                （项目名称）</w:t>
      </w:r>
      <w:r>
        <w:rPr>
          <w:rFonts w:hint="eastAsia" w:ascii="宋体" w:hAnsi="宋体" w:eastAsia="宋体" w:cs="宋体"/>
          <w:color w:val="auto"/>
        </w:rPr>
        <w:t>招标文件的全部内容，包括但不限于承包人须知合同条件、工作要求，以及全部补遗和澄清文件。我们已了解和审核了全部招标文件，并完全理解了招标文件</w:t>
      </w:r>
      <w:r>
        <w:rPr>
          <w:rFonts w:hint="eastAsia" w:ascii="宋体" w:hAnsi="宋体" w:eastAsia="宋体" w:cs="宋体"/>
          <w:color w:val="auto"/>
          <w:spacing w:val="-1"/>
        </w:rPr>
        <w:t>规定的合同范围，工作要求，并考虑到了潜在所有风险。据此我方愿以监理费费率</w:t>
      </w:r>
      <w:r>
        <w:rPr>
          <w:rFonts w:hint="eastAsia" w:ascii="宋体" w:hAnsi="宋体" w:cs="宋体"/>
          <w:color w:val="auto"/>
          <w:spacing w:val="-1"/>
          <w:lang w:eastAsia="zh-CN"/>
        </w:rPr>
        <w:t>（</w:t>
      </w:r>
      <w:r>
        <w:rPr>
          <w:rFonts w:hint="eastAsia" w:ascii="宋体" w:hAnsi="宋体" w:cs="宋体"/>
          <w:color w:val="auto"/>
          <w:spacing w:val="-1"/>
          <w:lang w:val="en-US" w:eastAsia="zh-CN"/>
        </w:rPr>
        <w:t>含税</w:t>
      </w:r>
      <w:r>
        <w:rPr>
          <w:rFonts w:hint="eastAsia" w:ascii="宋体" w:hAnsi="宋体" w:cs="宋体"/>
          <w:color w:val="auto"/>
          <w:spacing w:val="-1"/>
          <w:lang w:eastAsia="zh-CN"/>
        </w:rPr>
        <w:t>）</w:t>
      </w:r>
      <w:r>
        <w:rPr>
          <w:rFonts w:hint="eastAsia" w:ascii="宋体" w:hAnsi="宋体" w:eastAsia="宋体" w:cs="宋体"/>
          <w:color w:val="auto"/>
          <w:spacing w:val="-1"/>
        </w:rPr>
        <w:t>：</w:t>
      </w:r>
      <w:r>
        <w:rPr>
          <w:rFonts w:hint="eastAsia" w:ascii="宋体" w:hAnsi="宋体" w:eastAsia="宋体" w:cs="宋体"/>
          <w:color w:val="auto"/>
          <w:spacing w:val="-1"/>
          <w:u w:val="single"/>
        </w:rPr>
        <w:t>大写百分之</w:t>
      </w:r>
      <w:r>
        <w:rPr>
          <w:rFonts w:hint="eastAsia" w:ascii="宋体" w:hAnsi="宋体" w:eastAsia="宋体" w:cs="宋体"/>
          <w:color w:val="auto"/>
          <w:spacing w:val="56"/>
          <w:u w:val="single"/>
        </w:rPr>
        <w:t xml:space="preserve">   </w:t>
      </w:r>
      <w:r>
        <w:rPr>
          <w:rFonts w:hint="eastAsia" w:ascii="宋体" w:hAnsi="宋体" w:cs="宋体"/>
          <w:color w:val="auto"/>
          <w:spacing w:val="56"/>
          <w:u w:val="single"/>
          <w:lang w:val="en-US" w:eastAsia="zh-CN"/>
        </w:rPr>
        <w:t>小</w:t>
      </w:r>
      <w:r>
        <w:rPr>
          <w:rFonts w:hint="eastAsia" w:ascii="宋体" w:hAnsi="宋体" w:eastAsia="宋体" w:cs="宋体"/>
          <w:color w:val="auto"/>
          <w:spacing w:val="56"/>
          <w:u w:val="single"/>
        </w:rPr>
        <w:t xml:space="preserve">写  </w:t>
      </w:r>
      <w:r>
        <w:rPr>
          <w:rFonts w:hint="eastAsia" w:ascii="宋体" w:hAnsi="宋体" w:eastAsia="宋体" w:cs="宋体"/>
          <w:color w:val="auto"/>
        </w:rPr>
        <w:t>%（小数点后保留2位）作为本工程项目监理工作所需的全部费用</w:t>
      </w:r>
      <w:r>
        <w:rPr>
          <w:rFonts w:hint="eastAsia" w:ascii="宋体" w:hAnsi="宋体" w:cs="宋体"/>
          <w:color w:val="auto"/>
          <w:lang w:eastAsia="zh-CN"/>
        </w:rPr>
        <w:t>，</w:t>
      </w:r>
      <w:r>
        <w:rPr>
          <w:rFonts w:hint="eastAsia" w:ascii="宋体" w:hAnsi="宋体" w:eastAsia="宋体" w:cs="宋体"/>
          <w:color w:val="auto"/>
          <w:kern w:val="2"/>
          <w:sz w:val="21"/>
          <w:szCs w:val="21"/>
          <w:highlight w:val="none"/>
          <w:lang w:val="en-US" w:eastAsia="zh-CN" w:bidi="ar-SA"/>
        </w:rPr>
        <w:t>可抵扣的进项</w:t>
      </w:r>
      <w:r>
        <w:rPr>
          <w:rFonts w:hint="eastAsia" w:hAnsi="宋体" w:cs="宋体"/>
          <w:color w:val="auto"/>
          <w:kern w:val="2"/>
          <w:sz w:val="21"/>
          <w:szCs w:val="21"/>
          <w:highlight w:val="none"/>
          <w:lang w:val="en-US" w:eastAsia="zh-CN" w:bidi="ar-SA"/>
        </w:rPr>
        <w:t>税率为</w:t>
      </w:r>
      <w:r>
        <w:rPr>
          <w:rFonts w:hint="eastAsia" w:hAnsi="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lang w:val="en-US" w:eastAsia="zh-CN" w:bidi="ar-SA"/>
        </w:rPr>
        <w:t>%，则其评审的投标报价为</w:t>
      </w:r>
      <w:r>
        <w:rPr>
          <w:rFonts w:hint="eastAsia" w:ascii="宋体" w:hAnsi="宋体" w:cs="宋体"/>
          <w:color w:val="auto"/>
          <w:kern w:val="2"/>
          <w:sz w:val="21"/>
          <w:szCs w:val="21"/>
          <w:highlight w:val="none"/>
          <w:lang w:val="en-US" w:eastAsia="zh-CN" w:bidi="ar-SA"/>
        </w:rPr>
        <w:t>（14300000*费率报价</w:t>
      </w:r>
      <w:r>
        <w:rPr>
          <w:rFonts w:hint="eastAsia" w:ascii="宋体" w:hAnsi="宋体" w:cs="宋体"/>
          <w:color w:val="auto"/>
          <w:kern w:val="2"/>
          <w:sz w:val="21"/>
          <w:szCs w:val="21"/>
          <w:highlight w:val="none"/>
          <w:u w:val="single"/>
          <w:lang w:val="en-US" w:eastAsia="zh-CN" w:bidi="ar-SA"/>
        </w:rPr>
        <w:t xml:space="preserve">    </w:t>
      </w:r>
      <w:r>
        <w:rPr>
          <w:rFonts w:hint="eastAsia" w:ascii="宋体" w:hAnsi="宋体" w:cs="宋体"/>
          <w:color w:val="auto"/>
          <w:kern w:val="2"/>
          <w:sz w:val="21"/>
          <w:szCs w:val="21"/>
          <w:highlight w:val="none"/>
          <w:lang w:val="en-US" w:eastAsia="zh-CN" w:bidi="ar-SA"/>
        </w:rPr>
        <w:t>%）/（1+税率</w:t>
      </w:r>
      <w:r>
        <w:rPr>
          <w:rFonts w:hint="eastAsia" w:ascii="宋体" w:hAnsi="宋体" w:cs="宋体"/>
          <w:color w:val="auto"/>
          <w:kern w:val="2"/>
          <w:sz w:val="21"/>
          <w:szCs w:val="21"/>
          <w:highlight w:val="none"/>
          <w:u w:val="single"/>
          <w:lang w:val="en-US" w:eastAsia="zh-CN" w:bidi="ar-SA"/>
        </w:rPr>
        <w:t xml:space="preserve">    </w:t>
      </w:r>
      <w:r>
        <w:rPr>
          <w:rFonts w:hint="eastAsia" w:ascii="宋体" w:hAnsi="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u w:val="single"/>
          <w:lang w:val="en-US" w:eastAsia="zh-CN" w:bidi="ar-SA"/>
        </w:rPr>
        <w:t xml:space="preserve">         </w:t>
      </w:r>
      <w:r>
        <w:rPr>
          <w:rFonts w:hint="eastAsia" w:ascii="宋体" w:hAnsi="宋体" w:cs="宋体"/>
          <w:color w:val="auto"/>
          <w:kern w:val="2"/>
          <w:sz w:val="21"/>
          <w:szCs w:val="21"/>
          <w:highlight w:val="none"/>
          <w:lang w:val="en-US" w:eastAsia="zh-CN" w:bidi="ar-SA"/>
        </w:rPr>
        <w:t xml:space="preserve"> 元。</w:t>
      </w:r>
      <w:bookmarkStart w:id="915" w:name="_GoBack"/>
      <w:bookmarkEnd w:id="915"/>
    </w:p>
    <w:p w14:paraId="2FF6A5F7">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2、一旦我方中标，我方将派出</w:t>
      </w:r>
      <w:r>
        <w:rPr>
          <w:rFonts w:hint="eastAsia" w:ascii="宋体" w:hAnsi="宋体" w:eastAsia="宋体" w:cs="宋体"/>
          <w:color w:val="auto"/>
          <w:u w:val="single"/>
        </w:rPr>
        <w:t xml:space="preserve">      </w:t>
      </w:r>
      <w:r>
        <w:rPr>
          <w:rFonts w:hint="eastAsia" w:ascii="宋体" w:hAnsi="宋体" w:eastAsia="宋体" w:cs="宋体"/>
          <w:color w:val="auto"/>
        </w:rPr>
        <w:t>为本工程总监理工程师，按招标文件的要求承担本工程的施工监理工作。</w:t>
      </w:r>
    </w:p>
    <w:p w14:paraId="7DF35A5C">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3、如果贵方接受我单位中标，我单位保证在承包人须知规定的期限内，按本投标配备的人员及时开展工作，否则，贵方有权单方面终止合同，并令我单位立即退场，工程项目另行处理，由此造成的一切损失由我单位负责赔偿。</w:t>
      </w:r>
    </w:p>
    <w:p w14:paraId="56F524BB">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4、我们声明，本投标文件的全部内容我公司已了解和熟悉，并承诺中标后严格按此投标文件执行。</w:t>
      </w:r>
    </w:p>
    <w:p w14:paraId="2721F6FC">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rPr>
        <w:t>5、单位提供如下通讯地址：</w:t>
      </w:r>
      <w:r>
        <w:rPr>
          <w:rFonts w:hint="eastAsia" w:ascii="宋体" w:hAnsi="宋体" w:eastAsia="宋体" w:cs="宋体"/>
          <w:color w:val="auto"/>
          <w:u w:val="single"/>
        </w:rPr>
        <w:t xml:space="preserve">          </w:t>
      </w:r>
      <w:r>
        <w:rPr>
          <w:rFonts w:hint="eastAsia" w:ascii="宋体" w:hAnsi="宋体" w:eastAsia="宋体" w:cs="宋体"/>
          <w:color w:val="auto"/>
        </w:rPr>
        <w:t>电子邮箱（地址），确认本项目相关法律文书均通过提供的以上地址送达，相关文书只要发送至以上电子邮箱（地址）即视为送达，投标人愿意承担一切法律后果。</w:t>
      </w:r>
    </w:p>
    <w:p w14:paraId="578A5A4C">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rPr>
      </w:pPr>
      <w:r>
        <w:rPr>
          <w:rFonts w:hint="eastAsia" w:ascii="宋体" w:hAnsi="宋体" w:eastAsia="宋体" w:cs="宋体"/>
          <w:color w:val="auto"/>
          <w:lang w:val="en-US" w:eastAsia="zh-CN"/>
        </w:rPr>
        <w:t>6</w:t>
      </w:r>
      <w:r>
        <w:rPr>
          <w:rFonts w:hint="eastAsia" w:ascii="宋体" w:hAnsi="宋体" w:eastAsia="宋体" w:cs="宋体"/>
          <w:color w:val="auto"/>
        </w:rPr>
        <w:t>、投标有效期为 90 日历天（从投标截止之日算起）。</w:t>
      </w:r>
    </w:p>
    <w:p w14:paraId="580E7CC6">
      <w:pPr>
        <w:keepNext w:val="0"/>
        <w:keepLines w:val="0"/>
        <w:pageBreakBefore w:val="0"/>
        <w:widowControl w:val="0"/>
        <w:kinsoku/>
        <w:wordWrap/>
        <w:overflowPunct/>
        <w:topLinePunct w:val="0"/>
        <w:autoSpaceDE/>
        <w:autoSpaceDN/>
        <w:bidi w:val="0"/>
        <w:adjustRightInd/>
        <w:snapToGrid/>
        <w:spacing w:line="460" w:lineRule="exact"/>
        <w:ind w:firstLine="420" w:firstLineChars="200"/>
        <w:jc w:val="left"/>
        <w:textAlignment w:val="auto"/>
        <w:rPr>
          <w:rFonts w:hint="eastAsia" w:ascii="宋体" w:hAnsi="宋体" w:eastAsia="宋体" w:cs="宋体"/>
          <w:color w:val="auto"/>
          <w:szCs w:val="21"/>
        </w:rPr>
      </w:pPr>
      <w:r>
        <w:rPr>
          <w:rFonts w:hint="eastAsia" w:ascii="宋体" w:hAnsi="宋体" w:cs="宋体"/>
          <w:color w:val="auto"/>
          <w:szCs w:val="21"/>
          <w:lang w:val="en-US" w:eastAsia="zh-CN"/>
        </w:rPr>
        <w:t>7、</w:t>
      </w:r>
      <w:r>
        <w:rPr>
          <w:rFonts w:hint="eastAsia" w:ascii="宋体" w:hAnsi="宋体" w:eastAsia="宋体" w:cs="宋体"/>
          <w:color w:val="auto"/>
          <w:szCs w:val="21"/>
        </w:rPr>
        <w:t>对本招标文件的所有条款进行承诺。</w:t>
      </w:r>
    </w:p>
    <w:p w14:paraId="2EC08CBE">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rPr>
      </w:pPr>
    </w:p>
    <w:p w14:paraId="6CEE17A5">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u w:val="single"/>
        </w:rPr>
      </w:pPr>
      <w:r>
        <w:rPr>
          <w:rFonts w:hint="eastAsia" w:ascii="宋体" w:hAnsi="宋体" w:eastAsia="宋体" w:cs="宋体"/>
          <w:color w:val="auto"/>
          <w:szCs w:val="21"/>
        </w:rPr>
        <w:t>投标人：</w:t>
      </w:r>
      <w:r>
        <w:rPr>
          <w:rFonts w:hint="eastAsia" w:ascii="宋体" w:hAnsi="宋体" w:eastAsia="宋体" w:cs="宋体"/>
          <w:color w:val="auto"/>
          <w:szCs w:val="21"/>
          <w:u w:val="single"/>
        </w:rPr>
        <w:t xml:space="preserve">                             （</w:t>
      </w:r>
      <w:r>
        <w:rPr>
          <w:rFonts w:hint="eastAsia" w:ascii="宋体" w:hAnsi="宋体" w:cs="宋体"/>
          <w:color w:val="auto"/>
          <w:szCs w:val="21"/>
          <w:u w:val="single"/>
          <w:lang w:val="en-US" w:eastAsia="zh-CN"/>
        </w:rPr>
        <w:t>盖</w:t>
      </w:r>
      <w:r>
        <w:rPr>
          <w:rFonts w:hint="eastAsia" w:ascii="宋体" w:hAnsi="宋体" w:eastAsia="宋体" w:cs="宋体"/>
          <w:color w:val="auto"/>
          <w:szCs w:val="21"/>
          <w:u w:val="single"/>
        </w:rPr>
        <w:t xml:space="preserve">章）   </w:t>
      </w:r>
    </w:p>
    <w:p w14:paraId="64978342">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rPr>
      </w:pPr>
      <w:r>
        <w:rPr>
          <w:rFonts w:hint="eastAsia" w:ascii="宋体" w:hAnsi="宋体" w:eastAsia="宋体" w:cs="宋体"/>
          <w:color w:val="auto"/>
          <w:szCs w:val="21"/>
        </w:rPr>
        <w:t>法定代表人：</w:t>
      </w:r>
      <w:r>
        <w:rPr>
          <w:rFonts w:hint="eastAsia" w:ascii="宋体" w:hAnsi="宋体" w:eastAsia="宋体" w:cs="宋体"/>
          <w:color w:val="auto"/>
          <w:szCs w:val="21"/>
          <w:u w:val="single"/>
        </w:rPr>
        <w:t xml:space="preserve">                         （签</w:t>
      </w:r>
      <w:r>
        <w:rPr>
          <w:rFonts w:hint="eastAsia" w:ascii="宋体" w:hAnsi="宋体" w:cs="宋体"/>
          <w:color w:val="auto"/>
          <w:szCs w:val="21"/>
          <w:u w:val="single"/>
          <w:lang w:val="en-US" w:eastAsia="zh-CN"/>
        </w:rPr>
        <w:t>字或盖</w:t>
      </w:r>
      <w:r>
        <w:rPr>
          <w:rFonts w:hint="eastAsia" w:ascii="宋体" w:hAnsi="宋体" w:eastAsia="宋体" w:cs="宋体"/>
          <w:color w:val="auto"/>
          <w:szCs w:val="21"/>
          <w:u w:val="single"/>
        </w:rPr>
        <w:t>章）</w:t>
      </w:r>
    </w:p>
    <w:p w14:paraId="08CE4E81">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rPr>
      </w:pPr>
      <w:r>
        <w:rPr>
          <w:rFonts w:hint="eastAsia" w:ascii="宋体" w:hAnsi="宋体" w:eastAsia="宋体" w:cs="宋体"/>
          <w:color w:val="auto"/>
          <w:szCs w:val="21"/>
        </w:rPr>
        <w:t>单位地址：</w:t>
      </w:r>
      <w:r>
        <w:rPr>
          <w:rFonts w:hint="eastAsia" w:ascii="宋体" w:hAnsi="宋体" w:eastAsia="宋体" w:cs="宋体"/>
          <w:color w:val="auto"/>
          <w:szCs w:val="21"/>
          <w:u w:val="single"/>
        </w:rPr>
        <w:t xml:space="preserve">                                       </w:t>
      </w:r>
    </w:p>
    <w:p w14:paraId="75C37AA8">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u w:val="single"/>
        </w:rPr>
      </w:pPr>
      <w:r>
        <w:rPr>
          <w:rFonts w:hint="eastAsia" w:ascii="宋体" w:hAnsi="宋体" w:eastAsia="宋体" w:cs="宋体"/>
          <w:color w:val="auto"/>
          <w:szCs w:val="21"/>
        </w:rPr>
        <w:t>邮政编码：</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电话：</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传真：</w:t>
      </w:r>
      <w:r>
        <w:rPr>
          <w:rFonts w:hint="eastAsia" w:ascii="宋体" w:hAnsi="宋体" w:eastAsia="宋体" w:cs="宋体"/>
          <w:color w:val="auto"/>
          <w:szCs w:val="21"/>
          <w:u w:val="single"/>
        </w:rPr>
        <w:t xml:space="preserve">       </w:t>
      </w:r>
    </w:p>
    <w:p w14:paraId="294D00BE">
      <w:pPr>
        <w:keepNext w:val="0"/>
        <w:keepLines w:val="0"/>
        <w:pageBreakBefore w:val="0"/>
        <w:widowControl w:val="0"/>
        <w:kinsoku/>
        <w:wordWrap/>
        <w:overflowPunct/>
        <w:topLinePunct w:val="0"/>
        <w:autoSpaceDE/>
        <w:autoSpaceDN/>
        <w:bidi w:val="0"/>
        <w:adjustRightInd/>
        <w:snapToGrid/>
        <w:spacing w:line="460" w:lineRule="exact"/>
        <w:ind w:firstLine="2310" w:firstLineChars="1100"/>
        <w:jc w:val="left"/>
        <w:textAlignment w:val="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年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 xml:space="preserve">月 </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14:paraId="3F9DEF26">
      <w:pPr>
        <w:pStyle w:val="44"/>
        <w:spacing w:beforeLines="50" w:afterLines="50" w:line="440" w:lineRule="exact"/>
        <w:rPr>
          <w:bCs/>
          <w:szCs w:val="32"/>
          <w:highlight w:val="none"/>
        </w:rPr>
      </w:pPr>
      <w:r>
        <w:rPr>
          <w:rFonts w:hint="eastAsia"/>
          <w:sz w:val="32"/>
          <w:szCs w:val="32"/>
          <w:highlight w:val="none"/>
        </w:rPr>
        <w:br w:type="page"/>
      </w:r>
      <w:bookmarkEnd w:id="7"/>
      <w:bookmarkEnd w:id="8"/>
      <w:bookmarkEnd w:id="9"/>
      <w:bookmarkEnd w:id="10"/>
      <w:bookmarkEnd w:id="11"/>
      <w:bookmarkEnd w:id="910"/>
      <w:bookmarkEnd w:id="911"/>
      <w:bookmarkEnd w:id="912"/>
      <w:bookmarkEnd w:id="913"/>
      <w:bookmarkStart w:id="914" w:name="_Toc78803402"/>
      <w:r>
        <w:rPr>
          <w:rFonts w:hint="eastAsia"/>
          <w:bCs/>
          <w:szCs w:val="32"/>
          <w:highlight w:val="none"/>
        </w:rPr>
        <w:t>第六章  招标单位、招标代理机构对本招标文件的确认</w:t>
      </w:r>
      <w:bookmarkEnd w:id="914"/>
    </w:p>
    <w:p w14:paraId="6341C418">
      <w:pPr>
        <w:pStyle w:val="20"/>
        <w:rPr>
          <w:highlight w:val="none"/>
        </w:rPr>
      </w:pPr>
    </w:p>
    <w:tbl>
      <w:tblPr>
        <w:tblStyle w:val="47"/>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0"/>
      </w:tblGrid>
      <w:tr w14:paraId="5D11E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9" w:hRule="atLeast"/>
          <w:jc w:val="center"/>
        </w:trPr>
        <w:tc>
          <w:tcPr>
            <w:tcW w:w="9580" w:type="dxa"/>
            <w:noWrap/>
          </w:tcPr>
          <w:p w14:paraId="7DA30C3D">
            <w:pPr>
              <w:wordWrap w:val="0"/>
              <w:adjustRightInd w:val="0"/>
              <w:snapToGrid w:val="0"/>
              <w:spacing w:line="560" w:lineRule="exact"/>
              <w:rPr>
                <w:sz w:val="30"/>
                <w:highlight w:val="none"/>
              </w:rPr>
            </w:pPr>
          </w:p>
          <w:p w14:paraId="4220C915">
            <w:pPr>
              <w:wordWrap w:val="0"/>
              <w:spacing w:line="560" w:lineRule="exact"/>
              <w:ind w:firstLine="560" w:firstLineChars="200"/>
              <w:rPr>
                <w:sz w:val="28"/>
                <w:szCs w:val="28"/>
                <w:highlight w:val="none"/>
              </w:rPr>
            </w:pPr>
            <w:r>
              <w:rPr>
                <w:rFonts w:hint="eastAsia"/>
                <w:sz w:val="28"/>
                <w:szCs w:val="28"/>
                <w:highlight w:val="none"/>
              </w:rPr>
              <w:t>我单位对</w:t>
            </w:r>
            <w:r>
              <w:rPr>
                <w:rFonts w:hint="eastAsia"/>
                <w:sz w:val="28"/>
                <w:szCs w:val="28"/>
                <w:highlight w:val="none"/>
                <w:u w:val="single"/>
              </w:rPr>
              <w:t xml:space="preserve"> </w:t>
            </w:r>
            <w:r>
              <w:rPr>
                <w:rFonts w:hint="eastAsia"/>
                <w:sz w:val="28"/>
                <w:szCs w:val="28"/>
                <w:highlight w:val="none"/>
                <w:u w:val="single"/>
                <w:lang w:eastAsia="zh-CN"/>
              </w:rPr>
              <w:t>2024年滁州市区公共领域车辆电动化基础设施—低速新能源车充电设施项目监理</w:t>
            </w:r>
            <w:r>
              <w:rPr>
                <w:rFonts w:hint="eastAsia"/>
                <w:sz w:val="28"/>
                <w:szCs w:val="28"/>
                <w:highlight w:val="none"/>
                <w:u w:val="single"/>
              </w:rPr>
              <w:t xml:space="preserve"> </w:t>
            </w:r>
            <w:r>
              <w:rPr>
                <w:rFonts w:hint="eastAsia"/>
                <w:sz w:val="28"/>
                <w:szCs w:val="28"/>
                <w:highlight w:val="none"/>
              </w:rPr>
              <w:t>的招标文件进行确认。</w:t>
            </w:r>
          </w:p>
          <w:p w14:paraId="325F4A85">
            <w:pPr>
              <w:widowControl/>
              <w:spacing w:line="360" w:lineRule="auto"/>
              <w:ind w:firstLine="560" w:firstLineChars="200"/>
              <w:jc w:val="left"/>
              <w:rPr>
                <w:rFonts w:hint="eastAsia" w:ascii="宋体" w:hAnsi="宋体"/>
                <w:color w:val="auto"/>
                <w:sz w:val="28"/>
                <w:szCs w:val="28"/>
                <w:highlight w:val="none"/>
              </w:rPr>
            </w:pPr>
            <w:r>
              <w:rPr>
                <w:rFonts w:hint="eastAsia" w:ascii="宋体" w:hAnsi="宋体"/>
                <w:color w:val="auto"/>
                <w:sz w:val="28"/>
                <w:szCs w:val="28"/>
                <w:highlight w:val="none"/>
                <w:lang w:val="en-US" w:eastAsia="zh-CN"/>
              </w:rPr>
              <w:t>招标人</w:t>
            </w:r>
            <w:r>
              <w:rPr>
                <w:rFonts w:hint="eastAsia" w:ascii="宋体" w:hAnsi="宋体"/>
                <w:color w:val="auto"/>
                <w:sz w:val="28"/>
                <w:szCs w:val="28"/>
                <w:highlight w:val="none"/>
              </w:rPr>
              <w:t>：</w:t>
            </w:r>
            <w:r>
              <w:rPr>
                <w:rFonts w:hint="eastAsia" w:ascii="宋体" w:hAnsi="宋体"/>
                <w:color w:val="auto"/>
                <w:sz w:val="28"/>
                <w:szCs w:val="28"/>
                <w:highlight w:val="none"/>
                <w:lang w:eastAsia="zh-CN"/>
              </w:rPr>
              <w:t>滁州工投新能源开发有限公司</w:t>
            </w:r>
            <w:r>
              <w:rPr>
                <w:rFonts w:hint="eastAsia" w:ascii="宋体" w:hAnsi="宋体"/>
                <w:color w:val="auto"/>
                <w:sz w:val="28"/>
                <w:szCs w:val="28"/>
                <w:highlight w:val="none"/>
              </w:rPr>
              <w:t xml:space="preserve">  </w:t>
            </w:r>
          </w:p>
          <w:p w14:paraId="3E9A8BB3">
            <w:pPr>
              <w:adjustRightInd w:val="0"/>
              <w:snapToGrid w:val="0"/>
              <w:spacing w:line="560" w:lineRule="exact"/>
              <w:ind w:firstLine="560" w:firstLineChars="20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联 系 人：</w:t>
            </w:r>
            <w:r>
              <w:rPr>
                <w:rFonts w:hint="eastAsia" w:ascii="宋体" w:hAnsi="宋体" w:cs="Times New Roman"/>
                <w:color w:val="auto"/>
                <w:sz w:val="28"/>
                <w:szCs w:val="28"/>
                <w:highlight w:val="none"/>
                <w:lang w:val="en-US" w:eastAsia="zh-CN"/>
              </w:rPr>
              <w:t>王律</w:t>
            </w:r>
            <w:r>
              <w:rPr>
                <w:rFonts w:hint="eastAsia" w:ascii="宋体" w:hAnsi="宋体" w:eastAsia="宋体" w:cs="Times New Roman"/>
                <w:color w:val="auto"/>
                <w:sz w:val="28"/>
                <w:szCs w:val="28"/>
                <w:highlight w:val="none"/>
              </w:rPr>
              <w:t xml:space="preserve"> </w:t>
            </w:r>
            <w:r>
              <w:rPr>
                <w:rFonts w:hint="eastAsia" w:ascii="宋体" w:hAnsi="宋体" w:eastAsia="宋体" w:cs="Times New Roman"/>
                <w:color w:val="auto"/>
                <w:sz w:val="28"/>
                <w:szCs w:val="28"/>
                <w:highlight w:val="none"/>
                <w:lang w:val="en-US" w:eastAsia="zh-CN"/>
              </w:rPr>
              <w:t xml:space="preserve"> </w:t>
            </w:r>
          </w:p>
          <w:p w14:paraId="1F205B7D">
            <w:pPr>
              <w:adjustRightInd w:val="0"/>
              <w:snapToGrid w:val="0"/>
              <w:spacing w:line="560" w:lineRule="exact"/>
              <w:ind w:firstLine="560" w:firstLineChars="200"/>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rPr>
              <w:t>联系电话：</w:t>
            </w:r>
            <w:r>
              <w:rPr>
                <w:rFonts w:hint="eastAsia" w:ascii="宋体" w:hAnsi="宋体" w:cs="Times New Roman"/>
                <w:color w:val="auto"/>
                <w:sz w:val="28"/>
                <w:szCs w:val="28"/>
                <w:highlight w:val="none"/>
                <w:lang w:val="en-US" w:eastAsia="zh-CN"/>
              </w:rPr>
              <w:t>0550-3018125</w:t>
            </w:r>
          </w:p>
          <w:p w14:paraId="251FE66C">
            <w:pPr>
              <w:wordWrap w:val="0"/>
              <w:spacing w:line="560" w:lineRule="exact"/>
              <w:ind w:firstLine="560" w:firstLineChars="200"/>
              <w:rPr>
                <w:rFonts w:ascii="宋体" w:hAnsi="宋体"/>
                <w:sz w:val="28"/>
                <w:szCs w:val="28"/>
                <w:highlight w:val="none"/>
              </w:rPr>
            </w:pPr>
            <w:r>
              <w:rPr>
                <w:rFonts w:hint="eastAsia" w:ascii="宋体" w:hAnsi="宋体"/>
                <w:color w:val="auto"/>
                <w:sz w:val="28"/>
                <w:szCs w:val="28"/>
                <w:highlight w:val="none"/>
              </w:rPr>
              <w:t xml:space="preserve">    </w:t>
            </w:r>
            <w:r>
              <w:rPr>
                <w:rFonts w:hint="eastAsia" w:ascii="宋体" w:hAnsi="宋体"/>
                <w:color w:val="auto"/>
                <w:sz w:val="28"/>
                <w:szCs w:val="28"/>
                <w:highlight w:val="none"/>
                <w:lang w:val="en-US" w:eastAsia="zh-CN"/>
              </w:rPr>
              <w:t xml:space="preserve">    </w:t>
            </w:r>
          </w:p>
          <w:p w14:paraId="6F12B7AE">
            <w:pPr>
              <w:wordWrap w:val="0"/>
              <w:spacing w:line="560" w:lineRule="exact"/>
              <w:ind w:firstLine="560" w:firstLineChars="200"/>
              <w:rPr>
                <w:rFonts w:ascii="宋体" w:hAnsi="宋体"/>
                <w:sz w:val="28"/>
                <w:szCs w:val="28"/>
                <w:highlight w:val="none"/>
              </w:rPr>
            </w:pPr>
          </w:p>
          <w:p w14:paraId="08C60A5A">
            <w:pPr>
              <w:wordWrap w:val="0"/>
              <w:spacing w:line="560" w:lineRule="exact"/>
              <w:ind w:firstLine="560" w:firstLineChars="200"/>
              <w:rPr>
                <w:rFonts w:ascii="宋体" w:hAnsi="宋体"/>
                <w:sz w:val="28"/>
                <w:szCs w:val="28"/>
                <w:highlight w:val="none"/>
              </w:rPr>
            </w:pPr>
          </w:p>
          <w:p w14:paraId="7D0C983A">
            <w:pPr>
              <w:wordWrap w:val="0"/>
              <w:spacing w:line="560" w:lineRule="exact"/>
              <w:ind w:firstLine="5740" w:firstLineChars="2050"/>
              <w:rPr>
                <w:rFonts w:ascii="宋体" w:hAnsi="宋体"/>
                <w:sz w:val="28"/>
                <w:szCs w:val="28"/>
                <w:highlight w:val="none"/>
              </w:rPr>
            </w:pPr>
            <w:r>
              <w:rPr>
                <w:rFonts w:hint="eastAsia" w:ascii="宋体" w:hAnsi="宋体"/>
                <w:sz w:val="28"/>
                <w:szCs w:val="28"/>
                <w:highlight w:val="none"/>
              </w:rPr>
              <w:t>（单位盖章）</w:t>
            </w:r>
          </w:p>
          <w:p w14:paraId="5109BA8C">
            <w:pPr>
              <w:spacing w:line="560" w:lineRule="exact"/>
              <w:ind w:firstLine="5880" w:firstLineChars="2100"/>
              <w:rPr>
                <w:rFonts w:ascii="宋体" w:hAnsi="宋体"/>
                <w:sz w:val="28"/>
                <w:szCs w:val="28"/>
                <w:highlight w:val="none"/>
              </w:rPr>
            </w:pPr>
            <w:r>
              <w:rPr>
                <w:rFonts w:hint="eastAsia" w:ascii="宋体" w:hAnsi="宋体"/>
                <w:sz w:val="28"/>
                <w:szCs w:val="28"/>
                <w:highlight w:val="none"/>
                <w:lang w:eastAsia="zh-CN"/>
              </w:rPr>
              <w:t>2024年</w:t>
            </w:r>
            <w:r>
              <w:rPr>
                <w:rFonts w:hint="eastAsia" w:ascii="宋体" w:hAnsi="宋体"/>
                <w:sz w:val="28"/>
                <w:szCs w:val="28"/>
                <w:highlight w:val="none"/>
                <w:lang w:val="en-US" w:eastAsia="zh-CN"/>
              </w:rPr>
              <w:t>9</w:t>
            </w:r>
            <w:r>
              <w:rPr>
                <w:rFonts w:hint="eastAsia" w:ascii="宋体" w:hAnsi="宋体"/>
                <w:sz w:val="28"/>
                <w:szCs w:val="28"/>
                <w:highlight w:val="none"/>
              </w:rPr>
              <w:t>月</w:t>
            </w:r>
          </w:p>
          <w:p w14:paraId="6A9A339A">
            <w:pPr>
              <w:pStyle w:val="2"/>
              <w:ind w:firstLine="420"/>
              <w:rPr>
                <w:highlight w:val="none"/>
              </w:rPr>
            </w:pPr>
          </w:p>
        </w:tc>
      </w:tr>
      <w:tr w14:paraId="10A43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6" w:hRule="atLeast"/>
          <w:jc w:val="center"/>
        </w:trPr>
        <w:tc>
          <w:tcPr>
            <w:tcW w:w="9580" w:type="dxa"/>
            <w:noWrap/>
          </w:tcPr>
          <w:p w14:paraId="36887C7D">
            <w:pPr>
              <w:spacing w:line="560" w:lineRule="exact"/>
              <w:ind w:firstLine="560" w:firstLineChars="200"/>
              <w:rPr>
                <w:rFonts w:ascii="宋体" w:hAnsi="宋体" w:cs="宋体"/>
                <w:sz w:val="28"/>
                <w:szCs w:val="28"/>
                <w:highlight w:val="none"/>
              </w:rPr>
            </w:pPr>
          </w:p>
          <w:p w14:paraId="26A0E521">
            <w:pPr>
              <w:spacing w:line="560" w:lineRule="exact"/>
              <w:ind w:firstLine="560" w:firstLineChars="200"/>
              <w:rPr>
                <w:rFonts w:ascii="宋体" w:hAnsi="宋体" w:cs="宋体"/>
                <w:sz w:val="28"/>
                <w:szCs w:val="28"/>
                <w:highlight w:val="none"/>
                <w:u w:val="single"/>
              </w:rPr>
            </w:pPr>
            <w:r>
              <w:rPr>
                <w:rFonts w:hint="eastAsia" w:ascii="宋体" w:hAnsi="宋体" w:cs="宋体"/>
                <w:sz w:val="28"/>
                <w:szCs w:val="28"/>
                <w:highlight w:val="none"/>
              </w:rPr>
              <w:t>招标代理机构：</w:t>
            </w:r>
            <w:r>
              <w:rPr>
                <w:rFonts w:hint="eastAsia"/>
                <w:sz w:val="28"/>
                <w:szCs w:val="28"/>
                <w:highlight w:val="none"/>
              </w:rPr>
              <w:t>滁州市城投工程咨询管理有限公司</w:t>
            </w:r>
          </w:p>
          <w:p w14:paraId="04710429">
            <w:pPr>
              <w:spacing w:line="560" w:lineRule="exact"/>
              <w:ind w:firstLine="560" w:firstLineChars="200"/>
              <w:rPr>
                <w:rFonts w:hint="default" w:ascii="宋体" w:hAnsi="宋体" w:eastAsia="宋体" w:cs="宋体"/>
                <w:sz w:val="28"/>
                <w:szCs w:val="28"/>
                <w:highlight w:val="none"/>
                <w:u w:val="single"/>
                <w:lang w:val="en-US" w:eastAsia="zh-CN"/>
              </w:rPr>
            </w:pPr>
            <w:r>
              <w:rPr>
                <w:rFonts w:hint="eastAsia" w:ascii="宋体" w:hAnsi="宋体" w:cs="宋体"/>
                <w:sz w:val="28"/>
                <w:szCs w:val="28"/>
                <w:highlight w:val="none"/>
              </w:rPr>
              <w:t>联 系 人：</w:t>
            </w:r>
            <w:r>
              <w:rPr>
                <w:rFonts w:hint="eastAsia" w:ascii="宋体" w:hAnsi="宋体" w:cs="宋体"/>
                <w:sz w:val="28"/>
                <w:szCs w:val="28"/>
                <w:highlight w:val="none"/>
                <w:lang w:val="en-US" w:eastAsia="zh-CN"/>
              </w:rPr>
              <w:t>周蓓蕾</w:t>
            </w:r>
          </w:p>
          <w:p w14:paraId="5A66376D">
            <w:pPr>
              <w:spacing w:line="560" w:lineRule="exact"/>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rPr>
              <w:t>联系电话：0550-351951</w:t>
            </w:r>
            <w:r>
              <w:rPr>
                <w:rFonts w:hint="eastAsia" w:ascii="宋体" w:hAnsi="宋体" w:cs="宋体"/>
                <w:sz w:val="28"/>
                <w:szCs w:val="28"/>
                <w:highlight w:val="none"/>
                <w:lang w:val="en-US" w:eastAsia="zh-CN"/>
              </w:rPr>
              <w:t>9</w:t>
            </w:r>
            <w:r>
              <w:rPr>
                <w:rFonts w:hint="eastAsia" w:ascii="宋体" w:hAnsi="宋体" w:cs="宋体"/>
                <w:sz w:val="28"/>
                <w:szCs w:val="28"/>
                <w:highlight w:val="none"/>
              </w:rPr>
              <w:t>、</w:t>
            </w:r>
            <w:r>
              <w:rPr>
                <w:rFonts w:hint="eastAsia" w:ascii="宋体" w:hAnsi="宋体" w:cs="宋体"/>
                <w:sz w:val="28"/>
                <w:szCs w:val="28"/>
                <w:highlight w:val="none"/>
                <w:lang w:eastAsia="zh-CN"/>
              </w:rPr>
              <w:t>18005505728</w:t>
            </w:r>
          </w:p>
          <w:p w14:paraId="58408BCE">
            <w:pPr>
              <w:spacing w:line="560" w:lineRule="exact"/>
              <w:ind w:firstLine="5040" w:firstLineChars="1800"/>
              <w:rPr>
                <w:rFonts w:ascii="宋体" w:hAnsi="宋体" w:cs="宋体"/>
                <w:sz w:val="28"/>
                <w:szCs w:val="28"/>
                <w:highlight w:val="none"/>
              </w:rPr>
            </w:pPr>
          </w:p>
          <w:p w14:paraId="76C92879">
            <w:pPr>
              <w:spacing w:line="560" w:lineRule="exact"/>
              <w:ind w:firstLine="5460" w:firstLineChars="1950"/>
              <w:rPr>
                <w:rFonts w:ascii="宋体" w:hAnsi="宋体" w:cs="宋体"/>
                <w:sz w:val="28"/>
                <w:szCs w:val="28"/>
                <w:highlight w:val="none"/>
              </w:rPr>
            </w:pPr>
          </w:p>
          <w:p w14:paraId="371CA339">
            <w:pPr>
              <w:spacing w:line="560" w:lineRule="exact"/>
              <w:ind w:firstLine="5880" w:firstLineChars="2100"/>
              <w:rPr>
                <w:rFonts w:ascii="宋体" w:hAnsi="宋体" w:cs="宋体"/>
                <w:sz w:val="28"/>
                <w:szCs w:val="28"/>
                <w:highlight w:val="none"/>
              </w:rPr>
            </w:pPr>
            <w:r>
              <w:rPr>
                <w:rFonts w:hint="eastAsia" w:ascii="宋体" w:hAnsi="宋体" w:cs="宋体"/>
                <w:sz w:val="28"/>
                <w:szCs w:val="28"/>
                <w:highlight w:val="none"/>
              </w:rPr>
              <w:t>（单位盖章）</w:t>
            </w:r>
          </w:p>
          <w:p w14:paraId="3E8470FB">
            <w:pPr>
              <w:spacing w:line="560" w:lineRule="exact"/>
              <w:ind w:firstLine="6020" w:firstLineChars="2150"/>
              <w:rPr>
                <w:rFonts w:ascii="宋体" w:hAnsi="宋体"/>
                <w:sz w:val="28"/>
                <w:szCs w:val="28"/>
                <w:highlight w:val="none"/>
              </w:rPr>
            </w:pPr>
            <w:r>
              <w:rPr>
                <w:rFonts w:hint="eastAsia" w:ascii="宋体" w:hAnsi="宋体"/>
                <w:sz w:val="28"/>
                <w:szCs w:val="28"/>
                <w:highlight w:val="none"/>
                <w:lang w:eastAsia="zh-CN"/>
              </w:rPr>
              <w:t>2024年</w:t>
            </w:r>
            <w:r>
              <w:rPr>
                <w:rFonts w:hint="eastAsia" w:ascii="宋体" w:hAnsi="宋体"/>
                <w:sz w:val="28"/>
                <w:szCs w:val="28"/>
                <w:highlight w:val="none"/>
                <w:lang w:val="en-US" w:eastAsia="zh-CN"/>
              </w:rPr>
              <w:t>9</w:t>
            </w:r>
            <w:r>
              <w:rPr>
                <w:rFonts w:hint="eastAsia" w:ascii="宋体" w:hAnsi="宋体"/>
                <w:sz w:val="28"/>
                <w:szCs w:val="28"/>
                <w:highlight w:val="none"/>
              </w:rPr>
              <w:t>月</w:t>
            </w:r>
          </w:p>
          <w:p w14:paraId="4E2C1B66">
            <w:pPr>
              <w:pStyle w:val="2"/>
              <w:ind w:firstLine="420"/>
              <w:rPr>
                <w:highlight w:val="none"/>
              </w:rPr>
            </w:pPr>
          </w:p>
        </w:tc>
      </w:tr>
    </w:tbl>
    <w:p w14:paraId="5B9ED71F"/>
    <w:sectPr>
      <w:headerReference r:id="rId5" w:type="default"/>
      <w:footerReference r:id="rId6" w:type="default"/>
      <w:pgSz w:w="11906" w:h="16838"/>
      <w:pgMar w:top="1134" w:right="1417" w:bottom="1134" w:left="1417"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E40FD">
    <w:pPr>
      <w:pStyle w:val="29"/>
      <w:framePr w:wrap="around" w:vAnchor="text" w:hAnchor="margin" w:xAlign="center" w:y="1"/>
      <w:rPr>
        <w:rStyle w:val="51"/>
      </w:rPr>
    </w:pPr>
  </w:p>
  <w:p w14:paraId="5B1AB02A">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C45D4">
    <w:pPr>
      <w:pStyle w:val="29"/>
      <w:rPr>
        <w:rStyle w:val="5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7F23C9">
                          <w:pPr>
                            <w:pStyle w:val="29"/>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qv1RMoBAACcAwAADgAAAGRycy9lMm9Eb2MueG1srVPNjtMwEL4j8Q6W&#10;79RpD6hE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5xEyhx3OLAL9+/XX78uvz8SpbV&#10;6k1WqA9QY+JDwNQ03PkhZ09+QGcmPqho8xcpEYyjvuervnJIRORH69V6XWFIYGy+IA57fB4ipLfS&#10;W5KNhkYcYNGVn95DGlPnlFzN+XttDPp5bdxfDsTMHpZ7H3vMVhr2w9T43rdn5NPj7BvqcNUpMe8c&#10;SpvXZDbibOxn4xiiPnRlj3I9CLfHhE2U3nKFEXYqjEMr7KYFy1vx571kPf5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Rqv1RMoBAACcAwAADgAAAAAAAAABACAAAAAeAQAAZHJzL2Uyb0Rv&#10;Yy54bWxQSwUGAAAAAAYABgBZAQAAWgUAAAAA&#10;">
              <v:fill on="f" focussize="0,0"/>
              <v:stroke on="f"/>
              <v:imagedata o:title=""/>
              <o:lock v:ext="edit" aspectratio="f"/>
              <v:textbox inset="0mm,0mm,0mm,0mm" style="mso-fit-shape-to-text:t;">
                <w:txbxContent>
                  <w:p w14:paraId="0B7F23C9">
                    <w:pPr>
                      <w:pStyle w:val="29"/>
                    </w:pPr>
                    <w:r>
                      <w:fldChar w:fldCharType="begin"/>
                    </w:r>
                    <w:r>
                      <w:instrText xml:space="preserve"> PAGE  \* MERGEFORMAT </w:instrText>
                    </w:r>
                    <w:r>
                      <w:fldChar w:fldCharType="separate"/>
                    </w:r>
                    <w:r>
                      <w:t>2</w:t>
                    </w:r>
                    <w:r>
                      <w:fldChar w:fldCharType="end"/>
                    </w:r>
                  </w:p>
                </w:txbxContent>
              </v:textbox>
            </v:shape>
          </w:pict>
        </mc:Fallback>
      </mc:AlternateContent>
    </w:r>
  </w:p>
  <w:p w14:paraId="2F14CAEA">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161E">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89CAB">
    <w:pPr>
      <w:pStyle w:val="3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138FE7"/>
    <w:multiLevelType w:val="singleLevel"/>
    <w:tmpl w:val="C0138FE7"/>
    <w:lvl w:ilvl="0" w:tentative="0">
      <w:start w:val="5"/>
      <w:numFmt w:val="chineseCounting"/>
      <w:suff w:val="space"/>
      <w:lvlText w:val="第%1章"/>
      <w:lvlJc w:val="left"/>
      <w:rPr>
        <w:rFonts w:hint="eastAsia"/>
      </w:rPr>
    </w:lvl>
  </w:abstractNum>
  <w:abstractNum w:abstractNumId="1">
    <w:nsid w:val="CA1F7413"/>
    <w:multiLevelType w:val="singleLevel"/>
    <w:tmpl w:val="CA1F7413"/>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172A27"/>
    <w:rsid w:val="0000197A"/>
    <w:rsid w:val="00002E1B"/>
    <w:rsid w:val="000046EA"/>
    <w:rsid w:val="00004E34"/>
    <w:rsid w:val="00005CD8"/>
    <w:rsid w:val="00006123"/>
    <w:rsid w:val="000070B7"/>
    <w:rsid w:val="0000758B"/>
    <w:rsid w:val="00010F4B"/>
    <w:rsid w:val="0001111D"/>
    <w:rsid w:val="00011A14"/>
    <w:rsid w:val="00012844"/>
    <w:rsid w:val="00012D1D"/>
    <w:rsid w:val="00017114"/>
    <w:rsid w:val="00017EFA"/>
    <w:rsid w:val="00020FE0"/>
    <w:rsid w:val="00021BDB"/>
    <w:rsid w:val="000225E0"/>
    <w:rsid w:val="00022A89"/>
    <w:rsid w:val="00023D05"/>
    <w:rsid w:val="00026E12"/>
    <w:rsid w:val="000273CC"/>
    <w:rsid w:val="000330C1"/>
    <w:rsid w:val="000335C0"/>
    <w:rsid w:val="00034C73"/>
    <w:rsid w:val="0003719A"/>
    <w:rsid w:val="00037B93"/>
    <w:rsid w:val="00040224"/>
    <w:rsid w:val="0004332D"/>
    <w:rsid w:val="00044907"/>
    <w:rsid w:val="0004695D"/>
    <w:rsid w:val="00046C34"/>
    <w:rsid w:val="00057DBF"/>
    <w:rsid w:val="000617FE"/>
    <w:rsid w:val="0006411D"/>
    <w:rsid w:val="000642AF"/>
    <w:rsid w:val="00066792"/>
    <w:rsid w:val="00072090"/>
    <w:rsid w:val="00076B75"/>
    <w:rsid w:val="00076F1D"/>
    <w:rsid w:val="00077234"/>
    <w:rsid w:val="000837EF"/>
    <w:rsid w:val="00083ADA"/>
    <w:rsid w:val="0008659F"/>
    <w:rsid w:val="00086C18"/>
    <w:rsid w:val="00090A07"/>
    <w:rsid w:val="00090F90"/>
    <w:rsid w:val="00093100"/>
    <w:rsid w:val="000939B1"/>
    <w:rsid w:val="00094E9D"/>
    <w:rsid w:val="000A078C"/>
    <w:rsid w:val="000A11AD"/>
    <w:rsid w:val="000A2C9F"/>
    <w:rsid w:val="000A475B"/>
    <w:rsid w:val="000A65EE"/>
    <w:rsid w:val="000B0DC9"/>
    <w:rsid w:val="000B3A75"/>
    <w:rsid w:val="000B4B76"/>
    <w:rsid w:val="000B547D"/>
    <w:rsid w:val="000B7A7E"/>
    <w:rsid w:val="000B7EE6"/>
    <w:rsid w:val="000C10AA"/>
    <w:rsid w:val="000C26FD"/>
    <w:rsid w:val="000D08DE"/>
    <w:rsid w:val="000D203E"/>
    <w:rsid w:val="000D2C3D"/>
    <w:rsid w:val="000D2ECE"/>
    <w:rsid w:val="000D4E9E"/>
    <w:rsid w:val="000D7F9C"/>
    <w:rsid w:val="000E0020"/>
    <w:rsid w:val="000E1F7F"/>
    <w:rsid w:val="000E227E"/>
    <w:rsid w:val="000E24EC"/>
    <w:rsid w:val="000E3D3D"/>
    <w:rsid w:val="000F7312"/>
    <w:rsid w:val="000F740E"/>
    <w:rsid w:val="00104E44"/>
    <w:rsid w:val="001063CB"/>
    <w:rsid w:val="0011140E"/>
    <w:rsid w:val="00114707"/>
    <w:rsid w:val="00115943"/>
    <w:rsid w:val="00116988"/>
    <w:rsid w:val="00120E5D"/>
    <w:rsid w:val="00125553"/>
    <w:rsid w:val="0012738D"/>
    <w:rsid w:val="00130FBA"/>
    <w:rsid w:val="00131494"/>
    <w:rsid w:val="00132E3D"/>
    <w:rsid w:val="0014049F"/>
    <w:rsid w:val="00140BFD"/>
    <w:rsid w:val="00142868"/>
    <w:rsid w:val="00146B5E"/>
    <w:rsid w:val="0015292B"/>
    <w:rsid w:val="0015363F"/>
    <w:rsid w:val="00154C59"/>
    <w:rsid w:val="00155F6F"/>
    <w:rsid w:val="001564C3"/>
    <w:rsid w:val="001620D9"/>
    <w:rsid w:val="0016514F"/>
    <w:rsid w:val="00165414"/>
    <w:rsid w:val="00165F97"/>
    <w:rsid w:val="00167090"/>
    <w:rsid w:val="00167507"/>
    <w:rsid w:val="00172A27"/>
    <w:rsid w:val="00173108"/>
    <w:rsid w:val="00173D37"/>
    <w:rsid w:val="00174E43"/>
    <w:rsid w:val="0018238C"/>
    <w:rsid w:val="00182D4C"/>
    <w:rsid w:val="001834BA"/>
    <w:rsid w:val="001843D3"/>
    <w:rsid w:val="00184866"/>
    <w:rsid w:val="00185DBC"/>
    <w:rsid w:val="001867E2"/>
    <w:rsid w:val="001919D1"/>
    <w:rsid w:val="00191DD8"/>
    <w:rsid w:val="00193AE6"/>
    <w:rsid w:val="00194AEF"/>
    <w:rsid w:val="001963BD"/>
    <w:rsid w:val="001A120B"/>
    <w:rsid w:val="001A184C"/>
    <w:rsid w:val="001A274E"/>
    <w:rsid w:val="001A2C88"/>
    <w:rsid w:val="001A37E0"/>
    <w:rsid w:val="001A3EC9"/>
    <w:rsid w:val="001A50F2"/>
    <w:rsid w:val="001A6EF7"/>
    <w:rsid w:val="001B1DF0"/>
    <w:rsid w:val="001B21A5"/>
    <w:rsid w:val="001B45D5"/>
    <w:rsid w:val="001B4675"/>
    <w:rsid w:val="001B4BDE"/>
    <w:rsid w:val="001B59E9"/>
    <w:rsid w:val="001B62B0"/>
    <w:rsid w:val="001B6A78"/>
    <w:rsid w:val="001C1FC2"/>
    <w:rsid w:val="001C4E01"/>
    <w:rsid w:val="001C7AB4"/>
    <w:rsid w:val="001D0C94"/>
    <w:rsid w:val="001D3498"/>
    <w:rsid w:val="001E1380"/>
    <w:rsid w:val="001E5247"/>
    <w:rsid w:val="001F23AB"/>
    <w:rsid w:val="001F32ED"/>
    <w:rsid w:val="001F4F95"/>
    <w:rsid w:val="001F7E70"/>
    <w:rsid w:val="00200459"/>
    <w:rsid w:val="00202DB7"/>
    <w:rsid w:val="00207065"/>
    <w:rsid w:val="00207999"/>
    <w:rsid w:val="00212D04"/>
    <w:rsid w:val="00213FCA"/>
    <w:rsid w:val="00214988"/>
    <w:rsid w:val="00214B43"/>
    <w:rsid w:val="00214F76"/>
    <w:rsid w:val="002202CE"/>
    <w:rsid w:val="0022219A"/>
    <w:rsid w:val="00222521"/>
    <w:rsid w:val="00227461"/>
    <w:rsid w:val="0022783F"/>
    <w:rsid w:val="00230392"/>
    <w:rsid w:val="00230583"/>
    <w:rsid w:val="00230A2B"/>
    <w:rsid w:val="00231547"/>
    <w:rsid w:val="002334EC"/>
    <w:rsid w:val="00235B32"/>
    <w:rsid w:val="00236AD7"/>
    <w:rsid w:val="00237688"/>
    <w:rsid w:val="00240423"/>
    <w:rsid w:val="00243B18"/>
    <w:rsid w:val="00246AD7"/>
    <w:rsid w:val="00246B91"/>
    <w:rsid w:val="00247A64"/>
    <w:rsid w:val="00250013"/>
    <w:rsid w:val="00250BCF"/>
    <w:rsid w:val="00253591"/>
    <w:rsid w:val="00255670"/>
    <w:rsid w:val="00256780"/>
    <w:rsid w:val="00262ABE"/>
    <w:rsid w:val="002657EE"/>
    <w:rsid w:val="00276F57"/>
    <w:rsid w:val="00277D06"/>
    <w:rsid w:val="002816D4"/>
    <w:rsid w:val="00286980"/>
    <w:rsid w:val="002928CE"/>
    <w:rsid w:val="00292C87"/>
    <w:rsid w:val="0029757E"/>
    <w:rsid w:val="002A1A66"/>
    <w:rsid w:val="002A39EF"/>
    <w:rsid w:val="002A599F"/>
    <w:rsid w:val="002A6E04"/>
    <w:rsid w:val="002B4BA8"/>
    <w:rsid w:val="002B7071"/>
    <w:rsid w:val="002B7117"/>
    <w:rsid w:val="002B714A"/>
    <w:rsid w:val="002B718A"/>
    <w:rsid w:val="002B7621"/>
    <w:rsid w:val="002C2E22"/>
    <w:rsid w:val="002C4A57"/>
    <w:rsid w:val="002C528E"/>
    <w:rsid w:val="002C5643"/>
    <w:rsid w:val="002E13EC"/>
    <w:rsid w:val="002E41CC"/>
    <w:rsid w:val="002F05E9"/>
    <w:rsid w:val="002F2C99"/>
    <w:rsid w:val="002F3D6A"/>
    <w:rsid w:val="002F794D"/>
    <w:rsid w:val="003029B3"/>
    <w:rsid w:val="00303019"/>
    <w:rsid w:val="00306787"/>
    <w:rsid w:val="00306966"/>
    <w:rsid w:val="0031113D"/>
    <w:rsid w:val="00311AAC"/>
    <w:rsid w:val="00313CA4"/>
    <w:rsid w:val="00314E82"/>
    <w:rsid w:val="003150CE"/>
    <w:rsid w:val="00315FF9"/>
    <w:rsid w:val="00316270"/>
    <w:rsid w:val="00321598"/>
    <w:rsid w:val="00321FDB"/>
    <w:rsid w:val="00323870"/>
    <w:rsid w:val="00323FFD"/>
    <w:rsid w:val="00324847"/>
    <w:rsid w:val="00324A5E"/>
    <w:rsid w:val="00325624"/>
    <w:rsid w:val="0032611D"/>
    <w:rsid w:val="003264EB"/>
    <w:rsid w:val="00326940"/>
    <w:rsid w:val="00330CCD"/>
    <w:rsid w:val="00332891"/>
    <w:rsid w:val="00332BBD"/>
    <w:rsid w:val="00333810"/>
    <w:rsid w:val="003343C0"/>
    <w:rsid w:val="00340804"/>
    <w:rsid w:val="00342D97"/>
    <w:rsid w:val="00343375"/>
    <w:rsid w:val="003448C2"/>
    <w:rsid w:val="00344CD6"/>
    <w:rsid w:val="0034662F"/>
    <w:rsid w:val="003510D2"/>
    <w:rsid w:val="00351A8E"/>
    <w:rsid w:val="0035447B"/>
    <w:rsid w:val="00356B27"/>
    <w:rsid w:val="00356B90"/>
    <w:rsid w:val="00357C8A"/>
    <w:rsid w:val="00360C29"/>
    <w:rsid w:val="0036101B"/>
    <w:rsid w:val="003613C6"/>
    <w:rsid w:val="00361CBA"/>
    <w:rsid w:val="00362EE3"/>
    <w:rsid w:val="0036593D"/>
    <w:rsid w:val="00366951"/>
    <w:rsid w:val="00370107"/>
    <w:rsid w:val="003720A1"/>
    <w:rsid w:val="003745F9"/>
    <w:rsid w:val="00376808"/>
    <w:rsid w:val="0037767C"/>
    <w:rsid w:val="003817E6"/>
    <w:rsid w:val="00381E22"/>
    <w:rsid w:val="0038244A"/>
    <w:rsid w:val="00382545"/>
    <w:rsid w:val="00383221"/>
    <w:rsid w:val="00384090"/>
    <w:rsid w:val="003844ED"/>
    <w:rsid w:val="00386132"/>
    <w:rsid w:val="003871B4"/>
    <w:rsid w:val="00393016"/>
    <w:rsid w:val="00394BA5"/>
    <w:rsid w:val="00394D82"/>
    <w:rsid w:val="003A70F7"/>
    <w:rsid w:val="003B39C6"/>
    <w:rsid w:val="003B4CDE"/>
    <w:rsid w:val="003B5919"/>
    <w:rsid w:val="003B7075"/>
    <w:rsid w:val="003B7983"/>
    <w:rsid w:val="003C24F4"/>
    <w:rsid w:val="003C4452"/>
    <w:rsid w:val="003C4CBD"/>
    <w:rsid w:val="003C7646"/>
    <w:rsid w:val="003D0BFC"/>
    <w:rsid w:val="003D206A"/>
    <w:rsid w:val="003D27B4"/>
    <w:rsid w:val="003D34ED"/>
    <w:rsid w:val="003D60ED"/>
    <w:rsid w:val="003D7852"/>
    <w:rsid w:val="003E0F27"/>
    <w:rsid w:val="003E15AB"/>
    <w:rsid w:val="003E3274"/>
    <w:rsid w:val="003E441B"/>
    <w:rsid w:val="003E528B"/>
    <w:rsid w:val="003E62C9"/>
    <w:rsid w:val="003E64A4"/>
    <w:rsid w:val="003F1184"/>
    <w:rsid w:val="003F19CD"/>
    <w:rsid w:val="003F34D1"/>
    <w:rsid w:val="003F5214"/>
    <w:rsid w:val="003F56BE"/>
    <w:rsid w:val="003F72A7"/>
    <w:rsid w:val="00403578"/>
    <w:rsid w:val="0040419B"/>
    <w:rsid w:val="00404AFD"/>
    <w:rsid w:val="0041061A"/>
    <w:rsid w:val="00411B9C"/>
    <w:rsid w:val="004139CC"/>
    <w:rsid w:val="00416BD0"/>
    <w:rsid w:val="004179E4"/>
    <w:rsid w:val="00422908"/>
    <w:rsid w:val="0042416B"/>
    <w:rsid w:val="004249BA"/>
    <w:rsid w:val="0042531B"/>
    <w:rsid w:val="004306D8"/>
    <w:rsid w:val="00430F18"/>
    <w:rsid w:val="00432BC1"/>
    <w:rsid w:val="00433924"/>
    <w:rsid w:val="00434AAC"/>
    <w:rsid w:val="0043512B"/>
    <w:rsid w:val="00435537"/>
    <w:rsid w:val="004355FE"/>
    <w:rsid w:val="00441E58"/>
    <w:rsid w:val="00445715"/>
    <w:rsid w:val="00445E0F"/>
    <w:rsid w:val="00446179"/>
    <w:rsid w:val="004506F7"/>
    <w:rsid w:val="0045199B"/>
    <w:rsid w:val="00451F70"/>
    <w:rsid w:val="00454C0F"/>
    <w:rsid w:val="00454F95"/>
    <w:rsid w:val="004571AF"/>
    <w:rsid w:val="00462043"/>
    <w:rsid w:val="0046380E"/>
    <w:rsid w:val="00466093"/>
    <w:rsid w:val="004712B0"/>
    <w:rsid w:val="00471B5C"/>
    <w:rsid w:val="00473006"/>
    <w:rsid w:val="00473509"/>
    <w:rsid w:val="00473BA0"/>
    <w:rsid w:val="00474B17"/>
    <w:rsid w:val="0047678B"/>
    <w:rsid w:val="00477FF4"/>
    <w:rsid w:val="00482303"/>
    <w:rsid w:val="00487C57"/>
    <w:rsid w:val="00494CD7"/>
    <w:rsid w:val="004A3117"/>
    <w:rsid w:val="004A394F"/>
    <w:rsid w:val="004A7299"/>
    <w:rsid w:val="004B15C6"/>
    <w:rsid w:val="004C0130"/>
    <w:rsid w:val="004C1E7E"/>
    <w:rsid w:val="004C2BF2"/>
    <w:rsid w:val="004C4C36"/>
    <w:rsid w:val="004C791A"/>
    <w:rsid w:val="004D0871"/>
    <w:rsid w:val="004D31D7"/>
    <w:rsid w:val="004D6B92"/>
    <w:rsid w:val="004E085C"/>
    <w:rsid w:val="004E0F8D"/>
    <w:rsid w:val="004F0E30"/>
    <w:rsid w:val="004F1D3D"/>
    <w:rsid w:val="004F3C9D"/>
    <w:rsid w:val="004F5CF2"/>
    <w:rsid w:val="004F77A5"/>
    <w:rsid w:val="00504F99"/>
    <w:rsid w:val="00505F69"/>
    <w:rsid w:val="005078D7"/>
    <w:rsid w:val="00510F89"/>
    <w:rsid w:val="00512B81"/>
    <w:rsid w:val="00513D1E"/>
    <w:rsid w:val="0052022B"/>
    <w:rsid w:val="005212B3"/>
    <w:rsid w:val="00525D5C"/>
    <w:rsid w:val="00526B90"/>
    <w:rsid w:val="00527D18"/>
    <w:rsid w:val="005324F1"/>
    <w:rsid w:val="005345CF"/>
    <w:rsid w:val="00534798"/>
    <w:rsid w:val="00534AB4"/>
    <w:rsid w:val="005362C3"/>
    <w:rsid w:val="00536BAD"/>
    <w:rsid w:val="00537141"/>
    <w:rsid w:val="005408F8"/>
    <w:rsid w:val="00543A1A"/>
    <w:rsid w:val="00543D1A"/>
    <w:rsid w:val="00545A63"/>
    <w:rsid w:val="00550A8B"/>
    <w:rsid w:val="00551ABE"/>
    <w:rsid w:val="00551F3F"/>
    <w:rsid w:val="00553C28"/>
    <w:rsid w:val="00555711"/>
    <w:rsid w:val="0055655B"/>
    <w:rsid w:val="005575EF"/>
    <w:rsid w:val="00557CAA"/>
    <w:rsid w:val="005610A7"/>
    <w:rsid w:val="00562097"/>
    <w:rsid w:val="00562642"/>
    <w:rsid w:val="00562653"/>
    <w:rsid w:val="00563B31"/>
    <w:rsid w:val="00564616"/>
    <w:rsid w:val="00565E25"/>
    <w:rsid w:val="00566512"/>
    <w:rsid w:val="005677A2"/>
    <w:rsid w:val="00571668"/>
    <w:rsid w:val="00573193"/>
    <w:rsid w:val="005736B2"/>
    <w:rsid w:val="0057643A"/>
    <w:rsid w:val="00580342"/>
    <w:rsid w:val="00582213"/>
    <w:rsid w:val="005901E1"/>
    <w:rsid w:val="005915F5"/>
    <w:rsid w:val="00591F58"/>
    <w:rsid w:val="00592834"/>
    <w:rsid w:val="00594FBF"/>
    <w:rsid w:val="0059693D"/>
    <w:rsid w:val="00597823"/>
    <w:rsid w:val="005A3405"/>
    <w:rsid w:val="005A5E6E"/>
    <w:rsid w:val="005A65D3"/>
    <w:rsid w:val="005A71BD"/>
    <w:rsid w:val="005A7C75"/>
    <w:rsid w:val="005B3CFB"/>
    <w:rsid w:val="005B4AA4"/>
    <w:rsid w:val="005B5C42"/>
    <w:rsid w:val="005B682A"/>
    <w:rsid w:val="005B705D"/>
    <w:rsid w:val="005C0054"/>
    <w:rsid w:val="005D0BCF"/>
    <w:rsid w:val="005D1D33"/>
    <w:rsid w:val="005D1E1A"/>
    <w:rsid w:val="005D2808"/>
    <w:rsid w:val="005D49DC"/>
    <w:rsid w:val="005D6EDB"/>
    <w:rsid w:val="005E4BD5"/>
    <w:rsid w:val="005E6D8D"/>
    <w:rsid w:val="005E7874"/>
    <w:rsid w:val="005F2C58"/>
    <w:rsid w:val="005F3CD8"/>
    <w:rsid w:val="005F6D4E"/>
    <w:rsid w:val="00601231"/>
    <w:rsid w:val="006015AA"/>
    <w:rsid w:val="006053A4"/>
    <w:rsid w:val="00610D91"/>
    <w:rsid w:val="0061143B"/>
    <w:rsid w:val="006173D9"/>
    <w:rsid w:val="006174D0"/>
    <w:rsid w:val="00617B19"/>
    <w:rsid w:val="00620E0C"/>
    <w:rsid w:val="0062507F"/>
    <w:rsid w:val="00626412"/>
    <w:rsid w:val="00627097"/>
    <w:rsid w:val="00627F07"/>
    <w:rsid w:val="00630701"/>
    <w:rsid w:val="00630A52"/>
    <w:rsid w:val="006314EC"/>
    <w:rsid w:val="006317D9"/>
    <w:rsid w:val="006319A4"/>
    <w:rsid w:val="006320EC"/>
    <w:rsid w:val="00632505"/>
    <w:rsid w:val="0063261C"/>
    <w:rsid w:val="00634E49"/>
    <w:rsid w:val="006404B8"/>
    <w:rsid w:val="00640732"/>
    <w:rsid w:val="00640CD1"/>
    <w:rsid w:val="006411FA"/>
    <w:rsid w:val="006468C4"/>
    <w:rsid w:val="00656322"/>
    <w:rsid w:val="0065656C"/>
    <w:rsid w:val="00662C9C"/>
    <w:rsid w:val="00664CCB"/>
    <w:rsid w:val="0066501C"/>
    <w:rsid w:val="00667847"/>
    <w:rsid w:val="00667E21"/>
    <w:rsid w:val="00672253"/>
    <w:rsid w:val="00672477"/>
    <w:rsid w:val="006803F2"/>
    <w:rsid w:val="00680EED"/>
    <w:rsid w:val="00683A32"/>
    <w:rsid w:val="00686C3A"/>
    <w:rsid w:val="0069751D"/>
    <w:rsid w:val="00697E3A"/>
    <w:rsid w:val="006A5A61"/>
    <w:rsid w:val="006A6C9D"/>
    <w:rsid w:val="006B06AF"/>
    <w:rsid w:val="006B3780"/>
    <w:rsid w:val="006B3913"/>
    <w:rsid w:val="006B5F0A"/>
    <w:rsid w:val="006B7B67"/>
    <w:rsid w:val="006C004B"/>
    <w:rsid w:val="006C09E3"/>
    <w:rsid w:val="006C12A2"/>
    <w:rsid w:val="006C1EAD"/>
    <w:rsid w:val="006C3056"/>
    <w:rsid w:val="006C3E9D"/>
    <w:rsid w:val="006C4608"/>
    <w:rsid w:val="006E29E7"/>
    <w:rsid w:val="006E3C5D"/>
    <w:rsid w:val="006E4C81"/>
    <w:rsid w:val="006F3D17"/>
    <w:rsid w:val="007010A6"/>
    <w:rsid w:val="007010E6"/>
    <w:rsid w:val="007013D6"/>
    <w:rsid w:val="00704877"/>
    <w:rsid w:val="007056DC"/>
    <w:rsid w:val="00707B0D"/>
    <w:rsid w:val="00707F33"/>
    <w:rsid w:val="00707FB8"/>
    <w:rsid w:val="00710E91"/>
    <w:rsid w:val="00712094"/>
    <w:rsid w:val="00712899"/>
    <w:rsid w:val="00716F04"/>
    <w:rsid w:val="007220FC"/>
    <w:rsid w:val="007224C8"/>
    <w:rsid w:val="00731F87"/>
    <w:rsid w:val="00734057"/>
    <w:rsid w:val="007347A9"/>
    <w:rsid w:val="00734A59"/>
    <w:rsid w:val="00737389"/>
    <w:rsid w:val="00740EA7"/>
    <w:rsid w:val="00741E7A"/>
    <w:rsid w:val="00743A79"/>
    <w:rsid w:val="00746374"/>
    <w:rsid w:val="0074694C"/>
    <w:rsid w:val="00750DC6"/>
    <w:rsid w:val="00751F36"/>
    <w:rsid w:val="00752ABA"/>
    <w:rsid w:val="007544B3"/>
    <w:rsid w:val="00754953"/>
    <w:rsid w:val="00755F4B"/>
    <w:rsid w:val="007569BF"/>
    <w:rsid w:val="00764F21"/>
    <w:rsid w:val="007650EA"/>
    <w:rsid w:val="00771225"/>
    <w:rsid w:val="007716E8"/>
    <w:rsid w:val="00771EE2"/>
    <w:rsid w:val="00772F61"/>
    <w:rsid w:val="007735D0"/>
    <w:rsid w:val="00776CE6"/>
    <w:rsid w:val="0077709D"/>
    <w:rsid w:val="0077725B"/>
    <w:rsid w:val="0078232E"/>
    <w:rsid w:val="007825BB"/>
    <w:rsid w:val="0078387C"/>
    <w:rsid w:val="007846BD"/>
    <w:rsid w:val="007852C4"/>
    <w:rsid w:val="00785C7C"/>
    <w:rsid w:val="00791072"/>
    <w:rsid w:val="00791620"/>
    <w:rsid w:val="00792C93"/>
    <w:rsid w:val="0079603B"/>
    <w:rsid w:val="00796119"/>
    <w:rsid w:val="00797F29"/>
    <w:rsid w:val="00797F99"/>
    <w:rsid w:val="007A3AD3"/>
    <w:rsid w:val="007A5486"/>
    <w:rsid w:val="007A59DE"/>
    <w:rsid w:val="007B10BC"/>
    <w:rsid w:val="007B2FBF"/>
    <w:rsid w:val="007B6549"/>
    <w:rsid w:val="007B7D18"/>
    <w:rsid w:val="007C065A"/>
    <w:rsid w:val="007C313C"/>
    <w:rsid w:val="007C5C10"/>
    <w:rsid w:val="007C5C4D"/>
    <w:rsid w:val="007D2547"/>
    <w:rsid w:val="007D3552"/>
    <w:rsid w:val="007D5303"/>
    <w:rsid w:val="007D6C61"/>
    <w:rsid w:val="007D7027"/>
    <w:rsid w:val="007E1D6E"/>
    <w:rsid w:val="007E60BB"/>
    <w:rsid w:val="007E66F0"/>
    <w:rsid w:val="007E6E71"/>
    <w:rsid w:val="007F0879"/>
    <w:rsid w:val="007F2072"/>
    <w:rsid w:val="007F7CC1"/>
    <w:rsid w:val="00801530"/>
    <w:rsid w:val="00803277"/>
    <w:rsid w:val="00803BC6"/>
    <w:rsid w:val="008044D7"/>
    <w:rsid w:val="00811BC8"/>
    <w:rsid w:val="00812181"/>
    <w:rsid w:val="0081385B"/>
    <w:rsid w:val="00816600"/>
    <w:rsid w:val="00821645"/>
    <w:rsid w:val="00822D2E"/>
    <w:rsid w:val="00827EA0"/>
    <w:rsid w:val="0083345E"/>
    <w:rsid w:val="00834EAE"/>
    <w:rsid w:val="00841403"/>
    <w:rsid w:val="0084190B"/>
    <w:rsid w:val="0084411B"/>
    <w:rsid w:val="00844951"/>
    <w:rsid w:val="00844D6E"/>
    <w:rsid w:val="00845A5D"/>
    <w:rsid w:val="008462FB"/>
    <w:rsid w:val="008465CD"/>
    <w:rsid w:val="0084663D"/>
    <w:rsid w:val="008515C0"/>
    <w:rsid w:val="00854873"/>
    <w:rsid w:val="00855E83"/>
    <w:rsid w:val="00856515"/>
    <w:rsid w:val="0086292A"/>
    <w:rsid w:val="00864FC6"/>
    <w:rsid w:val="00865B48"/>
    <w:rsid w:val="00872E7D"/>
    <w:rsid w:val="00874549"/>
    <w:rsid w:val="008756B7"/>
    <w:rsid w:val="008757B7"/>
    <w:rsid w:val="00880472"/>
    <w:rsid w:val="008813F9"/>
    <w:rsid w:val="0088144C"/>
    <w:rsid w:val="00881587"/>
    <w:rsid w:val="0088218C"/>
    <w:rsid w:val="00884060"/>
    <w:rsid w:val="00890796"/>
    <w:rsid w:val="0089321E"/>
    <w:rsid w:val="008933DF"/>
    <w:rsid w:val="00894C08"/>
    <w:rsid w:val="00895001"/>
    <w:rsid w:val="0089560E"/>
    <w:rsid w:val="008A0CBD"/>
    <w:rsid w:val="008A0D2A"/>
    <w:rsid w:val="008A1DEE"/>
    <w:rsid w:val="008A3970"/>
    <w:rsid w:val="008A5701"/>
    <w:rsid w:val="008B3DFF"/>
    <w:rsid w:val="008B3F28"/>
    <w:rsid w:val="008C49D3"/>
    <w:rsid w:val="008C5947"/>
    <w:rsid w:val="008C6DA1"/>
    <w:rsid w:val="008C72A6"/>
    <w:rsid w:val="008D3D94"/>
    <w:rsid w:val="008D618A"/>
    <w:rsid w:val="008E1DC0"/>
    <w:rsid w:val="008E30BF"/>
    <w:rsid w:val="008E35A0"/>
    <w:rsid w:val="008E3A25"/>
    <w:rsid w:val="008E5038"/>
    <w:rsid w:val="008F031C"/>
    <w:rsid w:val="008F1463"/>
    <w:rsid w:val="008F1F11"/>
    <w:rsid w:val="008F31C7"/>
    <w:rsid w:val="008F7358"/>
    <w:rsid w:val="008F7394"/>
    <w:rsid w:val="008F79D7"/>
    <w:rsid w:val="009006DF"/>
    <w:rsid w:val="00910153"/>
    <w:rsid w:val="00910A19"/>
    <w:rsid w:val="00910BDC"/>
    <w:rsid w:val="00910F4E"/>
    <w:rsid w:val="00911695"/>
    <w:rsid w:val="00911E55"/>
    <w:rsid w:val="00913F05"/>
    <w:rsid w:val="0091562C"/>
    <w:rsid w:val="009177B6"/>
    <w:rsid w:val="00917A27"/>
    <w:rsid w:val="00923CD3"/>
    <w:rsid w:val="00924202"/>
    <w:rsid w:val="00924E50"/>
    <w:rsid w:val="00925CC6"/>
    <w:rsid w:val="00926ABF"/>
    <w:rsid w:val="00927A26"/>
    <w:rsid w:val="00927D00"/>
    <w:rsid w:val="00930969"/>
    <w:rsid w:val="0093269F"/>
    <w:rsid w:val="00936433"/>
    <w:rsid w:val="009412CD"/>
    <w:rsid w:val="0095349A"/>
    <w:rsid w:val="00955204"/>
    <w:rsid w:val="00960CAB"/>
    <w:rsid w:val="00960CCB"/>
    <w:rsid w:val="00961359"/>
    <w:rsid w:val="00962A0B"/>
    <w:rsid w:val="00962C4D"/>
    <w:rsid w:val="00964D34"/>
    <w:rsid w:val="00966F72"/>
    <w:rsid w:val="0096757C"/>
    <w:rsid w:val="00967A23"/>
    <w:rsid w:val="00972946"/>
    <w:rsid w:val="00972E84"/>
    <w:rsid w:val="00974691"/>
    <w:rsid w:val="00976022"/>
    <w:rsid w:val="00976169"/>
    <w:rsid w:val="00976580"/>
    <w:rsid w:val="00977C3F"/>
    <w:rsid w:val="00977CC3"/>
    <w:rsid w:val="00980102"/>
    <w:rsid w:val="0098316D"/>
    <w:rsid w:val="00984D59"/>
    <w:rsid w:val="0098502F"/>
    <w:rsid w:val="00986D16"/>
    <w:rsid w:val="009910B5"/>
    <w:rsid w:val="009920AD"/>
    <w:rsid w:val="0099244A"/>
    <w:rsid w:val="009938B8"/>
    <w:rsid w:val="00994EB2"/>
    <w:rsid w:val="00995053"/>
    <w:rsid w:val="009A0735"/>
    <w:rsid w:val="009A25E2"/>
    <w:rsid w:val="009A37CD"/>
    <w:rsid w:val="009A4C36"/>
    <w:rsid w:val="009B1FF8"/>
    <w:rsid w:val="009B42EF"/>
    <w:rsid w:val="009B4E7E"/>
    <w:rsid w:val="009B5EED"/>
    <w:rsid w:val="009C20D3"/>
    <w:rsid w:val="009C37BF"/>
    <w:rsid w:val="009C6EE6"/>
    <w:rsid w:val="009C7333"/>
    <w:rsid w:val="009C7979"/>
    <w:rsid w:val="009D0966"/>
    <w:rsid w:val="009D0B0C"/>
    <w:rsid w:val="009D22E5"/>
    <w:rsid w:val="009D4B7E"/>
    <w:rsid w:val="009D5E13"/>
    <w:rsid w:val="009D71F1"/>
    <w:rsid w:val="009E015C"/>
    <w:rsid w:val="009E0909"/>
    <w:rsid w:val="009E37B1"/>
    <w:rsid w:val="009E3E05"/>
    <w:rsid w:val="009E5780"/>
    <w:rsid w:val="009E5D72"/>
    <w:rsid w:val="009E6EC4"/>
    <w:rsid w:val="009F01E1"/>
    <w:rsid w:val="009F2F5E"/>
    <w:rsid w:val="009F3B2F"/>
    <w:rsid w:val="009F42ED"/>
    <w:rsid w:val="009F60D9"/>
    <w:rsid w:val="00A01456"/>
    <w:rsid w:val="00A01B5E"/>
    <w:rsid w:val="00A02A20"/>
    <w:rsid w:val="00A03301"/>
    <w:rsid w:val="00A05E3C"/>
    <w:rsid w:val="00A0769D"/>
    <w:rsid w:val="00A07925"/>
    <w:rsid w:val="00A101E8"/>
    <w:rsid w:val="00A10455"/>
    <w:rsid w:val="00A1132C"/>
    <w:rsid w:val="00A1168E"/>
    <w:rsid w:val="00A11DCF"/>
    <w:rsid w:val="00A11EE6"/>
    <w:rsid w:val="00A1213C"/>
    <w:rsid w:val="00A14C01"/>
    <w:rsid w:val="00A1556E"/>
    <w:rsid w:val="00A169DC"/>
    <w:rsid w:val="00A20C10"/>
    <w:rsid w:val="00A22308"/>
    <w:rsid w:val="00A22EC9"/>
    <w:rsid w:val="00A25ED3"/>
    <w:rsid w:val="00A264B5"/>
    <w:rsid w:val="00A26E1A"/>
    <w:rsid w:val="00A27D67"/>
    <w:rsid w:val="00A317E0"/>
    <w:rsid w:val="00A37208"/>
    <w:rsid w:val="00A373FE"/>
    <w:rsid w:val="00A37744"/>
    <w:rsid w:val="00A4126B"/>
    <w:rsid w:val="00A431C8"/>
    <w:rsid w:val="00A47E8E"/>
    <w:rsid w:val="00A50183"/>
    <w:rsid w:val="00A50E52"/>
    <w:rsid w:val="00A512D9"/>
    <w:rsid w:val="00A52488"/>
    <w:rsid w:val="00A52EF8"/>
    <w:rsid w:val="00A52F87"/>
    <w:rsid w:val="00A550F0"/>
    <w:rsid w:val="00A55F4D"/>
    <w:rsid w:val="00A56DFC"/>
    <w:rsid w:val="00A607D6"/>
    <w:rsid w:val="00A65ACF"/>
    <w:rsid w:val="00A71725"/>
    <w:rsid w:val="00A730D4"/>
    <w:rsid w:val="00A75160"/>
    <w:rsid w:val="00A80107"/>
    <w:rsid w:val="00A80270"/>
    <w:rsid w:val="00A81E1C"/>
    <w:rsid w:val="00A82C07"/>
    <w:rsid w:val="00A8654F"/>
    <w:rsid w:val="00A921C2"/>
    <w:rsid w:val="00A93040"/>
    <w:rsid w:val="00A9331E"/>
    <w:rsid w:val="00A96C90"/>
    <w:rsid w:val="00AA1C5D"/>
    <w:rsid w:val="00AA207A"/>
    <w:rsid w:val="00AA672A"/>
    <w:rsid w:val="00AA7717"/>
    <w:rsid w:val="00AA7A7D"/>
    <w:rsid w:val="00AA7BA4"/>
    <w:rsid w:val="00AB24DF"/>
    <w:rsid w:val="00AB2639"/>
    <w:rsid w:val="00AB41F5"/>
    <w:rsid w:val="00AB534D"/>
    <w:rsid w:val="00AB6C48"/>
    <w:rsid w:val="00AB7F2E"/>
    <w:rsid w:val="00AC00B4"/>
    <w:rsid w:val="00AC26EA"/>
    <w:rsid w:val="00AC2702"/>
    <w:rsid w:val="00AC5E52"/>
    <w:rsid w:val="00AC75F2"/>
    <w:rsid w:val="00AD0D0C"/>
    <w:rsid w:val="00AD28A1"/>
    <w:rsid w:val="00AD39D3"/>
    <w:rsid w:val="00AD6CA7"/>
    <w:rsid w:val="00AF04EA"/>
    <w:rsid w:val="00AF1B9D"/>
    <w:rsid w:val="00AF2D9F"/>
    <w:rsid w:val="00AF4146"/>
    <w:rsid w:val="00B01E1E"/>
    <w:rsid w:val="00B04E52"/>
    <w:rsid w:val="00B064E0"/>
    <w:rsid w:val="00B0681C"/>
    <w:rsid w:val="00B06DF0"/>
    <w:rsid w:val="00B125E7"/>
    <w:rsid w:val="00B17733"/>
    <w:rsid w:val="00B17A2D"/>
    <w:rsid w:val="00B238A2"/>
    <w:rsid w:val="00B24199"/>
    <w:rsid w:val="00B2684F"/>
    <w:rsid w:val="00B30708"/>
    <w:rsid w:val="00B30B1C"/>
    <w:rsid w:val="00B32557"/>
    <w:rsid w:val="00B40A36"/>
    <w:rsid w:val="00B421B9"/>
    <w:rsid w:val="00B43070"/>
    <w:rsid w:val="00B43FAA"/>
    <w:rsid w:val="00B46946"/>
    <w:rsid w:val="00B52319"/>
    <w:rsid w:val="00B5524B"/>
    <w:rsid w:val="00B60374"/>
    <w:rsid w:val="00B624DE"/>
    <w:rsid w:val="00B631C4"/>
    <w:rsid w:val="00B648B6"/>
    <w:rsid w:val="00B65453"/>
    <w:rsid w:val="00B669BA"/>
    <w:rsid w:val="00B67E11"/>
    <w:rsid w:val="00B75280"/>
    <w:rsid w:val="00B81D39"/>
    <w:rsid w:val="00B82D37"/>
    <w:rsid w:val="00B879EB"/>
    <w:rsid w:val="00B87A14"/>
    <w:rsid w:val="00B87A48"/>
    <w:rsid w:val="00B91A45"/>
    <w:rsid w:val="00BA398E"/>
    <w:rsid w:val="00BA58F0"/>
    <w:rsid w:val="00BA6D3B"/>
    <w:rsid w:val="00BA7453"/>
    <w:rsid w:val="00BB0336"/>
    <w:rsid w:val="00BB0FA2"/>
    <w:rsid w:val="00BB2223"/>
    <w:rsid w:val="00BB2B7B"/>
    <w:rsid w:val="00BB2E6B"/>
    <w:rsid w:val="00BC0C20"/>
    <w:rsid w:val="00BC508C"/>
    <w:rsid w:val="00BC79D7"/>
    <w:rsid w:val="00BD1389"/>
    <w:rsid w:val="00BD41E9"/>
    <w:rsid w:val="00BD51C6"/>
    <w:rsid w:val="00BD7908"/>
    <w:rsid w:val="00BE057A"/>
    <w:rsid w:val="00BE2D96"/>
    <w:rsid w:val="00BE520A"/>
    <w:rsid w:val="00BE5A23"/>
    <w:rsid w:val="00BE6705"/>
    <w:rsid w:val="00BE7FAD"/>
    <w:rsid w:val="00BF03C1"/>
    <w:rsid w:val="00BF0DAF"/>
    <w:rsid w:val="00BF0E76"/>
    <w:rsid w:val="00BF1E08"/>
    <w:rsid w:val="00BF2EB6"/>
    <w:rsid w:val="00BF7A0C"/>
    <w:rsid w:val="00C063C0"/>
    <w:rsid w:val="00C06DB4"/>
    <w:rsid w:val="00C0756A"/>
    <w:rsid w:val="00C12BE9"/>
    <w:rsid w:val="00C13786"/>
    <w:rsid w:val="00C14FCB"/>
    <w:rsid w:val="00C15A0C"/>
    <w:rsid w:val="00C15FE3"/>
    <w:rsid w:val="00C2443D"/>
    <w:rsid w:val="00C24999"/>
    <w:rsid w:val="00C25A3F"/>
    <w:rsid w:val="00C2616B"/>
    <w:rsid w:val="00C26E45"/>
    <w:rsid w:val="00C318C2"/>
    <w:rsid w:val="00C35769"/>
    <w:rsid w:val="00C405C9"/>
    <w:rsid w:val="00C40FE1"/>
    <w:rsid w:val="00C434BA"/>
    <w:rsid w:val="00C44BCE"/>
    <w:rsid w:val="00C46EAD"/>
    <w:rsid w:val="00C51140"/>
    <w:rsid w:val="00C536A9"/>
    <w:rsid w:val="00C56A2B"/>
    <w:rsid w:val="00C57A7D"/>
    <w:rsid w:val="00C57DD2"/>
    <w:rsid w:val="00C6039F"/>
    <w:rsid w:val="00C61FE7"/>
    <w:rsid w:val="00C64B7C"/>
    <w:rsid w:val="00C673DF"/>
    <w:rsid w:val="00C75A94"/>
    <w:rsid w:val="00C77A24"/>
    <w:rsid w:val="00C77AA8"/>
    <w:rsid w:val="00C804FA"/>
    <w:rsid w:val="00C82D91"/>
    <w:rsid w:val="00C82E68"/>
    <w:rsid w:val="00C862B3"/>
    <w:rsid w:val="00C87690"/>
    <w:rsid w:val="00C87B3D"/>
    <w:rsid w:val="00C92F00"/>
    <w:rsid w:val="00C936E3"/>
    <w:rsid w:val="00C93DA5"/>
    <w:rsid w:val="00C9452A"/>
    <w:rsid w:val="00C94FA3"/>
    <w:rsid w:val="00C9774D"/>
    <w:rsid w:val="00CA00CA"/>
    <w:rsid w:val="00CA0334"/>
    <w:rsid w:val="00CA2884"/>
    <w:rsid w:val="00CA2953"/>
    <w:rsid w:val="00CA3206"/>
    <w:rsid w:val="00CA348C"/>
    <w:rsid w:val="00CA4CD5"/>
    <w:rsid w:val="00CA68AA"/>
    <w:rsid w:val="00CB12D2"/>
    <w:rsid w:val="00CB3280"/>
    <w:rsid w:val="00CB3F09"/>
    <w:rsid w:val="00CB4283"/>
    <w:rsid w:val="00CB4873"/>
    <w:rsid w:val="00CB57BD"/>
    <w:rsid w:val="00CB618B"/>
    <w:rsid w:val="00CC1A9F"/>
    <w:rsid w:val="00CC1C9A"/>
    <w:rsid w:val="00CC252A"/>
    <w:rsid w:val="00CC4493"/>
    <w:rsid w:val="00CC44BA"/>
    <w:rsid w:val="00CC47DB"/>
    <w:rsid w:val="00CC5D81"/>
    <w:rsid w:val="00CC7B84"/>
    <w:rsid w:val="00CD275C"/>
    <w:rsid w:val="00CD4231"/>
    <w:rsid w:val="00CD4AF0"/>
    <w:rsid w:val="00CD7B4A"/>
    <w:rsid w:val="00CE3A30"/>
    <w:rsid w:val="00CE4050"/>
    <w:rsid w:val="00CE4F1D"/>
    <w:rsid w:val="00CE602D"/>
    <w:rsid w:val="00CE65F8"/>
    <w:rsid w:val="00CE792C"/>
    <w:rsid w:val="00CE7DD4"/>
    <w:rsid w:val="00CF59F8"/>
    <w:rsid w:val="00CF615A"/>
    <w:rsid w:val="00CF745F"/>
    <w:rsid w:val="00D0047C"/>
    <w:rsid w:val="00D01366"/>
    <w:rsid w:val="00D0265F"/>
    <w:rsid w:val="00D03403"/>
    <w:rsid w:val="00D046B8"/>
    <w:rsid w:val="00D12693"/>
    <w:rsid w:val="00D1359A"/>
    <w:rsid w:val="00D22FAB"/>
    <w:rsid w:val="00D258FD"/>
    <w:rsid w:val="00D26687"/>
    <w:rsid w:val="00D2689C"/>
    <w:rsid w:val="00D26B80"/>
    <w:rsid w:val="00D30EE3"/>
    <w:rsid w:val="00D329C5"/>
    <w:rsid w:val="00D3321C"/>
    <w:rsid w:val="00D337F6"/>
    <w:rsid w:val="00D35580"/>
    <w:rsid w:val="00D356EA"/>
    <w:rsid w:val="00D401A6"/>
    <w:rsid w:val="00D409EF"/>
    <w:rsid w:val="00D40B26"/>
    <w:rsid w:val="00D453E0"/>
    <w:rsid w:val="00D5328E"/>
    <w:rsid w:val="00D54F1A"/>
    <w:rsid w:val="00D565F5"/>
    <w:rsid w:val="00D567DA"/>
    <w:rsid w:val="00D577DB"/>
    <w:rsid w:val="00D57E1A"/>
    <w:rsid w:val="00D608B9"/>
    <w:rsid w:val="00D61861"/>
    <w:rsid w:val="00D622CD"/>
    <w:rsid w:val="00D62567"/>
    <w:rsid w:val="00D66575"/>
    <w:rsid w:val="00D70550"/>
    <w:rsid w:val="00D80FD3"/>
    <w:rsid w:val="00D82784"/>
    <w:rsid w:val="00D8528C"/>
    <w:rsid w:val="00D87357"/>
    <w:rsid w:val="00D93C90"/>
    <w:rsid w:val="00D97E72"/>
    <w:rsid w:val="00DA0B4C"/>
    <w:rsid w:val="00DA116F"/>
    <w:rsid w:val="00DA25E7"/>
    <w:rsid w:val="00DA56E9"/>
    <w:rsid w:val="00DA71CC"/>
    <w:rsid w:val="00DB0579"/>
    <w:rsid w:val="00DB697C"/>
    <w:rsid w:val="00DB727B"/>
    <w:rsid w:val="00DB7622"/>
    <w:rsid w:val="00DB7E9D"/>
    <w:rsid w:val="00DC26C6"/>
    <w:rsid w:val="00DC277E"/>
    <w:rsid w:val="00DC3027"/>
    <w:rsid w:val="00DC383B"/>
    <w:rsid w:val="00DC3D1F"/>
    <w:rsid w:val="00DD13E3"/>
    <w:rsid w:val="00DD2ED9"/>
    <w:rsid w:val="00DD33A6"/>
    <w:rsid w:val="00DD4A45"/>
    <w:rsid w:val="00DD63D1"/>
    <w:rsid w:val="00DE0362"/>
    <w:rsid w:val="00DE222A"/>
    <w:rsid w:val="00DE34C7"/>
    <w:rsid w:val="00DE3DF8"/>
    <w:rsid w:val="00DE5E9E"/>
    <w:rsid w:val="00DE7D44"/>
    <w:rsid w:val="00DF0E81"/>
    <w:rsid w:val="00DF1196"/>
    <w:rsid w:val="00DF73D5"/>
    <w:rsid w:val="00E006A4"/>
    <w:rsid w:val="00E01733"/>
    <w:rsid w:val="00E041AA"/>
    <w:rsid w:val="00E0726C"/>
    <w:rsid w:val="00E12C8B"/>
    <w:rsid w:val="00E13696"/>
    <w:rsid w:val="00E15607"/>
    <w:rsid w:val="00E15BD9"/>
    <w:rsid w:val="00E20153"/>
    <w:rsid w:val="00E213C3"/>
    <w:rsid w:val="00E24AF7"/>
    <w:rsid w:val="00E2637A"/>
    <w:rsid w:val="00E31555"/>
    <w:rsid w:val="00E31DCB"/>
    <w:rsid w:val="00E3267B"/>
    <w:rsid w:val="00E350B1"/>
    <w:rsid w:val="00E355CF"/>
    <w:rsid w:val="00E355D3"/>
    <w:rsid w:val="00E37A69"/>
    <w:rsid w:val="00E40E68"/>
    <w:rsid w:val="00E420DA"/>
    <w:rsid w:val="00E432BC"/>
    <w:rsid w:val="00E452FF"/>
    <w:rsid w:val="00E46A23"/>
    <w:rsid w:val="00E471B1"/>
    <w:rsid w:val="00E47253"/>
    <w:rsid w:val="00E52FB0"/>
    <w:rsid w:val="00E5543F"/>
    <w:rsid w:val="00E61183"/>
    <w:rsid w:val="00E61800"/>
    <w:rsid w:val="00E62303"/>
    <w:rsid w:val="00E658A8"/>
    <w:rsid w:val="00E668DA"/>
    <w:rsid w:val="00E676D9"/>
    <w:rsid w:val="00E71800"/>
    <w:rsid w:val="00E73BE6"/>
    <w:rsid w:val="00E73BEC"/>
    <w:rsid w:val="00E73D9E"/>
    <w:rsid w:val="00E73E25"/>
    <w:rsid w:val="00E74949"/>
    <w:rsid w:val="00E74A8E"/>
    <w:rsid w:val="00E76AD5"/>
    <w:rsid w:val="00E82224"/>
    <w:rsid w:val="00E87A83"/>
    <w:rsid w:val="00E96C97"/>
    <w:rsid w:val="00EA09A8"/>
    <w:rsid w:val="00EA3E32"/>
    <w:rsid w:val="00EA6D61"/>
    <w:rsid w:val="00EA704E"/>
    <w:rsid w:val="00EA7F7C"/>
    <w:rsid w:val="00EB2913"/>
    <w:rsid w:val="00EB42BD"/>
    <w:rsid w:val="00EB642C"/>
    <w:rsid w:val="00EC2475"/>
    <w:rsid w:val="00EC4E86"/>
    <w:rsid w:val="00EC5566"/>
    <w:rsid w:val="00EC69E9"/>
    <w:rsid w:val="00ED12A0"/>
    <w:rsid w:val="00ED2D4B"/>
    <w:rsid w:val="00ED4F9C"/>
    <w:rsid w:val="00ED55F8"/>
    <w:rsid w:val="00ED5689"/>
    <w:rsid w:val="00ED697B"/>
    <w:rsid w:val="00ED70F4"/>
    <w:rsid w:val="00EE0B69"/>
    <w:rsid w:val="00EE0F9A"/>
    <w:rsid w:val="00EE1A69"/>
    <w:rsid w:val="00EE5547"/>
    <w:rsid w:val="00EE7CE2"/>
    <w:rsid w:val="00EF6DB6"/>
    <w:rsid w:val="00EF6EF4"/>
    <w:rsid w:val="00F00091"/>
    <w:rsid w:val="00F005E7"/>
    <w:rsid w:val="00F01476"/>
    <w:rsid w:val="00F0190B"/>
    <w:rsid w:val="00F0202B"/>
    <w:rsid w:val="00F02302"/>
    <w:rsid w:val="00F03454"/>
    <w:rsid w:val="00F0494D"/>
    <w:rsid w:val="00F04A09"/>
    <w:rsid w:val="00F05D9E"/>
    <w:rsid w:val="00F06492"/>
    <w:rsid w:val="00F07ED0"/>
    <w:rsid w:val="00F10121"/>
    <w:rsid w:val="00F1264F"/>
    <w:rsid w:val="00F12882"/>
    <w:rsid w:val="00F1424F"/>
    <w:rsid w:val="00F1577A"/>
    <w:rsid w:val="00F21581"/>
    <w:rsid w:val="00F22362"/>
    <w:rsid w:val="00F24C6B"/>
    <w:rsid w:val="00F26850"/>
    <w:rsid w:val="00F274AF"/>
    <w:rsid w:val="00F308B0"/>
    <w:rsid w:val="00F3163A"/>
    <w:rsid w:val="00F3402B"/>
    <w:rsid w:val="00F365E1"/>
    <w:rsid w:val="00F3673E"/>
    <w:rsid w:val="00F400D9"/>
    <w:rsid w:val="00F40471"/>
    <w:rsid w:val="00F43778"/>
    <w:rsid w:val="00F43A25"/>
    <w:rsid w:val="00F44207"/>
    <w:rsid w:val="00F442EF"/>
    <w:rsid w:val="00F44932"/>
    <w:rsid w:val="00F471C7"/>
    <w:rsid w:val="00F509D2"/>
    <w:rsid w:val="00F53E92"/>
    <w:rsid w:val="00F554B2"/>
    <w:rsid w:val="00F579EE"/>
    <w:rsid w:val="00F57BC9"/>
    <w:rsid w:val="00F60225"/>
    <w:rsid w:val="00F61A0A"/>
    <w:rsid w:val="00F61AD6"/>
    <w:rsid w:val="00F641D8"/>
    <w:rsid w:val="00F64532"/>
    <w:rsid w:val="00F66627"/>
    <w:rsid w:val="00F711EC"/>
    <w:rsid w:val="00F71E61"/>
    <w:rsid w:val="00F75713"/>
    <w:rsid w:val="00F75AB0"/>
    <w:rsid w:val="00F75C73"/>
    <w:rsid w:val="00F81536"/>
    <w:rsid w:val="00F85169"/>
    <w:rsid w:val="00F85239"/>
    <w:rsid w:val="00F8527D"/>
    <w:rsid w:val="00F8540D"/>
    <w:rsid w:val="00F90548"/>
    <w:rsid w:val="00F922EF"/>
    <w:rsid w:val="00F937BD"/>
    <w:rsid w:val="00F962DC"/>
    <w:rsid w:val="00FA07CF"/>
    <w:rsid w:val="00FA2F0E"/>
    <w:rsid w:val="00FA4ABC"/>
    <w:rsid w:val="00FA51C6"/>
    <w:rsid w:val="00FA5D2F"/>
    <w:rsid w:val="00FB11E7"/>
    <w:rsid w:val="00FB7C96"/>
    <w:rsid w:val="00FC1F97"/>
    <w:rsid w:val="00FC460B"/>
    <w:rsid w:val="00FC56B8"/>
    <w:rsid w:val="00FC5F20"/>
    <w:rsid w:val="00FC69AF"/>
    <w:rsid w:val="00FC7B5E"/>
    <w:rsid w:val="00FD079E"/>
    <w:rsid w:val="00FD0B41"/>
    <w:rsid w:val="00FD20A0"/>
    <w:rsid w:val="00FD4991"/>
    <w:rsid w:val="00FE0113"/>
    <w:rsid w:val="00FE0A00"/>
    <w:rsid w:val="00FE0D2A"/>
    <w:rsid w:val="00FE417B"/>
    <w:rsid w:val="00FE6AF1"/>
    <w:rsid w:val="00FE7A2E"/>
    <w:rsid w:val="00FF1392"/>
    <w:rsid w:val="00FF2D63"/>
    <w:rsid w:val="00FF403E"/>
    <w:rsid w:val="00FF6ACF"/>
    <w:rsid w:val="00FF7157"/>
    <w:rsid w:val="01086012"/>
    <w:rsid w:val="012F23D2"/>
    <w:rsid w:val="01353E46"/>
    <w:rsid w:val="013D20EF"/>
    <w:rsid w:val="013D4C8F"/>
    <w:rsid w:val="0141555F"/>
    <w:rsid w:val="01542AFA"/>
    <w:rsid w:val="015E6630"/>
    <w:rsid w:val="016C75C7"/>
    <w:rsid w:val="018D524F"/>
    <w:rsid w:val="019036D8"/>
    <w:rsid w:val="01A01767"/>
    <w:rsid w:val="01A66FAC"/>
    <w:rsid w:val="01BD4FDC"/>
    <w:rsid w:val="01C42B8B"/>
    <w:rsid w:val="01CE3A0A"/>
    <w:rsid w:val="01E941AE"/>
    <w:rsid w:val="01ED256A"/>
    <w:rsid w:val="01FE504C"/>
    <w:rsid w:val="02201D8C"/>
    <w:rsid w:val="0221105C"/>
    <w:rsid w:val="02240E71"/>
    <w:rsid w:val="022F6268"/>
    <w:rsid w:val="0230144B"/>
    <w:rsid w:val="023E2A8F"/>
    <w:rsid w:val="023F01AC"/>
    <w:rsid w:val="02497F02"/>
    <w:rsid w:val="025C7268"/>
    <w:rsid w:val="025D37A6"/>
    <w:rsid w:val="02630A21"/>
    <w:rsid w:val="027520D7"/>
    <w:rsid w:val="02910656"/>
    <w:rsid w:val="029452C8"/>
    <w:rsid w:val="0299330C"/>
    <w:rsid w:val="029E3E12"/>
    <w:rsid w:val="02AE2F1E"/>
    <w:rsid w:val="02B07476"/>
    <w:rsid w:val="02B12263"/>
    <w:rsid w:val="02B34262"/>
    <w:rsid w:val="02BA6D6B"/>
    <w:rsid w:val="02BC6761"/>
    <w:rsid w:val="02C30781"/>
    <w:rsid w:val="02C32A89"/>
    <w:rsid w:val="02EB23C8"/>
    <w:rsid w:val="02ED4254"/>
    <w:rsid w:val="02F54A67"/>
    <w:rsid w:val="02FB586B"/>
    <w:rsid w:val="032764F6"/>
    <w:rsid w:val="03355FAD"/>
    <w:rsid w:val="03357A15"/>
    <w:rsid w:val="033F6615"/>
    <w:rsid w:val="034A4B76"/>
    <w:rsid w:val="03604B36"/>
    <w:rsid w:val="03646BB0"/>
    <w:rsid w:val="036A455B"/>
    <w:rsid w:val="03700AD7"/>
    <w:rsid w:val="03881BEB"/>
    <w:rsid w:val="03B07722"/>
    <w:rsid w:val="03B94246"/>
    <w:rsid w:val="03C9092D"/>
    <w:rsid w:val="03C947DD"/>
    <w:rsid w:val="03CD0376"/>
    <w:rsid w:val="03E73921"/>
    <w:rsid w:val="03E868D9"/>
    <w:rsid w:val="03EB0F95"/>
    <w:rsid w:val="03F1290E"/>
    <w:rsid w:val="04002E0B"/>
    <w:rsid w:val="040F03FA"/>
    <w:rsid w:val="0412438A"/>
    <w:rsid w:val="04136717"/>
    <w:rsid w:val="041D2A27"/>
    <w:rsid w:val="04332546"/>
    <w:rsid w:val="04533461"/>
    <w:rsid w:val="048D54DF"/>
    <w:rsid w:val="04B51F1A"/>
    <w:rsid w:val="04BD0338"/>
    <w:rsid w:val="04C56D31"/>
    <w:rsid w:val="04CF0F22"/>
    <w:rsid w:val="04D7542D"/>
    <w:rsid w:val="04DD163F"/>
    <w:rsid w:val="04E452F2"/>
    <w:rsid w:val="04E82F5F"/>
    <w:rsid w:val="05084E1A"/>
    <w:rsid w:val="0536624A"/>
    <w:rsid w:val="05476ED2"/>
    <w:rsid w:val="05507187"/>
    <w:rsid w:val="05547F50"/>
    <w:rsid w:val="05586D81"/>
    <w:rsid w:val="056775E0"/>
    <w:rsid w:val="05812096"/>
    <w:rsid w:val="05A174D0"/>
    <w:rsid w:val="05A31C11"/>
    <w:rsid w:val="05A54A82"/>
    <w:rsid w:val="05B6570E"/>
    <w:rsid w:val="05B719DB"/>
    <w:rsid w:val="05D411B5"/>
    <w:rsid w:val="05DC03BC"/>
    <w:rsid w:val="05E03755"/>
    <w:rsid w:val="05E05D39"/>
    <w:rsid w:val="05EE025B"/>
    <w:rsid w:val="05FB2E46"/>
    <w:rsid w:val="06274DE9"/>
    <w:rsid w:val="0643158D"/>
    <w:rsid w:val="06606ACF"/>
    <w:rsid w:val="06632C8A"/>
    <w:rsid w:val="066C44D0"/>
    <w:rsid w:val="06780BE4"/>
    <w:rsid w:val="067D77AC"/>
    <w:rsid w:val="0688298E"/>
    <w:rsid w:val="06A978A6"/>
    <w:rsid w:val="06BA577F"/>
    <w:rsid w:val="06C373A0"/>
    <w:rsid w:val="06CA61EA"/>
    <w:rsid w:val="06CE3AAD"/>
    <w:rsid w:val="06D3256B"/>
    <w:rsid w:val="06E93094"/>
    <w:rsid w:val="07142FC9"/>
    <w:rsid w:val="0716354A"/>
    <w:rsid w:val="071A113A"/>
    <w:rsid w:val="071A5532"/>
    <w:rsid w:val="073F7F68"/>
    <w:rsid w:val="07433326"/>
    <w:rsid w:val="074D1200"/>
    <w:rsid w:val="07701435"/>
    <w:rsid w:val="077344E4"/>
    <w:rsid w:val="078057A6"/>
    <w:rsid w:val="0791006E"/>
    <w:rsid w:val="07A93817"/>
    <w:rsid w:val="07AA51F7"/>
    <w:rsid w:val="07C16E32"/>
    <w:rsid w:val="07C956F1"/>
    <w:rsid w:val="07DE071F"/>
    <w:rsid w:val="07E724F1"/>
    <w:rsid w:val="07F54B10"/>
    <w:rsid w:val="080D2DB2"/>
    <w:rsid w:val="08236132"/>
    <w:rsid w:val="0824157E"/>
    <w:rsid w:val="082A5712"/>
    <w:rsid w:val="08365D8B"/>
    <w:rsid w:val="083932FD"/>
    <w:rsid w:val="083C1D74"/>
    <w:rsid w:val="08664D5B"/>
    <w:rsid w:val="087338E5"/>
    <w:rsid w:val="087E552F"/>
    <w:rsid w:val="08935065"/>
    <w:rsid w:val="08994E2C"/>
    <w:rsid w:val="089E0248"/>
    <w:rsid w:val="08AA7F40"/>
    <w:rsid w:val="08AC09F8"/>
    <w:rsid w:val="08AF1C74"/>
    <w:rsid w:val="08B76FB8"/>
    <w:rsid w:val="08EC3C9C"/>
    <w:rsid w:val="08EF4818"/>
    <w:rsid w:val="08F26284"/>
    <w:rsid w:val="08F57B11"/>
    <w:rsid w:val="08F617F2"/>
    <w:rsid w:val="08F64252"/>
    <w:rsid w:val="08F94C8C"/>
    <w:rsid w:val="08FD0C7A"/>
    <w:rsid w:val="09027DBF"/>
    <w:rsid w:val="090F109A"/>
    <w:rsid w:val="09151314"/>
    <w:rsid w:val="09263609"/>
    <w:rsid w:val="092E2FE0"/>
    <w:rsid w:val="093E5BC8"/>
    <w:rsid w:val="0953633D"/>
    <w:rsid w:val="095867F9"/>
    <w:rsid w:val="09697733"/>
    <w:rsid w:val="09953804"/>
    <w:rsid w:val="099A0675"/>
    <w:rsid w:val="099C034D"/>
    <w:rsid w:val="09A71810"/>
    <w:rsid w:val="09AF52BC"/>
    <w:rsid w:val="09C556F2"/>
    <w:rsid w:val="09C9680A"/>
    <w:rsid w:val="09E33DCA"/>
    <w:rsid w:val="09EA33AB"/>
    <w:rsid w:val="09EA6668"/>
    <w:rsid w:val="0A0501E5"/>
    <w:rsid w:val="0A075D0B"/>
    <w:rsid w:val="0A0A57FB"/>
    <w:rsid w:val="0A193C90"/>
    <w:rsid w:val="0A1A77A1"/>
    <w:rsid w:val="0A3E3D26"/>
    <w:rsid w:val="0A4834F8"/>
    <w:rsid w:val="0A6173D2"/>
    <w:rsid w:val="0A682231"/>
    <w:rsid w:val="0A6825A9"/>
    <w:rsid w:val="0A781198"/>
    <w:rsid w:val="0AAC10E4"/>
    <w:rsid w:val="0AB07E4A"/>
    <w:rsid w:val="0AC93B72"/>
    <w:rsid w:val="0ACA6D38"/>
    <w:rsid w:val="0AD53C26"/>
    <w:rsid w:val="0ADD3B4A"/>
    <w:rsid w:val="0AEE775A"/>
    <w:rsid w:val="0AFF5154"/>
    <w:rsid w:val="0B0260FA"/>
    <w:rsid w:val="0B127FA5"/>
    <w:rsid w:val="0B187C06"/>
    <w:rsid w:val="0B462863"/>
    <w:rsid w:val="0B4B3360"/>
    <w:rsid w:val="0B6153F6"/>
    <w:rsid w:val="0B6C4BE2"/>
    <w:rsid w:val="0B895D1E"/>
    <w:rsid w:val="0B903157"/>
    <w:rsid w:val="0B9335CE"/>
    <w:rsid w:val="0BA653BF"/>
    <w:rsid w:val="0BAC6F99"/>
    <w:rsid w:val="0BCD1EAC"/>
    <w:rsid w:val="0BCF142C"/>
    <w:rsid w:val="0BDC319A"/>
    <w:rsid w:val="0BFB783E"/>
    <w:rsid w:val="0BFD5373"/>
    <w:rsid w:val="0BFD6481"/>
    <w:rsid w:val="0C0F0CD9"/>
    <w:rsid w:val="0C631998"/>
    <w:rsid w:val="0C6821F6"/>
    <w:rsid w:val="0C990787"/>
    <w:rsid w:val="0C992D4F"/>
    <w:rsid w:val="0CAE3A50"/>
    <w:rsid w:val="0CBF15FF"/>
    <w:rsid w:val="0CC20F4F"/>
    <w:rsid w:val="0CD91857"/>
    <w:rsid w:val="0CDA4E4E"/>
    <w:rsid w:val="0CF258A4"/>
    <w:rsid w:val="0D212A41"/>
    <w:rsid w:val="0D214045"/>
    <w:rsid w:val="0D215F2C"/>
    <w:rsid w:val="0D314FE6"/>
    <w:rsid w:val="0D330BC5"/>
    <w:rsid w:val="0D540C02"/>
    <w:rsid w:val="0D571C0F"/>
    <w:rsid w:val="0D637F0E"/>
    <w:rsid w:val="0D645222"/>
    <w:rsid w:val="0D6A5410"/>
    <w:rsid w:val="0D794CB6"/>
    <w:rsid w:val="0D8324ED"/>
    <w:rsid w:val="0D8F059D"/>
    <w:rsid w:val="0D8F5855"/>
    <w:rsid w:val="0D936D15"/>
    <w:rsid w:val="0D9827E5"/>
    <w:rsid w:val="0DAF3D29"/>
    <w:rsid w:val="0DC466B9"/>
    <w:rsid w:val="0DC54945"/>
    <w:rsid w:val="0DF25BA4"/>
    <w:rsid w:val="0DFD573A"/>
    <w:rsid w:val="0DFE1012"/>
    <w:rsid w:val="0E0B029F"/>
    <w:rsid w:val="0E230373"/>
    <w:rsid w:val="0E2A41ED"/>
    <w:rsid w:val="0E30302E"/>
    <w:rsid w:val="0E351EED"/>
    <w:rsid w:val="0E397874"/>
    <w:rsid w:val="0E461B92"/>
    <w:rsid w:val="0E6059EA"/>
    <w:rsid w:val="0E632208"/>
    <w:rsid w:val="0E844468"/>
    <w:rsid w:val="0E9E135B"/>
    <w:rsid w:val="0EA44F43"/>
    <w:rsid w:val="0EA62844"/>
    <w:rsid w:val="0EC2669E"/>
    <w:rsid w:val="0ED75315"/>
    <w:rsid w:val="0ED756CF"/>
    <w:rsid w:val="0EE34A0A"/>
    <w:rsid w:val="0EEF23A4"/>
    <w:rsid w:val="0F2500FF"/>
    <w:rsid w:val="0F2A7DB7"/>
    <w:rsid w:val="0F2D61D9"/>
    <w:rsid w:val="0F43254D"/>
    <w:rsid w:val="0F45451E"/>
    <w:rsid w:val="0F5372FC"/>
    <w:rsid w:val="0F543C48"/>
    <w:rsid w:val="0F54568B"/>
    <w:rsid w:val="0F6801CF"/>
    <w:rsid w:val="0F7F71A8"/>
    <w:rsid w:val="0F851480"/>
    <w:rsid w:val="0F9B0554"/>
    <w:rsid w:val="0FAF5422"/>
    <w:rsid w:val="0FAF5990"/>
    <w:rsid w:val="0FB271E8"/>
    <w:rsid w:val="0FB3423F"/>
    <w:rsid w:val="0FB73D2F"/>
    <w:rsid w:val="0FBF1392"/>
    <w:rsid w:val="0FD84D52"/>
    <w:rsid w:val="0FD93801"/>
    <w:rsid w:val="0FDC41E3"/>
    <w:rsid w:val="0FE95EB3"/>
    <w:rsid w:val="100C40A0"/>
    <w:rsid w:val="10131FB5"/>
    <w:rsid w:val="10176676"/>
    <w:rsid w:val="1031732E"/>
    <w:rsid w:val="10327E3A"/>
    <w:rsid w:val="10374301"/>
    <w:rsid w:val="10394E9C"/>
    <w:rsid w:val="103A764D"/>
    <w:rsid w:val="103B6EC4"/>
    <w:rsid w:val="10457DEF"/>
    <w:rsid w:val="10482BD9"/>
    <w:rsid w:val="104A6951"/>
    <w:rsid w:val="105628E7"/>
    <w:rsid w:val="105A27E6"/>
    <w:rsid w:val="108120DC"/>
    <w:rsid w:val="108950E7"/>
    <w:rsid w:val="109135C4"/>
    <w:rsid w:val="10A4426E"/>
    <w:rsid w:val="10B656D8"/>
    <w:rsid w:val="10BB6F68"/>
    <w:rsid w:val="10C37A22"/>
    <w:rsid w:val="10C556C7"/>
    <w:rsid w:val="10C55FD8"/>
    <w:rsid w:val="10F772EF"/>
    <w:rsid w:val="11017A58"/>
    <w:rsid w:val="11023D17"/>
    <w:rsid w:val="110F34C8"/>
    <w:rsid w:val="11491151"/>
    <w:rsid w:val="1159543F"/>
    <w:rsid w:val="116230D1"/>
    <w:rsid w:val="116A7E05"/>
    <w:rsid w:val="11722460"/>
    <w:rsid w:val="117A4F14"/>
    <w:rsid w:val="119D6F55"/>
    <w:rsid w:val="11CB1987"/>
    <w:rsid w:val="11D529F0"/>
    <w:rsid w:val="11DC5FC8"/>
    <w:rsid w:val="11E54B54"/>
    <w:rsid w:val="11E71072"/>
    <w:rsid w:val="11F55D84"/>
    <w:rsid w:val="11F95233"/>
    <w:rsid w:val="11FE73E1"/>
    <w:rsid w:val="1206271C"/>
    <w:rsid w:val="120E39AF"/>
    <w:rsid w:val="12114BE2"/>
    <w:rsid w:val="121911ED"/>
    <w:rsid w:val="12261816"/>
    <w:rsid w:val="122816CA"/>
    <w:rsid w:val="1231523F"/>
    <w:rsid w:val="12392AE3"/>
    <w:rsid w:val="12421044"/>
    <w:rsid w:val="127A5380"/>
    <w:rsid w:val="12957C2C"/>
    <w:rsid w:val="1298079E"/>
    <w:rsid w:val="12AD5EBA"/>
    <w:rsid w:val="12B10442"/>
    <w:rsid w:val="12C319F0"/>
    <w:rsid w:val="12CB7F7B"/>
    <w:rsid w:val="12D57B5A"/>
    <w:rsid w:val="12D60970"/>
    <w:rsid w:val="12DA74FD"/>
    <w:rsid w:val="130354DD"/>
    <w:rsid w:val="13160E95"/>
    <w:rsid w:val="131D4A08"/>
    <w:rsid w:val="132A077A"/>
    <w:rsid w:val="132B4874"/>
    <w:rsid w:val="13365D96"/>
    <w:rsid w:val="133833D9"/>
    <w:rsid w:val="13401CF4"/>
    <w:rsid w:val="13474541"/>
    <w:rsid w:val="13597FDE"/>
    <w:rsid w:val="13610A7C"/>
    <w:rsid w:val="1370511E"/>
    <w:rsid w:val="138A2CF3"/>
    <w:rsid w:val="139600FA"/>
    <w:rsid w:val="139B1B3C"/>
    <w:rsid w:val="13AC7923"/>
    <w:rsid w:val="13BB36C2"/>
    <w:rsid w:val="13C163E4"/>
    <w:rsid w:val="13CF69C3"/>
    <w:rsid w:val="13E63AA6"/>
    <w:rsid w:val="13EB21F9"/>
    <w:rsid w:val="13F175F7"/>
    <w:rsid w:val="13F85DC5"/>
    <w:rsid w:val="13FC3073"/>
    <w:rsid w:val="14002DA6"/>
    <w:rsid w:val="141601C0"/>
    <w:rsid w:val="14183270"/>
    <w:rsid w:val="141D447E"/>
    <w:rsid w:val="141D6B0B"/>
    <w:rsid w:val="142D6F89"/>
    <w:rsid w:val="144554E0"/>
    <w:rsid w:val="144C2ACB"/>
    <w:rsid w:val="145908CD"/>
    <w:rsid w:val="146975C2"/>
    <w:rsid w:val="148617D9"/>
    <w:rsid w:val="149258A7"/>
    <w:rsid w:val="149321EC"/>
    <w:rsid w:val="14A979BF"/>
    <w:rsid w:val="14AA6C47"/>
    <w:rsid w:val="14AD74AF"/>
    <w:rsid w:val="14B81325"/>
    <w:rsid w:val="14BB5770"/>
    <w:rsid w:val="14CA4494"/>
    <w:rsid w:val="14CD1594"/>
    <w:rsid w:val="14DD13B5"/>
    <w:rsid w:val="14DF1102"/>
    <w:rsid w:val="14E74E80"/>
    <w:rsid w:val="14FB05D3"/>
    <w:rsid w:val="14FB1DB1"/>
    <w:rsid w:val="1507775C"/>
    <w:rsid w:val="15082EFA"/>
    <w:rsid w:val="15107A3E"/>
    <w:rsid w:val="15214D63"/>
    <w:rsid w:val="153E6FE7"/>
    <w:rsid w:val="15535F3F"/>
    <w:rsid w:val="155C3CBE"/>
    <w:rsid w:val="15697093"/>
    <w:rsid w:val="15760076"/>
    <w:rsid w:val="157E5DA4"/>
    <w:rsid w:val="15910423"/>
    <w:rsid w:val="159F6FD6"/>
    <w:rsid w:val="15A5462A"/>
    <w:rsid w:val="15B01BBF"/>
    <w:rsid w:val="15EC3B3E"/>
    <w:rsid w:val="15F1786F"/>
    <w:rsid w:val="15F46C2A"/>
    <w:rsid w:val="16121567"/>
    <w:rsid w:val="16175528"/>
    <w:rsid w:val="162D4D4B"/>
    <w:rsid w:val="16343F81"/>
    <w:rsid w:val="163948ED"/>
    <w:rsid w:val="164275F4"/>
    <w:rsid w:val="164717FA"/>
    <w:rsid w:val="1654148B"/>
    <w:rsid w:val="165710DF"/>
    <w:rsid w:val="16573B76"/>
    <w:rsid w:val="165B71D5"/>
    <w:rsid w:val="16700A7A"/>
    <w:rsid w:val="16734728"/>
    <w:rsid w:val="167D1103"/>
    <w:rsid w:val="1683572D"/>
    <w:rsid w:val="169E0BEA"/>
    <w:rsid w:val="16AF7EFC"/>
    <w:rsid w:val="16DD2BAC"/>
    <w:rsid w:val="16F70EB5"/>
    <w:rsid w:val="17197085"/>
    <w:rsid w:val="172460AC"/>
    <w:rsid w:val="172B1987"/>
    <w:rsid w:val="173054B2"/>
    <w:rsid w:val="17424EAD"/>
    <w:rsid w:val="174C1699"/>
    <w:rsid w:val="17544559"/>
    <w:rsid w:val="175E7E76"/>
    <w:rsid w:val="1763479D"/>
    <w:rsid w:val="178667F0"/>
    <w:rsid w:val="178A4C4F"/>
    <w:rsid w:val="17942AA9"/>
    <w:rsid w:val="17987255"/>
    <w:rsid w:val="179928AA"/>
    <w:rsid w:val="17A739C7"/>
    <w:rsid w:val="17C212EB"/>
    <w:rsid w:val="17C42121"/>
    <w:rsid w:val="17D82A95"/>
    <w:rsid w:val="17FB6C91"/>
    <w:rsid w:val="18053F1E"/>
    <w:rsid w:val="18085749"/>
    <w:rsid w:val="180B6D06"/>
    <w:rsid w:val="181A3262"/>
    <w:rsid w:val="181C3FF8"/>
    <w:rsid w:val="18365CFA"/>
    <w:rsid w:val="184114A1"/>
    <w:rsid w:val="18425C49"/>
    <w:rsid w:val="186969E3"/>
    <w:rsid w:val="188C7694"/>
    <w:rsid w:val="18BE3F0D"/>
    <w:rsid w:val="18C140E3"/>
    <w:rsid w:val="18CD6371"/>
    <w:rsid w:val="18DA0A8E"/>
    <w:rsid w:val="18DC03A2"/>
    <w:rsid w:val="18E11EA5"/>
    <w:rsid w:val="18FA4C8D"/>
    <w:rsid w:val="19054750"/>
    <w:rsid w:val="19083037"/>
    <w:rsid w:val="19092828"/>
    <w:rsid w:val="19103908"/>
    <w:rsid w:val="1933462F"/>
    <w:rsid w:val="19390D64"/>
    <w:rsid w:val="19554C37"/>
    <w:rsid w:val="19566DB3"/>
    <w:rsid w:val="196279A1"/>
    <w:rsid w:val="198040A4"/>
    <w:rsid w:val="198C37FE"/>
    <w:rsid w:val="19A941C1"/>
    <w:rsid w:val="19AE5ACF"/>
    <w:rsid w:val="19AF5A77"/>
    <w:rsid w:val="19B3071D"/>
    <w:rsid w:val="19B675DA"/>
    <w:rsid w:val="19C57049"/>
    <w:rsid w:val="19C637E5"/>
    <w:rsid w:val="19C721FB"/>
    <w:rsid w:val="19CE5CD8"/>
    <w:rsid w:val="19F02EFF"/>
    <w:rsid w:val="1A052165"/>
    <w:rsid w:val="1A063EF5"/>
    <w:rsid w:val="1A0F3AD5"/>
    <w:rsid w:val="1A0F6516"/>
    <w:rsid w:val="1A0F7374"/>
    <w:rsid w:val="1A142D27"/>
    <w:rsid w:val="1A1816AF"/>
    <w:rsid w:val="1A302494"/>
    <w:rsid w:val="1A330E88"/>
    <w:rsid w:val="1A60672B"/>
    <w:rsid w:val="1A630F50"/>
    <w:rsid w:val="1A6732FB"/>
    <w:rsid w:val="1A7929A3"/>
    <w:rsid w:val="1A7B4669"/>
    <w:rsid w:val="1A870B38"/>
    <w:rsid w:val="1A8C5DB8"/>
    <w:rsid w:val="1A8C6CF6"/>
    <w:rsid w:val="1A9417D9"/>
    <w:rsid w:val="1AA572B8"/>
    <w:rsid w:val="1AA70EB7"/>
    <w:rsid w:val="1AAA4949"/>
    <w:rsid w:val="1AB31D2F"/>
    <w:rsid w:val="1AC00AAF"/>
    <w:rsid w:val="1ACE55DA"/>
    <w:rsid w:val="1ACE6054"/>
    <w:rsid w:val="1ACE6D27"/>
    <w:rsid w:val="1AE0038B"/>
    <w:rsid w:val="1B403FA5"/>
    <w:rsid w:val="1B450A9E"/>
    <w:rsid w:val="1B481CDF"/>
    <w:rsid w:val="1B4B17D0"/>
    <w:rsid w:val="1B524326"/>
    <w:rsid w:val="1B55168B"/>
    <w:rsid w:val="1B63458F"/>
    <w:rsid w:val="1B645069"/>
    <w:rsid w:val="1B7D1BE7"/>
    <w:rsid w:val="1B7D1D15"/>
    <w:rsid w:val="1B8637EA"/>
    <w:rsid w:val="1B966EEF"/>
    <w:rsid w:val="1BDD1B28"/>
    <w:rsid w:val="1BE57F51"/>
    <w:rsid w:val="1C022610"/>
    <w:rsid w:val="1C037CCC"/>
    <w:rsid w:val="1C085913"/>
    <w:rsid w:val="1C0876C1"/>
    <w:rsid w:val="1C2F4A48"/>
    <w:rsid w:val="1C37598E"/>
    <w:rsid w:val="1C400DCC"/>
    <w:rsid w:val="1C4A3D51"/>
    <w:rsid w:val="1C550B58"/>
    <w:rsid w:val="1C6062B5"/>
    <w:rsid w:val="1C656B00"/>
    <w:rsid w:val="1C657709"/>
    <w:rsid w:val="1C6D522B"/>
    <w:rsid w:val="1C762201"/>
    <w:rsid w:val="1C87757C"/>
    <w:rsid w:val="1C911F05"/>
    <w:rsid w:val="1C9232F2"/>
    <w:rsid w:val="1C943E77"/>
    <w:rsid w:val="1C993860"/>
    <w:rsid w:val="1CB517E1"/>
    <w:rsid w:val="1CBF5FD1"/>
    <w:rsid w:val="1CC07FCD"/>
    <w:rsid w:val="1CCD060E"/>
    <w:rsid w:val="1CD4109A"/>
    <w:rsid w:val="1CDE3631"/>
    <w:rsid w:val="1CE814D1"/>
    <w:rsid w:val="1CFE11B3"/>
    <w:rsid w:val="1D00167E"/>
    <w:rsid w:val="1D01132A"/>
    <w:rsid w:val="1D022EEB"/>
    <w:rsid w:val="1D2C5B34"/>
    <w:rsid w:val="1D3444B7"/>
    <w:rsid w:val="1D3A1AFC"/>
    <w:rsid w:val="1D3F2887"/>
    <w:rsid w:val="1D413DD6"/>
    <w:rsid w:val="1D442082"/>
    <w:rsid w:val="1D494085"/>
    <w:rsid w:val="1D6104E9"/>
    <w:rsid w:val="1D6D5E73"/>
    <w:rsid w:val="1D6E2EA0"/>
    <w:rsid w:val="1D7C0366"/>
    <w:rsid w:val="1D90430C"/>
    <w:rsid w:val="1DA228F6"/>
    <w:rsid w:val="1DA26C67"/>
    <w:rsid w:val="1DB571C9"/>
    <w:rsid w:val="1DBF6F58"/>
    <w:rsid w:val="1DFC5003"/>
    <w:rsid w:val="1E2527AC"/>
    <w:rsid w:val="1E2A3F9F"/>
    <w:rsid w:val="1E65546D"/>
    <w:rsid w:val="1E7B6900"/>
    <w:rsid w:val="1E933E22"/>
    <w:rsid w:val="1EB60A31"/>
    <w:rsid w:val="1EC6457D"/>
    <w:rsid w:val="1EC7170B"/>
    <w:rsid w:val="1EC7534C"/>
    <w:rsid w:val="1ECD7160"/>
    <w:rsid w:val="1ED34F83"/>
    <w:rsid w:val="1ED641E3"/>
    <w:rsid w:val="1EED4935"/>
    <w:rsid w:val="1EF15FC6"/>
    <w:rsid w:val="1F196F16"/>
    <w:rsid w:val="1F1F544D"/>
    <w:rsid w:val="1F294330"/>
    <w:rsid w:val="1F2A3EE6"/>
    <w:rsid w:val="1F5164BE"/>
    <w:rsid w:val="1F530AFF"/>
    <w:rsid w:val="1F550636"/>
    <w:rsid w:val="1F6725BD"/>
    <w:rsid w:val="1F6F0182"/>
    <w:rsid w:val="1F751014"/>
    <w:rsid w:val="1F7A16FF"/>
    <w:rsid w:val="1F841E94"/>
    <w:rsid w:val="1F86410F"/>
    <w:rsid w:val="1F987D78"/>
    <w:rsid w:val="1FAD0B55"/>
    <w:rsid w:val="1FB57B5F"/>
    <w:rsid w:val="1FBA786C"/>
    <w:rsid w:val="1FC55FF4"/>
    <w:rsid w:val="1FDF7221"/>
    <w:rsid w:val="1FE07DD2"/>
    <w:rsid w:val="1FF72B1D"/>
    <w:rsid w:val="2000702C"/>
    <w:rsid w:val="201952D2"/>
    <w:rsid w:val="2020109E"/>
    <w:rsid w:val="20220096"/>
    <w:rsid w:val="202816B6"/>
    <w:rsid w:val="20352DB6"/>
    <w:rsid w:val="204E725A"/>
    <w:rsid w:val="205050F3"/>
    <w:rsid w:val="20665891"/>
    <w:rsid w:val="208241B4"/>
    <w:rsid w:val="208F5999"/>
    <w:rsid w:val="20B05494"/>
    <w:rsid w:val="20BD4F1E"/>
    <w:rsid w:val="20D109C9"/>
    <w:rsid w:val="20EE5770"/>
    <w:rsid w:val="2107261C"/>
    <w:rsid w:val="21147FEE"/>
    <w:rsid w:val="2132760F"/>
    <w:rsid w:val="213F7E47"/>
    <w:rsid w:val="21592FEC"/>
    <w:rsid w:val="215B2DFE"/>
    <w:rsid w:val="215C5CD9"/>
    <w:rsid w:val="215F2E6D"/>
    <w:rsid w:val="218B2E3C"/>
    <w:rsid w:val="219E13DD"/>
    <w:rsid w:val="21B5456C"/>
    <w:rsid w:val="21C0289A"/>
    <w:rsid w:val="21C314C7"/>
    <w:rsid w:val="21CB366A"/>
    <w:rsid w:val="21E53DD4"/>
    <w:rsid w:val="21FE67C3"/>
    <w:rsid w:val="21FF567A"/>
    <w:rsid w:val="220019CB"/>
    <w:rsid w:val="22080E1D"/>
    <w:rsid w:val="222E4A4B"/>
    <w:rsid w:val="224564ED"/>
    <w:rsid w:val="225B1C1A"/>
    <w:rsid w:val="22655D1C"/>
    <w:rsid w:val="227A5579"/>
    <w:rsid w:val="227B3EC3"/>
    <w:rsid w:val="22AC6E9D"/>
    <w:rsid w:val="22AF6B28"/>
    <w:rsid w:val="22BF1959"/>
    <w:rsid w:val="22FE3A70"/>
    <w:rsid w:val="23007343"/>
    <w:rsid w:val="230A1D1E"/>
    <w:rsid w:val="230F3D0A"/>
    <w:rsid w:val="232E3EB1"/>
    <w:rsid w:val="23341448"/>
    <w:rsid w:val="23385650"/>
    <w:rsid w:val="23425BAE"/>
    <w:rsid w:val="23517B9F"/>
    <w:rsid w:val="23531B69"/>
    <w:rsid w:val="235C6C70"/>
    <w:rsid w:val="237F04EF"/>
    <w:rsid w:val="23841437"/>
    <w:rsid w:val="238A3CA3"/>
    <w:rsid w:val="23AF4708"/>
    <w:rsid w:val="23C16A9A"/>
    <w:rsid w:val="23C465C3"/>
    <w:rsid w:val="23E66003"/>
    <w:rsid w:val="23F80076"/>
    <w:rsid w:val="23FE2FB7"/>
    <w:rsid w:val="23FE3AF7"/>
    <w:rsid w:val="241B7142"/>
    <w:rsid w:val="24452007"/>
    <w:rsid w:val="244802C7"/>
    <w:rsid w:val="244C0B39"/>
    <w:rsid w:val="245A32E7"/>
    <w:rsid w:val="24635935"/>
    <w:rsid w:val="24660E6A"/>
    <w:rsid w:val="24665559"/>
    <w:rsid w:val="24691825"/>
    <w:rsid w:val="248E0BEE"/>
    <w:rsid w:val="249222CA"/>
    <w:rsid w:val="24B056E4"/>
    <w:rsid w:val="24CC572F"/>
    <w:rsid w:val="24CF65FC"/>
    <w:rsid w:val="24D258A5"/>
    <w:rsid w:val="24DA6A74"/>
    <w:rsid w:val="24DB4BCD"/>
    <w:rsid w:val="24F602A0"/>
    <w:rsid w:val="250025A0"/>
    <w:rsid w:val="25296C9F"/>
    <w:rsid w:val="25401D76"/>
    <w:rsid w:val="2544236B"/>
    <w:rsid w:val="25453733"/>
    <w:rsid w:val="256C3562"/>
    <w:rsid w:val="257F6C45"/>
    <w:rsid w:val="258C736F"/>
    <w:rsid w:val="25977271"/>
    <w:rsid w:val="259B2D68"/>
    <w:rsid w:val="259E7D45"/>
    <w:rsid w:val="25A6077B"/>
    <w:rsid w:val="25A941CC"/>
    <w:rsid w:val="25A97E1E"/>
    <w:rsid w:val="25B40CD0"/>
    <w:rsid w:val="25BF4424"/>
    <w:rsid w:val="25C17AFA"/>
    <w:rsid w:val="25C251DB"/>
    <w:rsid w:val="25E00E0C"/>
    <w:rsid w:val="25EF379B"/>
    <w:rsid w:val="260C11C1"/>
    <w:rsid w:val="261049C1"/>
    <w:rsid w:val="261E645E"/>
    <w:rsid w:val="2624159B"/>
    <w:rsid w:val="26383109"/>
    <w:rsid w:val="2641214D"/>
    <w:rsid w:val="26597FFC"/>
    <w:rsid w:val="26697AAB"/>
    <w:rsid w:val="266D2F42"/>
    <w:rsid w:val="2673065B"/>
    <w:rsid w:val="26746071"/>
    <w:rsid w:val="267839D3"/>
    <w:rsid w:val="26802C75"/>
    <w:rsid w:val="268423E1"/>
    <w:rsid w:val="26890627"/>
    <w:rsid w:val="26937CAB"/>
    <w:rsid w:val="26A43060"/>
    <w:rsid w:val="26BB1EFF"/>
    <w:rsid w:val="26BB2001"/>
    <w:rsid w:val="26C467F8"/>
    <w:rsid w:val="26E35358"/>
    <w:rsid w:val="270E00FE"/>
    <w:rsid w:val="270E298C"/>
    <w:rsid w:val="270E29F5"/>
    <w:rsid w:val="271512D2"/>
    <w:rsid w:val="272A0E33"/>
    <w:rsid w:val="272A2D2F"/>
    <w:rsid w:val="274020AE"/>
    <w:rsid w:val="27446B6F"/>
    <w:rsid w:val="274F752C"/>
    <w:rsid w:val="27520933"/>
    <w:rsid w:val="27584657"/>
    <w:rsid w:val="275E5A93"/>
    <w:rsid w:val="27736226"/>
    <w:rsid w:val="27755DA7"/>
    <w:rsid w:val="277C7F9A"/>
    <w:rsid w:val="279D2924"/>
    <w:rsid w:val="27A52E1A"/>
    <w:rsid w:val="27AC7A9A"/>
    <w:rsid w:val="27C53958"/>
    <w:rsid w:val="27D36D37"/>
    <w:rsid w:val="27DA4B73"/>
    <w:rsid w:val="27E61F25"/>
    <w:rsid w:val="27EC31BB"/>
    <w:rsid w:val="27ED2CBD"/>
    <w:rsid w:val="27F63DA6"/>
    <w:rsid w:val="27FA5CB6"/>
    <w:rsid w:val="280D34EA"/>
    <w:rsid w:val="281466B1"/>
    <w:rsid w:val="281713B7"/>
    <w:rsid w:val="281824A7"/>
    <w:rsid w:val="28312BBF"/>
    <w:rsid w:val="283B7736"/>
    <w:rsid w:val="285F673E"/>
    <w:rsid w:val="28644CCA"/>
    <w:rsid w:val="28687E65"/>
    <w:rsid w:val="28732D83"/>
    <w:rsid w:val="288F6949"/>
    <w:rsid w:val="28911AF2"/>
    <w:rsid w:val="289151CA"/>
    <w:rsid w:val="28A10C81"/>
    <w:rsid w:val="28A2680F"/>
    <w:rsid w:val="28DF17A9"/>
    <w:rsid w:val="28EB31BC"/>
    <w:rsid w:val="28EB583C"/>
    <w:rsid w:val="28EC2844"/>
    <w:rsid w:val="28F402DA"/>
    <w:rsid w:val="28FC78BE"/>
    <w:rsid w:val="29000A40"/>
    <w:rsid w:val="290F29AF"/>
    <w:rsid w:val="292D0766"/>
    <w:rsid w:val="293634F4"/>
    <w:rsid w:val="29600B3C"/>
    <w:rsid w:val="29606D8E"/>
    <w:rsid w:val="29671ECA"/>
    <w:rsid w:val="29770361"/>
    <w:rsid w:val="2985201E"/>
    <w:rsid w:val="29C55899"/>
    <w:rsid w:val="29D3130E"/>
    <w:rsid w:val="29F2147C"/>
    <w:rsid w:val="2A0C4A40"/>
    <w:rsid w:val="2A0D3DED"/>
    <w:rsid w:val="2A104310"/>
    <w:rsid w:val="2A134AF4"/>
    <w:rsid w:val="2A255C2B"/>
    <w:rsid w:val="2A2B7BC9"/>
    <w:rsid w:val="2A3A5DF9"/>
    <w:rsid w:val="2A4926C2"/>
    <w:rsid w:val="2A4B107A"/>
    <w:rsid w:val="2A4D2BFD"/>
    <w:rsid w:val="2A530EDF"/>
    <w:rsid w:val="2A574428"/>
    <w:rsid w:val="2A5F6992"/>
    <w:rsid w:val="2A7949E3"/>
    <w:rsid w:val="2A80647C"/>
    <w:rsid w:val="2A8E62B6"/>
    <w:rsid w:val="2A9572CC"/>
    <w:rsid w:val="2AA9206F"/>
    <w:rsid w:val="2AD81233"/>
    <w:rsid w:val="2AE63EFE"/>
    <w:rsid w:val="2B053749"/>
    <w:rsid w:val="2B195446"/>
    <w:rsid w:val="2B2E227F"/>
    <w:rsid w:val="2B2F07C6"/>
    <w:rsid w:val="2B3404E2"/>
    <w:rsid w:val="2B363CF4"/>
    <w:rsid w:val="2B3A7305"/>
    <w:rsid w:val="2B425FD0"/>
    <w:rsid w:val="2B4268A6"/>
    <w:rsid w:val="2B536BAA"/>
    <w:rsid w:val="2B8C79C6"/>
    <w:rsid w:val="2B9B40AD"/>
    <w:rsid w:val="2B9B4F58"/>
    <w:rsid w:val="2BA3696C"/>
    <w:rsid w:val="2BAA0794"/>
    <w:rsid w:val="2BB67A51"/>
    <w:rsid w:val="2BB769EE"/>
    <w:rsid w:val="2BB8130D"/>
    <w:rsid w:val="2BC058C2"/>
    <w:rsid w:val="2BC1223D"/>
    <w:rsid w:val="2BC40014"/>
    <w:rsid w:val="2BC51B34"/>
    <w:rsid w:val="2BDE3F9A"/>
    <w:rsid w:val="2BE07D12"/>
    <w:rsid w:val="2BF95140"/>
    <w:rsid w:val="2C063C1D"/>
    <w:rsid w:val="2C0B194E"/>
    <w:rsid w:val="2C1A4F62"/>
    <w:rsid w:val="2C3447BE"/>
    <w:rsid w:val="2C3C07B5"/>
    <w:rsid w:val="2C3D3C75"/>
    <w:rsid w:val="2C4B420E"/>
    <w:rsid w:val="2C56006A"/>
    <w:rsid w:val="2C5F50DB"/>
    <w:rsid w:val="2C660165"/>
    <w:rsid w:val="2C6619D7"/>
    <w:rsid w:val="2C6A0BA3"/>
    <w:rsid w:val="2C6E17C2"/>
    <w:rsid w:val="2C8A76F4"/>
    <w:rsid w:val="2C931BC6"/>
    <w:rsid w:val="2CA45E14"/>
    <w:rsid w:val="2CB43679"/>
    <w:rsid w:val="2CB62CA6"/>
    <w:rsid w:val="2CD40261"/>
    <w:rsid w:val="2CEE34EF"/>
    <w:rsid w:val="2CF605F7"/>
    <w:rsid w:val="2D016FE9"/>
    <w:rsid w:val="2D14362B"/>
    <w:rsid w:val="2D2E304F"/>
    <w:rsid w:val="2D3C07FE"/>
    <w:rsid w:val="2D5756FC"/>
    <w:rsid w:val="2D5D5591"/>
    <w:rsid w:val="2D74743A"/>
    <w:rsid w:val="2D7C11D4"/>
    <w:rsid w:val="2D7F4766"/>
    <w:rsid w:val="2D8D3A62"/>
    <w:rsid w:val="2DAF3E40"/>
    <w:rsid w:val="2DBE7F60"/>
    <w:rsid w:val="2DF6381D"/>
    <w:rsid w:val="2DF6788C"/>
    <w:rsid w:val="2E0D1588"/>
    <w:rsid w:val="2E3944B7"/>
    <w:rsid w:val="2E4749F8"/>
    <w:rsid w:val="2E4C1B78"/>
    <w:rsid w:val="2E73313B"/>
    <w:rsid w:val="2E866E5E"/>
    <w:rsid w:val="2E9077CD"/>
    <w:rsid w:val="2EA916B2"/>
    <w:rsid w:val="2EB46A04"/>
    <w:rsid w:val="2EB84F76"/>
    <w:rsid w:val="2EC62DA5"/>
    <w:rsid w:val="2ECB7077"/>
    <w:rsid w:val="2EED318E"/>
    <w:rsid w:val="2EFE3F3B"/>
    <w:rsid w:val="2F0F1794"/>
    <w:rsid w:val="2F176141"/>
    <w:rsid w:val="2F1A0856"/>
    <w:rsid w:val="2F2B5B05"/>
    <w:rsid w:val="2F475C7E"/>
    <w:rsid w:val="2F486024"/>
    <w:rsid w:val="2F523B34"/>
    <w:rsid w:val="2F5E78CC"/>
    <w:rsid w:val="2F681310"/>
    <w:rsid w:val="2F6C283B"/>
    <w:rsid w:val="2F743B89"/>
    <w:rsid w:val="2F7E2877"/>
    <w:rsid w:val="2F8567D8"/>
    <w:rsid w:val="2F8B5040"/>
    <w:rsid w:val="2F9107C4"/>
    <w:rsid w:val="2F961B57"/>
    <w:rsid w:val="2FDC6A42"/>
    <w:rsid w:val="2FE65B09"/>
    <w:rsid w:val="2FFF53A8"/>
    <w:rsid w:val="30047098"/>
    <w:rsid w:val="30077F63"/>
    <w:rsid w:val="30115CE5"/>
    <w:rsid w:val="30135C1F"/>
    <w:rsid w:val="30191760"/>
    <w:rsid w:val="3028092A"/>
    <w:rsid w:val="302F54E7"/>
    <w:rsid w:val="304863A9"/>
    <w:rsid w:val="30726790"/>
    <w:rsid w:val="30801AC4"/>
    <w:rsid w:val="30823D65"/>
    <w:rsid w:val="30831C53"/>
    <w:rsid w:val="308E438B"/>
    <w:rsid w:val="30A43A04"/>
    <w:rsid w:val="30C87FB8"/>
    <w:rsid w:val="30CB1DAF"/>
    <w:rsid w:val="30E90E2B"/>
    <w:rsid w:val="30ED02EA"/>
    <w:rsid w:val="30FF267A"/>
    <w:rsid w:val="310A2A14"/>
    <w:rsid w:val="310F59F0"/>
    <w:rsid w:val="31395BA8"/>
    <w:rsid w:val="3141666D"/>
    <w:rsid w:val="31480833"/>
    <w:rsid w:val="314B14BF"/>
    <w:rsid w:val="3158219E"/>
    <w:rsid w:val="316D537E"/>
    <w:rsid w:val="31716348"/>
    <w:rsid w:val="317355F2"/>
    <w:rsid w:val="3185517F"/>
    <w:rsid w:val="3185793C"/>
    <w:rsid w:val="319475D5"/>
    <w:rsid w:val="31975317"/>
    <w:rsid w:val="31A87524"/>
    <w:rsid w:val="31B06C89"/>
    <w:rsid w:val="31B91778"/>
    <w:rsid w:val="31C2569E"/>
    <w:rsid w:val="31C96BD0"/>
    <w:rsid w:val="31D04385"/>
    <w:rsid w:val="31D9377A"/>
    <w:rsid w:val="31E15891"/>
    <w:rsid w:val="31F043F4"/>
    <w:rsid w:val="32170EE1"/>
    <w:rsid w:val="325066A8"/>
    <w:rsid w:val="32563FE3"/>
    <w:rsid w:val="325D3410"/>
    <w:rsid w:val="3260226B"/>
    <w:rsid w:val="327652E9"/>
    <w:rsid w:val="327A5FF1"/>
    <w:rsid w:val="32A55CC0"/>
    <w:rsid w:val="32A937D2"/>
    <w:rsid w:val="32C95971"/>
    <w:rsid w:val="32CF5928"/>
    <w:rsid w:val="32E41009"/>
    <w:rsid w:val="32E9078F"/>
    <w:rsid w:val="32ED34FF"/>
    <w:rsid w:val="330856D0"/>
    <w:rsid w:val="33316646"/>
    <w:rsid w:val="333A06E2"/>
    <w:rsid w:val="33462B8C"/>
    <w:rsid w:val="33491C13"/>
    <w:rsid w:val="335E45B2"/>
    <w:rsid w:val="33680D19"/>
    <w:rsid w:val="33691E57"/>
    <w:rsid w:val="336E025D"/>
    <w:rsid w:val="33735D99"/>
    <w:rsid w:val="33736E76"/>
    <w:rsid w:val="337570A4"/>
    <w:rsid w:val="33833CFC"/>
    <w:rsid w:val="33A269EC"/>
    <w:rsid w:val="33A856B1"/>
    <w:rsid w:val="33A930DF"/>
    <w:rsid w:val="33AB2922"/>
    <w:rsid w:val="33B73314"/>
    <w:rsid w:val="33C50B9E"/>
    <w:rsid w:val="33D30EC6"/>
    <w:rsid w:val="33D867E1"/>
    <w:rsid w:val="33D976B3"/>
    <w:rsid w:val="33DB2EFB"/>
    <w:rsid w:val="33DC6CF8"/>
    <w:rsid w:val="33EE36D1"/>
    <w:rsid w:val="33F54490"/>
    <w:rsid w:val="33F85833"/>
    <w:rsid w:val="33F94458"/>
    <w:rsid w:val="34090E54"/>
    <w:rsid w:val="340B1EAD"/>
    <w:rsid w:val="34111989"/>
    <w:rsid w:val="341266A4"/>
    <w:rsid w:val="3429350C"/>
    <w:rsid w:val="343C76C2"/>
    <w:rsid w:val="343D0166"/>
    <w:rsid w:val="343D6C24"/>
    <w:rsid w:val="345873A9"/>
    <w:rsid w:val="347C5D20"/>
    <w:rsid w:val="348C4EDB"/>
    <w:rsid w:val="34997F68"/>
    <w:rsid w:val="34AF7CC9"/>
    <w:rsid w:val="34B14942"/>
    <w:rsid w:val="34E526B4"/>
    <w:rsid w:val="34F03DC0"/>
    <w:rsid w:val="34FE7262"/>
    <w:rsid w:val="352407FC"/>
    <w:rsid w:val="352612DF"/>
    <w:rsid w:val="35284201"/>
    <w:rsid w:val="35322B1F"/>
    <w:rsid w:val="3535498A"/>
    <w:rsid w:val="35471E10"/>
    <w:rsid w:val="354F3660"/>
    <w:rsid w:val="355004C3"/>
    <w:rsid w:val="3556146D"/>
    <w:rsid w:val="355724F0"/>
    <w:rsid w:val="356B5D07"/>
    <w:rsid w:val="35810326"/>
    <w:rsid w:val="358C5E8C"/>
    <w:rsid w:val="358D7C9B"/>
    <w:rsid w:val="358E2186"/>
    <w:rsid w:val="35AA4C6A"/>
    <w:rsid w:val="35B90B5D"/>
    <w:rsid w:val="35C81F43"/>
    <w:rsid w:val="35CC1726"/>
    <w:rsid w:val="35DE239E"/>
    <w:rsid w:val="35E06512"/>
    <w:rsid w:val="35E33F92"/>
    <w:rsid w:val="36010FB1"/>
    <w:rsid w:val="360212D1"/>
    <w:rsid w:val="360C7B72"/>
    <w:rsid w:val="360E2480"/>
    <w:rsid w:val="361327DB"/>
    <w:rsid w:val="361F1CFE"/>
    <w:rsid w:val="36371201"/>
    <w:rsid w:val="363720E3"/>
    <w:rsid w:val="3639711B"/>
    <w:rsid w:val="363E765D"/>
    <w:rsid w:val="36592830"/>
    <w:rsid w:val="36632356"/>
    <w:rsid w:val="367409D2"/>
    <w:rsid w:val="367B56C5"/>
    <w:rsid w:val="367C5173"/>
    <w:rsid w:val="36915D46"/>
    <w:rsid w:val="36B81FB7"/>
    <w:rsid w:val="36CA31B0"/>
    <w:rsid w:val="36D20797"/>
    <w:rsid w:val="36E65B3A"/>
    <w:rsid w:val="36FF3742"/>
    <w:rsid w:val="370346A6"/>
    <w:rsid w:val="37113475"/>
    <w:rsid w:val="37252E94"/>
    <w:rsid w:val="37296474"/>
    <w:rsid w:val="373227C5"/>
    <w:rsid w:val="37405833"/>
    <w:rsid w:val="374101FF"/>
    <w:rsid w:val="375869AC"/>
    <w:rsid w:val="375B253A"/>
    <w:rsid w:val="37666B6B"/>
    <w:rsid w:val="37675674"/>
    <w:rsid w:val="376B1978"/>
    <w:rsid w:val="37940CA8"/>
    <w:rsid w:val="37D848CF"/>
    <w:rsid w:val="37DA41AF"/>
    <w:rsid w:val="37DB157C"/>
    <w:rsid w:val="37DB3C7D"/>
    <w:rsid w:val="37EE7D30"/>
    <w:rsid w:val="37F62976"/>
    <w:rsid w:val="37F77F19"/>
    <w:rsid w:val="38042FDA"/>
    <w:rsid w:val="381C3F20"/>
    <w:rsid w:val="3822692C"/>
    <w:rsid w:val="38343F2A"/>
    <w:rsid w:val="38490F9C"/>
    <w:rsid w:val="384C1631"/>
    <w:rsid w:val="38542754"/>
    <w:rsid w:val="386C03A0"/>
    <w:rsid w:val="386D6DD1"/>
    <w:rsid w:val="38850AD8"/>
    <w:rsid w:val="38B10FD7"/>
    <w:rsid w:val="38B2326B"/>
    <w:rsid w:val="38BD498D"/>
    <w:rsid w:val="38D81B11"/>
    <w:rsid w:val="38ED2653"/>
    <w:rsid w:val="38FC71A8"/>
    <w:rsid w:val="38FD1F03"/>
    <w:rsid w:val="39020983"/>
    <w:rsid w:val="39037F6C"/>
    <w:rsid w:val="39214610"/>
    <w:rsid w:val="39317DFF"/>
    <w:rsid w:val="39464964"/>
    <w:rsid w:val="395224D9"/>
    <w:rsid w:val="39535FC7"/>
    <w:rsid w:val="395601FC"/>
    <w:rsid w:val="397B4E62"/>
    <w:rsid w:val="39972B1A"/>
    <w:rsid w:val="399A1410"/>
    <w:rsid w:val="39C47D94"/>
    <w:rsid w:val="39CD1539"/>
    <w:rsid w:val="39CD5D32"/>
    <w:rsid w:val="39DA1DFA"/>
    <w:rsid w:val="39DC71EB"/>
    <w:rsid w:val="39DD5D2E"/>
    <w:rsid w:val="39E01A69"/>
    <w:rsid w:val="3A045F91"/>
    <w:rsid w:val="3A076679"/>
    <w:rsid w:val="3A0A0953"/>
    <w:rsid w:val="3A211C22"/>
    <w:rsid w:val="3A2C4127"/>
    <w:rsid w:val="3A4F0AA8"/>
    <w:rsid w:val="3A543DA5"/>
    <w:rsid w:val="3A5576B6"/>
    <w:rsid w:val="3A682780"/>
    <w:rsid w:val="3A697EB7"/>
    <w:rsid w:val="3A7F0311"/>
    <w:rsid w:val="3A8538B6"/>
    <w:rsid w:val="3A884EF1"/>
    <w:rsid w:val="3A8C5141"/>
    <w:rsid w:val="3AA52853"/>
    <w:rsid w:val="3AA648FE"/>
    <w:rsid w:val="3AAA7D3D"/>
    <w:rsid w:val="3AD117FB"/>
    <w:rsid w:val="3AD4138A"/>
    <w:rsid w:val="3AD72904"/>
    <w:rsid w:val="3AD75A09"/>
    <w:rsid w:val="3ADC5AFD"/>
    <w:rsid w:val="3AE17BBC"/>
    <w:rsid w:val="3B007A89"/>
    <w:rsid w:val="3B0F5ABD"/>
    <w:rsid w:val="3B2F4F75"/>
    <w:rsid w:val="3B31477D"/>
    <w:rsid w:val="3B315914"/>
    <w:rsid w:val="3B422101"/>
    <w:rsid w:val="3B4715CB"/>
    <w:rsid w:val="3B5008D7"/>
    <w:rsid w:val="3B7F15E2"/>
    <w:rsid w:val="3B8536A6"/>
    <w:rsid w:val="3B9F0C51"/>
    <w:rsid w:val="3BA00572"/>
    <w:rsid w:val="3BB1021B"/>
    <w:rsid w:val="3BE15B0C"/>
    <w:rsid w:val="3BF72A83"/>
    <w:rsid w:val="3C135790"/>
    <w:rsid w:val="3C1752F7"/>
    <w:rsid w:val="3C193171"/>
    <w:rsid w:val="3C1E3214"/>
    <w:rsid w:val="3C2528C6"/>
    <w:rsid w:val="3C371BD0"/>
    <w:rsid w:val="3C4F1FEA"/>
    <w:rsid w:val="3C5B6745"/>
    <w:rsid w:val="3C683B38"/>
    <w:rsid w:val="3C686571"/>
    <w:rsid w:val="3C6F5E3B"/>
    <w:rsid w:val="3C83525B"/>
    <w:rsid w:val="3C87375A"/>
    <w:rsid w:val="3C88531F"/>
    <w:rsid w:val="3C8D7A42"/>
    <w:rsid w:val="3C8E189D"/>
    <w:rsid w:val="3CA22EFE"/>
    <w:rsid w:val="3CB8043D"/>
    <w:rsid w:val="3CB94BCA"/>
    <w:rsid w:val="3CC35212"/>
    <w:rsid w:val="3CC50225"/>
    <w:rsid w:val="3CD967E3"/>
    <w:rsid w:val="3CDE231E"/>
    <w:rsid w:val="3D245A63"/>
    <w:rsid w:val="3D36346C"/>
    <w:rsid w:val="3D4269DA"/>
    <w:rsid w:val="3D430EA3"/>
    <w:rsid w:val="3D47560D"/>
    <w:rsid w:val="3D523BCD"/>
    <w:rsid w:val="3D645169"/>
    <w:rsid w:val="3D6933DE"/>
    <w:rsid w:val="3D7C3859"/>
    <w:rsid w:val="3D80607F"/>
    <w:rsid w:val="3D8F2120"/>
    <w:rsid w:val="3D8F30A0"/>
    <w:rsid w:val="3D990E61"/>
    <w:rsid w:val="3DA327E5"/>
    <w:rsid w:val="3DB01C7C"/>
    <w:rsid w:val="3DB334D8"/>
    <w:rsid w:val="3DBA1ADA"/>
    <w:rsid w:val="3DC355A6"/>
    <w:rsid w:val="3DC42D6E"/>
    <w:rsid w:val="3DD009EA"/>
    <w:rsid w:val="3DD122A2"/>
    <w:rsid w:val="3DD64752"/>
    <w:rsid w:val="3DD80DF7"/>
    <w:rsid w:val="3DE17E96"/>
    <w:rsid w:val="3DE26317"/>
    <w:rsid w:val="3DEB1B40"/>
    <w:rsid w:val="3DFC4E7F"/>
    <w:rsid w:val="3E2D1C0D"/>
    <w:rsid w:val="3E352B5B"/>
    <w:rsid w:val="3E3A2755"/>
    <w:rsid w:val="3E463101"/>
    <w:rsid w:val="3E5717D0"/>
    <w:rsid w:val="3E5E04B0"/>
    <w:rsid w:val="3E5F4189"/>
    <w:rsid w:val="3E6C1A3F"/>
    <w:rsid w:val="3E734A16"/>
    <w:rsid w:val="3E752133"/>
    <w:rsid w:val="3E7A5DA4"/>
    <w:rsid w:val="3E953235"/>
    <w:rsid w:val="3EAA3B18"/>
    <w:rsid w:val="3EAA555F"/>
    <w:rsid w:val="3EBD0BAE"/>
    <w:rsid w:val="3EC3774B"/>
    <w:rsid w:val="3ECC3927"/>
    <w:rsid w:val="3ECD2095"/>
    <w:rsid w:val="3EEF22EE"/>
    <w:rsid w:val="3EF02AD3"/>
    <w:rsid w:val="3F024C1A"/>
    <w:rsid w:val="3F0D0FA0"/>
    <w:rsid w:val="3F21052E"/>
    <w:rsid w:val="3F330C34"/>
    <w:rsid w:val="3F3917F4"/>
    <w:rsid w:val="3F397A0D"/>
    <w:rsid w:val="3F4A39C9"/>
    <w:rsid w:val="3F625E8E"/>
    <w:rsid w:val="3F6A673B"/>
    <w:rsid w:val="3F8C2A74"/>
    <w:rsid w:val="3FA624AC"/>
    <w:rsid w:val="3FA70307"/>
    <w:rsid w:val="3FA7458E"/>
    <w:rsid w:val="3FB22390"/>
    <w:rsid w:val="3FCF1529"/>
    <w:rsid w:val="3FDD2A57"/>
    <w:rsid w:val="3FE37E33"/>
    <w:rsid w:val="3FF027C2"/>
    <w:rsid w:val="3FF55C7D"/>
    <w:rsid w:val="3FF676AC"/>
    <w:rsid w:val="400E03CE"/>
    <w:rsid w:val="401171AD"/>
    <w:rsid w:val="40225AF1"/>
    <w:rsid w:val="403D5148"/>
    <w:rsid w:val="403D6B94"/>
    <w:rsid w:val="40507C98"/>
    <w:rsid w:val="40580367"/>
    <w:rsid w:val="4061657E"/>
    <w:rsid w:val="40767673"/>
    <w:rsid w:val="407707ED"/>
    <w:rsid w:val="40892318"/>
    <w:rsid w:val="408E0789"/>
    <w:rsid w:val="40A76FA9"/>
    <w:rsid w:val="40AC084A"/>
    <w:rsid w:val="40D05FDB"/>
    <w:rsid w:val="40DB515E"/>
    <w:rsid w:val="40E30197"/>
    <w:rsid w:val="40E63D94"/>
    <w:rsid w:val="40EA1367"/>
    <w:rsid w:val="40EB151F"/>
    <w:rsid w:val="40ED4F53"/>
    <w:rsid w:val="40F25A91"/>
    <w:rsid w:val="411C387B"/>
    <w:rsid w:val="41292B74"/>
    <w:rsid w:val="41406E31"/>
    <w:rsid w:val="414E3836"/>
    <w:rsid w:val="41592854"/>
    <w:rsid w:val="416E516B"/>
    <w:rsid w:val="418812BB"/>
    <w:rsid w:val="418D4040"/>
    <w:rsid w:val="419E7FFC"/>
    <w:rsid w:val="419F3079"/>
    <w:rsid w:val="41AE3A67"/>
    <w:rsid w:val="41C95125"/>
    <w:rsid w:val="41EA02ED"/>
    <w:rsid w:val="42075BA1"/>
    <w:rsid w:val="4215282E"/>
    <w:rsid w:val="42225E0B"/>
    <w:rsid w:val="42383FB6"/>
    <w:rsid w:val="423D7815"/>
    <w:rsid w:val="424F30C2"/>
    <w:rsid w:val="425E14DB"/>
    <w:rsid w:val="42621029"/>
    <w:rsid w:val="426B4382"/>
    <w:rsid w:val="42725710"/>
    <w:rsid w:val="427358D4"/>
    <w:rsid w:val="42736D87"/>
    <w:rsid w:val="427E086F"/>
    <w:rsid w:val="42826F4F"/>
    <w:rsid w:val="428B0580"/>
    <w:rsid w:val="429A4E70"/>
    <w:rsid w:val="429E14C4"/>
    <w:rsid w:val="42A26186"/>
    <w:rsid w:val="42A94EAA"/>
    <w:rsid w:val="42BA0E65"/>
    <w:rsid w:val="42C13D5C"/>
    <w:rsid w:val="42DD74CF"/>
    <w:rsid w:val="42DF3579"/>
    <w:rsid w:val="42E264C2"/>
    <w:rsid w:val="42E85CD3"/>
    <w:rsid w:val="42F54D63"/>
    <w:rsid w:val="43011E27"/>
    <w:rsid w:val="430D368B"/>
    <w:rsid w:val="430F20A0"/>
    <w:rsid w:val="43135F0F"/>
    <w:rsid w:val="431B6CC7"/>
    <w:rsid w:val="43225F65"/>
    <w:rsid w:val="435720D9"/>
    <w:rsid w:val="43615785"/>
    <w:rsid w:val="43732880"/>
    <w:rsid w:val="43865952"/>
    <w:rsid w:val="438F0BB0"/>
    <w:rsid w:val="43993170"/>
    <w:rsid w:val="43BF04EA"/>
    <w:rsid w:val="43C05A1E"/>
    <w:rsid w:val="43CF4932"/>
    <w:rsid w:val="43D22CDA"/>
    <w:rsid w:val="43D354DC"/>
    <w:rsid w:val="4405353A"/>
    <w:rsid w:val="44063CF3"/>
    <w:rsid w:val="44072973"/>
    <w:rsid w:val="44095C00"/>
    <w:rsid w:val="44117E2D"/>
    <w:rsid w:val="441822E7"/>
    <w:rsid w:val="442F13DF"/>
    <w:rsid w:val="44426345"/>
    <w:rsid w:val="444B2816"/>
    <w:rsid w:val="445279AA"/>
    <w:rsid w:val="4453331F"/>
    <w:rsid w:val="445F3A86"/>
    <w:rsid w:val="4478636B"/>
    <w:rsid w:val="447A0DB3"/>
    <w:rsid w:val="4481712B"/>
    <w:rsid w:val="44901E7E"/>
    <w:rsid w:val="449F54A7"/>
    <w:rsid w:val="44A1052F"/>
    <w:rsid w:val="44C93406"/>
    <w:rsid w:val="44D74994"/>
    <w:rsid w:val="44DD0E3B"/>
    <w:rsid w:val="44E67CEF"/>
    <w:rsid w:val="44F62875"/>
    <w:rsid w:val="451730A2"/>
    <w:rsid w:val="451955A3"/>
    <w:rsid w:val="45205199"/>
    <w:rsid w:val="45260B70"/>
    <w:rsid w:val="45357C2D"/>
    <w:rsid w:val="453A003B"/>
    <w:rsid w:val="45467C1A"/>
    <w:rsid w:val="45523E0A"/>
    <w:rsid w:val="45603F46"/>
    <w:rsid w:val="45784EE5"/>
    <w:rsid w:val="457C33A8"/>
    <w:rsid w:val="458804FE"/>
    <w:rsid w:val="458D57CB"/>
    <w:rsid w:val="4595726A"/>
    <w:rsid w:val="45C67177"/>
    <w:rsid w:val="45D048BE"/>
    <w:rsid w:val="45DE626C"/>
    <w:rsid w:val="45EB660D"/>
    <w:rsid w:val="45F13477"/>
    <w:rsid w:val="45FD7B3D"/>
    <w:rsid w:val="460A10C2"/>
    <w:rsid w:val="46220C85"/>
    <w:rsid w:val="46230254"/>
    <w:rsid w:val="46244F73"/>
    <w:rsid w:val="46287B26"/>
    <w:rsid w:val="462A00B0"/>
    <w:rsid w:val="462D24EF"/>
    <w:rsid w:val="46534E0B"/>
    <w:rsid w:val="4670640B"/>
    <w:rsid w:val="46753897"/>
    <w:rsid w:val="467A71EB"/>
    <w:rsid w:val="46867477"/>
    <w:rsid w:val="468A02AD"/>
    <w:rsid w:val="468B3DD1"/>
    <w:rsid w:val="469043B7"/>
    <w:rsid w:val="46AF1247"/>
    <w:rsid w:val="46BF4C9C"/>
    <w:rsid w:val="46C936C8"/>
    <w:rsid w:val="46CB1893"/>
    <w:rsid w:val="46D87DE5"/>
    <w:rsid w:val="46E556A4"/>
    <w:rsid w:val="46E97F6B"/>
    <w:rsid w:val="46EA25E1"/>
    <w:rsid w:val="46EB1077"/>
    <w:rsid w:val="470C2558"/>
    <w:rsid w:val="472127B7"/>
    <w:rsid w:val="472165B7"/>
    <w:rsid w:val="47277064"/>
    <w:rsid w:val="47323C17"/>
    <w:rsid w:val="4743767B"/>
    <w:rsid w:val="474E29C1"/>
    <w:rsid w:val="475569C5"/>
    <w:rsid w:val="475A49C5"/>
    <w:rsid w:val="475E44B5"/>
    <w:rsid w:val="476121D8"/>
    <w:rsid w:val="476A063C"/>
    <w:rsid w:val="477C748E"/>
    <w:rsid w:val="478A7058"/>
    <w:rsid w:val="47941208"/>
    <w:rsid w:val="47A101B2"/>
    <w:rsid w:val="47BF2852"/>
    <w:rsid w:val="47BF386C"/>
    <w:rsid w:val="47C3256A"/>
    <w:rsid w:val="47C95C6C"/>
    <w:rsid w:val="47EC7022"/>
    <w:rsid w:val="47FC7940"/>
    <w:rsid w:val="48030B33"/>
    <w:rsid w:val="48046015"/>
    <w:rsid w:val="4819316F"/>
    <w:rsid w:val="482F5E51"/>
    <w:rsid w:val="483F125D"/>
    <w:rsid w:val="48580B32"/>
    <w:rsid w:val="485B43A9"/>
    <w:rsid w:val="48635024"/>
    <w:rsid w:val="487B675C"/>
    <w:rsid w:val="48A95C04"/>
    <w:rsid w:val="48B22238"/>
    <w:rsid w:val="48B33076"/>
    <w:rsid w:val="48C4330A"/>
    <w:rsid w:val="48D55EB3"/>
    <w:rsid w:val="48DA0701"/>
    <w:rsid w:val="48DF324A"/>
    <w:rsid w:val="48E052EC"/>
    <w:rsid w:val="48E65AEE"/>
    <w:rsid w:val="48F80CE7"/>
    <w:rsid w:val="49096FCD"/>
    <w:rsid w:val="491D7C08"/>
    <w:rsid w:val="49246B4D"/>
    <w:rsid w:val="494625B6"/>
    <w:rsid w:val="49507E2D"/>
    <w:rsid w:val="49512BB1"/>
    <w:rsid w:val="495E0009"/>
    <w:rsid w:val="49641F5D"/>
    <w:rsid w:val="49666B6B"/>
    <w:rsid w:val="496F2CCC"/>
    <w:rsid w:val="498F64FC"/>
    <w:rsid w:val="49AD1724"/>
    <w:rsid w:val="49BE7E39"/>
    <w:rsid w:val="49C40005"/>
    <w:rsid w:val="49C65419"/>
    <w:rsid w:val="49D04BAB"/>
    <w:rsid w:val="49EA0282"/>
    <w:rsid w:val="49EA17C4"/>
    <w:rsid w:val="49EF440A"/>
    <w:rsid w:val="4A0F4699"/>
    <w:rsid w:val="4A1A2F12"/>
    <w:rsid w:val="4A2C7C77"/>
    <w:rsid w:val="4A321C6F"/>
    <w:rsid w:val="4A366D8C"/>
    <w:rsid w:val="4A375709"/>
    <w:rsid w:val="4A475BFC"/>
    <w:rsid w:val="4A4E1094"/>
    <w:rsid w:val="4A561717"/>
    <w:rsid w:val="4A606796"/>
    <w:rsid w:val="4A717D8F"/>
    <w:rsid w:val="4A7D0F83"/>
    <w:rsid w:val="4A834A22"/>
    <w:rsid w:val="4A8815D3"/>
    <w:rsid w:val="4A9454F9"/>
    <w:rsid w:val="4A972DF7"/>
    <w:rsid w:val="4A992274"/>
    <w:rsid w:val="4AA77F21"/>
    <w:rsid w:val="4AAA2276"/>
    <w:rsid w:val="4AB64534"/>
    <w:rsid w:val="4ABD14F2"/>
    <w:rsid w:val="4AC66642"/>
    <w:rsid w:val="4AC87549"/>
    <w:rsid w:val="4AD37353"/>
    <w:rsid w:val="4ADC6651"/>
    <w:rsid w:val="4AE2340C"/>
    <w:rsid w:val="4AE72A13"/>
    <w:rsid w:val="4AFF6999"/>
    <w:rsid w:val="4B0E61F2"/>
    <w:rsid w:val="4B21257E"/>
    <w:rsid w:val="4B290FE3"/>
    <w:rsid w:val="4B322207"/>
    <w:rsid w:val="4B3B5793"/>
    <w:rsid w:val="4B58050B"/>
    <w:rsid w:val="4B5A25F7"/>
    <w:rsid w:val="4B6A0768"/>
    <w:rsid w:val="4B6B0CBD"/>
    <w:rsid w:val="4B705719"/>
    <w:rsid w:val="4B7B47F9"/>
    <w:rsid w:val="4BA563FE"/>
    <w:rsid w:val="4BB77663"/>
    <w:rsid w:val="4BC54DE5"/>
    <w:rsid w:val="4BCB7306"/>
    <w:rsid w:val="4BD52968"/>
    <w:rsid w:val="4BD91D02"/>
    <w:rsid w:val="4BE2600E"/>
    <w:rsid w:val="4BE57820"/>
    <w:rsid w:val="4BF657A1"/>
    <w:rsid w:val="4BFB7B74"/>
    <w:rsid w:val="4C0457A1"/>
    <w:rsid w:val="4C3F2C78"/>
    <w:rsid w:val="4C42244E"/>
    <w:rsid w:val="4C437DCE"/>
    <w:rsid w:val="4C6D3DA8"/>
    <w:rsid w:val="4C727CFA"/>
    <w:rsid w:val="4C88081B"/>
    <w:rsid w:val="4C8872A2"/>
    <w:rsid w:val="4C9C19F3"/>
    <w:rsid w:val="4CA47183"/>
    <w:rsid w:val="4CB7606E"/>
    <w:rsid w:val="4CF745DE"/>
    <w:rsid w:val="4CFC57E0"/>
    <w:rsid w:val="4D087B01"/>
    <w:rsid w:val="4D0B58BC"/>
    <w:rsid w:val="4D0C050F"/>
    <w:rsid w:val="4D0C2AD5"/>
    <w:rsid w:val="4D2059FA"/>
    <w:rsid w:val="4D2E3574"/>
    <w:rsid w:val="4D451B18"/>
    <w:rsid w:val="4D4D5AFE"/>
    <w:rsid w:val="4D502AF2"/>
    <w:rsid w:val="4D5C07F9"/>
    <w:rsid w:val="4D755736"/>
    <w:rsid w:val="4DAC0A3B"/>
    <w:rsid w:val="4DB92102"/>
    <w:rsid w:val="4DBA3E20"/>
    <w:rsid w:val="4DBC5B64"/>
    <w:rsid w:val="4DC679DB"/>
    <w:rsid w:val="4DE61D12"/>
    <w:rsid w:val="4DF1146E"/>
    <w:rsid w:val="4DF82017"/>
    <w:rsid w:val="4E0E661C"/>
    <w:rsid w:val="4E1E3790"/>
    <w:rsid w:val="4E2E44B5"/>
    <w:rsid w:val="4E4C57ED"/>
    <w:rsid w:val="4E5505A6"/>
    <w:rsid w:val="4E820BD8"/>
    <w:rsid w:val="4E8D729C"/>
    <w:rsid w:val="4E8E1C0C"/>
    <w:rsid w:val="4E9609D8"/>
    <w:rsid w:val="4E98004C"/>
    <w:rsid w:val="4EA5208F"/>
    <w:rsid w:val="4EAE617F"/>
    <w:rsid w:val="4EBD702F"/>
    <w:rsid w:val="4EC310A1"/>
    <w:rsid w:val="4EC818B0"/>
    <w:rsid w:val="4ECB59F9"/>
    <w:rsid w:val="4ECE1CAC"/>
    <w:rsid w:val="4EE414BB"/>
    <w:rsid w:val="4EE87B84"/>
    <w:rsid w:val="4EFF65C5"/>
    <w:rsid w:val="4F0052D1"/>
    <w:rsid w:val="4F014784"/>
    <w:rsid w:val="4F0431E6"/>
    <w:rsid w:val="4F1B712F"/>
    <w:rsid w:val="4F1C605F"/>
    <w:rsid w:val="4F254824"/>
    <w:rsid w:val="4F2658BE"/>
    <w:rsid w:val="4F4736A7"/>
    <w:rsid w:val="4F7914EF"/>
    <w:rsid w:val="4F9174FD"/>
    <w:rsid w:val="4F9402D2"/>
    <w:rsid w:val="4FB10142"/>
    <w:rsid w:val="4FB82BD0"/>
    <w:rsid w:val="4FC643B6"/>
    <w:rsid w:val="4FD1578E"/>
    <w:rsid w:val="4FE10E76"/>
    <w:rsid w:val="4FEE2189"/>
    <w:rsid w:val="4FF71C3D"/>
    <w:rsid w:val="50016856"/>
    <w:rsid w:val="5008518B"/>
    <w:rsid w:val="500B32A2"/>
    <w:rsid w:val="502B6647"/>
    <w:rsid w:val="502B6EFE"/>
    <w:rsid w:val="50324E90"/>
    <w:rsid w:val="504C1B11"/>
    <w:rsid w:val="505F48A5"/>
    <w:rsid w:val="506472D4"/>
    <w:rsid w:val="50666C7A"/>
    <w:rsid w:val="507460A4"/>
    <w:rsid w:val="5094445D"/>
    <w:rsid w:val="509C0D4E"/>
    <w:rsid w:val="50A23A1E"/>
    <w:rsid w:val="50AC44E3"/>
    <w:rsid w:val="50B57EA9"/>
    <w:rsid w:val="50BC2B26"/>
    <w:rsid w:val="50BE1984"/>
    <w:rsid w:val="50D141C6"/>
    <w:rsid w:val="50D94FDD"/>
    <w:rsid w:val="50F115EA"/>
    <w:rsid w:val="50F72C9C"/>
    <w:rsid w:val="50FC0DB6"/>
    <w:rsid w:val="511107EA"/>
    <w:rsid w:val="511F2007"/>
    <w:rsid w:val="51271E2F"/>
    <w:rsid w:val="51342CAA"/>
    <w:rsid w:val="51366F32"/>
    <w:rsid w:val="51406A38"/>
    <w:rsid w:val="514B4E4E"/>
    <w:rsid w:val="516578E1"/>
    <w:rsid w:val="517174DB"/>
    <w:rsid w:val="518049FF"/>
    <w:rsid w:val="51932FAD"/>
    <w:rsid w:val="51A06E66"/>
    <w:rsid w:val="51AF590D"/>
    <w:rsid w:val="51B475E9"/>
    <w:rsid w:val="51C05FF6"/>
    <w:rsid w:val="51D135DE"/>
    <w:rsid w:val="51DF4444"/>
    <w:rsid w:val="51F65295"/>
    <w:rsid w:val="51F872B4"/>
    <w:rsid w:val="51FD3DB6"/>
    <w:rsid w:val="52097713"/>
    <w:rsid w:val="520C3BB6"/>
    <w:rsid w:val="52252174"/>
    <w:rsid w:val="52295AE6"/>
    <w:rsid w:val="522D0E7F"/>
    <w:rsid w:val="523E4D62"/>
    <w:rsid w:val="5243507E"/>
    <w:rsid w:val="525402A0"/>
    <w:rsid w:val="52554706"/>
    <w:rsid w:val="525F5585"/>
    <w:rsid w:val="528D41E4"/>
    <w:rsid w:val="52BF5C92"/>
    <w:rsid w:val="52C2167A"/>
    <w:rsid w:val="52C7794C"/>
    <w:rsid w:val="52D279CD"/>
    <w:rsid w:val="52D32ADF"/>
    <w:rsid w:val="52E45ACB"/>
    <w:rsid w:val="52E71802"/>
    <w:rsid w:val="52F47AFB"/>
    <w:rsid w:val="53071B37"/>
    <w:rsid w:val="530A5973"/>
    <w:rsid w:val="531169F3"/>
    <w:rsid w:val="531348FB"/>
    <w:rsid w:val="53275D3D"/>
    <w:rsid w:val="533354CF"/>
    <w:rsid w:val="533407C0"/>
    <w:rsid w:val="53346B96"/>
    <w:rsid w:val="535D5DC8"/>
    <w:rsid w:val="537A3167"/>
    <w:rsid w:val="537D2360"/>
    <w:rsid w:val="53811E50"/>
    <w:rsid w:val="53B22465"/>
    <w:rsid w:val="53B72F65"/>
    <w:rsid w:val="53BE3989"/>
    <w:rsid w:val="53D83751"/>
    <w:rsid w:val="53D85151"/>
    <w:rsid w:val="53E844A9"/>
    <w:rsid w:val="53FD2AC2"/>
    <w:rsid w:val="5409404E"/>
    <w:rsid w:val="54134B75"/>
    <w:rsid w:val="54164746"/>
    <w:rsid w:val="541F238F"/>
    <w:rsid w:val="542E2ADC"/>
    <w:rsid w:val="543341B9"/>
    <w:rsid w:val="543415ED"/>
    <w:rsid w:val="5438608E"/>
    <w:rsid w:val="544B7F7E"/>
    <w:rsid w:val="54501D22"/>
    <w:rsid w:val="546146EB"/>
    <w:rsid w:val="54680D66"/>
    <w:rsid w:val="54685AA1"/>
    <w:rsid w:val="547D06FB"/>
    <w:rsid w:val="547D14B1"/>
    <w:rsid w:val="54857DDB"/>
    <w:rsid w:val="548C678B"/>
    <w:rsid w:val="54905199"/>
    <w:rsid w:val="54914216"/>
    <w:rsid w:val="549273A9"/>
    <w:rsid w:val="549405C7"/>
    <w:rsid w:val="549D6C55"/>
    <w:rsid w:val="54CA07F6"/>
    <w:rsid w:val="54E979F3"/>
    <w:rsid w:val="54EF0774"/>
    <w:rsid w:val="54F2448F"/>
    <w:rsid w:val="54FE2E33"/>
    <w:rsid w:val="550B2DC8"/>
    <w:rsid w:val="5540169E"/>
    <w:rsid w:val="55466588"/>
    <w:rsid w:val="5547793A"/>
    <w:rsid w:val="554C32B2"/>
    <w:rsid w:val="55501E76"/>
    <w:rsid w:val="55701D69"/>
    <w:rsid w:val="55731E3E"/>
    <w:rsid w:val="557A0272"/>
    <w:rsid w:val="557E29D7"/>
    <w:rsid w:val="558F2195"/>
    <w:rsid w:val="55900035"/>
    <w:rsid w:val="55AF798B"/>
    <w:rsid w:val="55CA70E8"/>
    <w:rsid w:val="55ED4967"/>
    <w:rsid w:val="55F350C4"/>
    <w:rsid w:val="561B14C6"/>
    <w:rsid w:val="561B7A15"/>
    <w:rsid w:val="56247722"/>
    <w:rsid w:val="56342FDD"/>
    <w:rsid w:val="56467B64"/>
    <w:rsid w:val="565626F9"/>
    <w:rsid w:val="565671A2"/>
    <w:rsid w:val="56685CA8"/>
    <w:rsid w:val="56740DC7"/>
    <w:rsid w:val="56753961"/>
    <w:rsid w:val="5677558B"/>
    <w:rsid w:val="569C2904"/>
    <w:rsid w:val="56AA3219"/>
    <w:rsid w:val="56CF2574"/>
    <w:rsid w:val="56CF424D"/>
    <w:rsid w:val="56DE4C00"/>
    <w:rsid w:val="570847EE"/>
    <w:rsid w:val="573270B5"/>
    <w:rsid w:val="57331689"/>
    <w:rsid w:val="57443B56"/>
    <w:rsid w:val="57614844"/>
    <w:rsid w:val="57664CC0"/>
    <w:rsid w:val="576A00D2"/>
    <w:rsid w:val="576A530D"/>
    <w:rsid w:val="57971A40"/>
    <w:rsid w:val="579E4D2D"/>
    <w:rsid w:val="57A24175"/>
    <w:rsid w:val="57B75717"/>
    <w:rsid w:val="57C470D2"/>
    <w:rsid w:val="57C77E19"/>
    <w:rsid w:val="57CA488B"/>
    <w:rsid w:val="57DB3900"/>
    <w:rsid w:val="57DB47FB"/>
    <w:rsid w:val="580846BB"/>
    <w:rsid w:val="5816050F"/>
    <w:rsid w:val="581D5CC6"/>
    <w:rsid w:val="58205F1A"/>
    <w:rsid w:val="582468CD"/>
    <w:rsid w:val="582840C5"/>
    <w:rsid w:val="583074F9"/>
    <w:rsid w:val="583515AC"/>
    <w:rsid w:val="584B45E2"/>
    <w:rsid w:val="584C2587"/>
    <w:rsid w:val="585127AA"/>
    <w:rsid w:val="585D5314"/>
    <w:rsid w:val="58603D47"/>
    <w:rsid w:val="58743A0C"/>
    <w:rsid w:val="58BB3CCE"/>
    <w:rsid w:val="58CD3249"/>
    <w:rsid w:val="58DE0E81"/>
    <w:rsid w:val="59125866"/>
    <w:rsid w:val="5915352F"/>
    <w:rsid w:val="591B0458"/>
    <w:rsid w:val="59232E69"/>
    <w:rsid w:val="59304651"/>
    <w:rsid w:val="593E2965"/>
    <w:rsid w:val="594856C1"/>
    <w:rsid w:val="59486EBB"/>
    <w:rsid w:val="59493AFE"/>
    <w:rsid w:val="594C38F9"/>
    <w:rsid w:val="594C4A1E"/>
    <w:rsid w:val="59567838"/>
    <w:rsid w:val="59700D18"/>
    <w:rsid w:val="5970491E"/>
    <w:rsid w:val="597304CA"/>
    <w:rsid w:val="59794C92"/>
    <w:rsid w:val="597A0373"/>
    <w:rsid w:val="598803B1"/>
    <w:rsid w:val="59A5117A"/>
    <w:rsid w:val="59A937D5"/>
    <w:rsid w:val="59BA6CB3"/>
    <w:rsid w:val="59BA6CC4"/>
    <w:rsid w:val="59DB746A"/>
    <w:rsid w:val="59F2154E"/>
    <w:rsid w:val="59F9691A"/>
    <w:rsid w:val="5A012975"/>
    <w:rsid w:val="5A0233C6"/>
    <w:rsid w:val="5A097A39"/>
    <w:rsid w:val="5A112448"/>
    <w:rsid w:val="5A1E417A"/>
    <w:rsid w:val="5A266C4C"/>
    <w:rsid w:val="5A2D3B53"/>
    <w:rsid w:val="5A3B2434"/>
    <w:rsid w:val="5A6457FD"/>
    <w:rsid w:val="5A645A7F"/>
    <w:rsid w:val="5A653116"/>
    <w:rsid w:val="5A7035CD"/>
    <w:rsid w:val="5A873ECB"/>
    <w:rsid w:val="5A934A0F"/>
    <w:rsid w:val="5A957C98"/>
    <w:rsid w:val="5A9E6D6F"/>
    <w:rsid w:val="5AAC50E0"/>
    <w:rsid w:val="5AAD60EA"/>
    <w:rsid w:val="5AB61DE0"/>
    <w:rsid w:val="5ACB527F"/>
    <w:rsid w:val="5AD7761B"/>
    <w:rsid w:val="5B072DB6"/>
    <w:rsid w:val="5B19492B"/>
    <w:rsid w:val="5B233465"/>
    <w:rsid w:val="5B506B61"/>
    <w:rsid w:val="5B5F0F2E"/>
    <w:rsid w:val="5B667984"/>
    <w:rsid w:val="5B6B796C"/>
    <w:rsid w:val="5B7C0F56"/>
    <w:rsid w:val="5B9808C1"/>
    <w:rsid w:val="5BB10CB2"/>
    <w:rsid w:val="5BC16A09"/>
    <w:rsid w:val="5C012CC6"/>
    <w:rsid w:val="5C3B496D"/>
    <w:rsid w:val="5C503DE0"/>
    <w:rsid w:val="5C5435D1"/>
    <w:rsid w:val="5C5C5BA5"/>
    <w:rsid w:val="5C8005D2"/>
    <w:rsid w:val="5C8C4702"/>
    <w:rsid w:val="5C936557"/>
    <w:rsid w:val="5C943DBC"/>
    <w:rsid w:val="5C997625"/>
    <w:rsid w:val="5CA57080"/>
    <w:rsid w:val="5CA77E21"/>
    <w:rsid w:val="5CAF0BE0"/>
    <w:rsid w:val="5CB458BA"/>
    <w:rsid w:val="5CDC782C"/>
    <w:rsid w:val="5CE23DAC"/>
    <w:rsid w:val="5CE73917"/>
    <w:rsid w:val="5D0A73AF"/>
    <w:rsid w:val="5D120F26"/>
    <w:rsid w:val="5D1F603D"/>
    <w:rsid w:val="5D376039"/>
    <w:rsid w:val="5D3E31E9"/>
    <w:rsid w:val="5D436E42"/>
    <w:rsid w:val="5D63667B"/>
    <w:rsid w:val="5D6F2EDA"/>
    <w:rsid w:val="5D783847"/>
    <w:rsid w:val="5D83037A"/>
    <w:rsid w:val="5D9941C1"/>
    <w:rsid w:val="5DA92832"/>
    <w:rsid w:val="5DAE502B"/>
    <w:rsid w:val="5DB466F3"/>
    <w:rsid w:val="5DB915F2"/>
    <w:rsid w:val="5DBC60F3"/>
    <w:rsid w:val="5DCB1D21"/>
    <w:rsid w:val="5DCD5A99"/>
    <w:rsid w:val="5DDA5440"/>
    <w:rsid w:val="5DDD5947"/>
    <w:rsid w:val="5DDF393D"/>
    <w:rsid w:val="5DDF6E4E"/>
    <w:rsid w:val="5DFA49E0"/>
    <w:rsid w:val="5E1D0F80"/>
    <w:rsid w:val="5E1F3B6D"/>
    <w:rsid w:val="5E224037"/>
    <w:rsid w:val="5E352C38"/>
    <w:rsid w:val="5E3E40FF"/>
    <w:rsid w:val="5E40706E"/>
    <w:rsid w:val="5E4C1080"/>
    <w:rsid w:val="5E4E1C8A"/>
    <w:rsid w:val="5E5D7A78"/>
    <w:rsid w:val="5E7833A1"/>
    <w:rsid w:val="5E8274BA"/>
    <w:rsid w:val="5E837B3C"/>
    <w:rsid w:val="5EA06D09"/>
    <w:rsid w:val="5EA53C9A"/>
    <w:rsid w:val="5EB822A5"/>
    <w:rsid w:val="5EBC7F37"/>
    <w:rsid w:val="5ECE7D1A"/>
    <w:rsid w:val="5ED36C86"/>
    <w:rsid w:val="5EDA60B0"/>
    <w:rsid w:val="5EE35A57"/>
    <w:rsid w:val="5F053019"/>
    <w:rsid w:val="5F1645A7"/>
    <w:rsid w:val="5F6A54DD"/>
    <w:rsid w:val="5F815969"/>
    <w:rsid w:val="5F8B4FA7"/>
    <w:rsid w:val="5F9B72D1"/>
    <w:rsid w:val="5FAB0A44"/>
    <w:rsid w:val="5FB17C29"/>
    <w:rsid w:val="5FB34738"/>
    <w:rsid w:val="5FB95E1C"/>
    <w:rsid w:val="5FC85F82"/>
    <w:rsid w:val="5FCB3FE5"/>
    <w:rsid w:val="5FDC5EDE"/>
    <w:rsid w:val="5FEB2206"/>
    <w:rsid w:val="5FED772C"/>
    <w:rsid w:val="5FF97EAE"/>
    <w:rsid w:val="60155C27"/>
    <w:rsid w:val="60162D11"/>
    <w:rsid w:val="601A6070"/>
    <w:rsid w:val="60226F8B"/>
    <w:rsid w:val="603B4F3C"/>
    <w:rsid w:val="60477ABF"/>
    <w:rsid w:val="604B06AE"/>
    <w:rsid w:val="60526566"/>
    <w:rsid w:val="607F756F"/>
    <w:rsid w:val="60917251"/>
    <w:rsid w:val="60962A38"/>
    <w:rsid w:val="60982996"/>
    <w:rsid w:val="60C53D01"/>
    <w:rsid w:val="60C9018D"/>
    <w:rsid w:val="61012C93"/>
    <w:rsid w:val="61053FC5"/>
    <w:rsid w:val="610C088E"/>
    <w:rsid w:val="614A03E6"/>
    <w:rsid w:val="61531A50"/>
    <w:rsid w:val="61532201"/>
    <w:rsid w:val="61651210"/>
    <w:rsid w:val="61666018"/>
    <w:rsid w:val="616B46BB"/>
    <w:rsid w:val="616E5EB6"/>
    <w:rsid w:val="617526CF"/>
    <w:rsid w:val="618560EB"/>
    <w:rsid w:val="618E3791"/>
    <w:rsid w:val="619B5D77"/>
    <w:rsid w:val="61B10243"/>
    <w:rsid w:val="61BB2DD9"/>
    <w:rsid w:val="61C00B2F"/>
    <w:rsid w:val="61C3411F"/>
    <w:rsid w:val="61DD1B9A"/>
    <w:rsid w:val="61E136F6"/>
    <w:rsid w:val="61F4426B"/>
    <w:rsid w:val="61F83805"/>
    <w:rsid w:val="62022776"/>
    <w:rsid w:val="6205764C"/>
    <w:rsid w:val="62256C85"/>
    <w:rsid w:val="623600B0"/>
    <w:rsid w:val="62562501"/>
    <w:rsid w:val="6256299E"/>
    <w:rsid w:val="62574D95"/>
    <w:rsid w:val="62586747"/>
    <w:rsid w:val="626C60B7"/>
    <w:rsid w:val="62746498"/>
    <w:rsid w:val="62922E0D"/>
    <w:rsid w:val="62982A5C"/>
    <w:rsid w:val="62CB6D60"/>
    <w:rsid w:val="62E358B2"/>
    <w:rsid w:val="62EA49F7"/>
    <w:rsid w:val="62F154C5"/>
    <w:rsid w:val="62FD0A5D"/>
    <w:rsid w:val="63162338"/>
    <w:rsid w:val="632036E4"/>
    <w:rsid w:val="63232EB3"/>
    <w:rsid w:val="63267478"/>
    <w:rsid w:val="633D315E"/>
    <w:rsid w:val="63444369"/>
    <w:rsid w:val="63504ABF"/>
    <w:rsid w:val="63517786"/>
    <w:rsid w:val="637052D7"/>
    <w:rsid w:val="6388739F"/>
    <w:rsid w:val="6389099E"/>
    <w:rsid w:val="63954DAA"/>
    <w:rsid w:val="63C74AA3"/>
    <w:rsid w:val="63D87748"/>
    <w:rsid w:val="63DE2EEF"/>
    <w:rsid w:val="63E8362C"/>
    <w:rsid w:val="63F16145"/>
    <w:rsid w:val="64024CFF"/>
    <w:rsid w:val="641D22DD"/>
    <w:rsid w:val="64426DE8"/>
    <w:rsid w:val="645B3151"/>
    <w:rsid w:val="646A170C"/>
    <w:rsid w:val="64701038"/>
    <w:rsid w:val="64722EF6"/>
    <w:rsid w:val="64797A3F"/>
    <w:rsid w:val="647B4B09"/>
    <w:rsid w:val="647B6F79"/>
    <w:rsid w:val="64815AEE"/>
    <w:rsid w:val="648937A8"/>
    <w:rsid w:val="648B1BA9"/>
    <w:rsid w:val="648D0F64"/>
    <w:rsid w:val="649449E8"/>
    <w:rsid w:val="649D5D6D"/>
    <w:rsid w:val="64A9391A"/>
    <w:rsid w:val="64AF7CA6"/>
    <w:rsid w:val="64D77B16"/>
    <w:rsid w:val="64F953C5"/>
    <w:rsid w:val="651B533C"/>
    <w:rsid w:val="651E27DC"/>
    <w:rsid w:val="65206DF6"/>
    <w:rsid w:val="65291D8F"/>
    <w:rsid w:val="65570D94"/>
    <w:rsid w:val="655774EE"/>
    <w:rsid w:val="65795592"/>
    <w:rsid w:val="65A10F4D"/>
    <w:rsid w:val="65A93335"/>
    <w:rsid w:val="65BC5BDE"/>
    <w:rsid w:val="65D04378"/>
    <w:rsid w:val="65D3678B"/>
    <w:rsid w:val="65DB69B9"/>
    <w:rsid w:val="65E142CF"/>
    <w:rsid w:val="65F16DEF"/>
    <w:rsid w:val="65FF5B93"/>
    <w:rsid w:val="660540EE"/>
    <w:rsid w:val="66081715"/>
    <w:rsid w:val="661673E0"/>
    <w:rsid w:val="661A1A97"/>
    <w:rsid w:val="661A3845"/>
    <w:rsid w:val="661B00EA"/>
    <w:rsid w:val="661D360B"/>
    <w:rsid w:val="66523C3F"/>
    <w:rsid w:val="66541F53"/>
    <w:rsid w:val="665C126F"/>
    <w:rsid w:val="6660647F"/>
    <w:rsid w:val="66613222"/>
    <w:rsid w:val="66820F47"/>
    <w:rsid w:val="668A782A"/>
    <w:rsid w:val="66AF1795"/>
    <w:rsid w:val="66B07CC1"/>
    <w:rsid w:val="66B14B24"/>
    <w:rsid w:val="66B27D18"/>
    <w:rsid w:val="66D1442C"/>
    <w:rsid w:val="66D47E7F"/>
    <w:rsid w:val="66D64E5B"/>
    <w:rsid w:val="66DD089D"/>
    <w:rsid w:val="66F0016C"/>
    <w:rsid w:val="66FA0812"/>
    <w:rsid w:val="66FB2BD0"/>
    <w:rsid w:val="66FC2971"/>
    <w:rsid w:val="670008EB"/>
    <w:rsid w:val="67103ED9"/>
    <w:rsid w:val="67262B05"/>
    <w:rsid w:val="672C7CD4"/>
    <w:rsid w:val="674E513F"/>
    <w:rsid w:val="674E6BDA"/>
    <w:rsid w:val="67610E75"/>
    <w:rsid w:val="676F0F89"/>
    <w:rsid w:val="677178CC"/>
    <w:rsid w:val="677977BA"/>
    <w:rsid w:val="67797A29"/>
    <w:rsid w:val="679D31F9"/>
    <w:rsid w:val="679D3BF4"/>
    <w:rsid w:val="679D472E"/>
    <w:rsid w:val="67A41618"/>
    <w:rsid w:val="67AE4749"/>
    <w:rsid w:val="67C56A11"/>
    <w:rsid w:val="67DC3A63"/>
    <w:rsid w:val="67E071EA"/>
    <w:rsid w:val="67FC4971"/>
    <w:rsid w:val="68221BAF"/>
    <w:rsid w:val="682D62D9"/>
    <w:rsid w:val="685143BC"/>
    <w:rsid w:val="68542A0A"/>
    <w:rsid w:val="68555296"/>
    <w:rsid w:val="686C1E80"/>
    <w:rsid w:val="689079C3"/>
    <w:rsid w:val="689A2A1B"/>
    <w:rsid w:val="68D46A71"/>
    <w:rsid w:val="68D56910"/>
    <w:rsid w:val="68EF70C5"/>
    <w:rsid w:val="68F22D9F"/>
    <w:rsid w:val="69162C86"/>
    <w:rsid w:val="69180AD7"/>
    <w:rsid w:val="69214083"/>
    <w:rsid w:val="69456B9A"/>
    <w:rsid w:val="69481344"/>
    <w:rsid w:val="695700E3"/>
    <w:rsid w:val="6980516E"/>
    <w:rsid w:val="698B51FD"/>
    <w:rsid w:val="69960468"/>
    <w:rsid w:val="69A109AD"/>
    <w:rsid w:val="69B875FD"/>
    <w:rsid w:val="69D5796F"/>
    <w:rsid w:val="69E00AE8"/>
    <w:rsid w:val="69E2467A"/>
    <w:rsid w:val="69F101EA"/>
    <w:rsid w:val="69F448E4"/>
    <w:rsid w:val="6A0606AA"/>
    <w:rsid w:val="6A090874"/>
    <w:rsid w:val="6A0F6D29"/>
    <w:rsid w:val="6A1231B1"/>
    <w:rsid w:val="6A1B780C"/>
    <w:rsid w:val="6A206086"/>
    <w:rsid w:val="6A3F0B90"/>
    <w:rsid w:val="6A3F71AB"/>
    <w:rsid w:val="6A407F9F"/>
    <w:rsid w:val="6A4620BF"/>
    <w:rsid w:val="6A4D5F32"/>
    <w:rsid w:val="6A5D65D9"/>
    <w:rsid w:val="6A6908F7"/>
    <w:rsid w:val="6A722F0B"/>
    <w:rsid w:val="6A7A4D5B"/>
    <w:rsid w:val="6A7E7518"/>
    <w:rsid w:val="6A825953"/>
    <w:rsid w:val="6A881C38"/>
    <w:rsid w:val="6A8A11E6"/>
    <w:rsid w:val="6A8B2F63"/>
    <w:rsid w:val="6A9C6F1F"/>
    <w:rsid w:val="6AC034F3"/>
    <w:rsid w:val="6AC96987"/>
    <w:rsid w:val="6AD24017"/>
    <w:rsid w:val="6AD42C61"/>
    <w:rsid w:val="6AE14092"/>
    <w:rsid w:val="6AEA323D"/>
    <w:rsid w:val="6AF07997"/>
    <w:rsid w:val="6AF5032D"/>
    <w:rsid w:val="6AFB2812"/>
    <w:rsid w:val="6AFF182D"/>
    <w:rsid w:val="6B032C8C"/>
    <w:rsid w:val="6B243303"/>
    <w:rsid w:val="6B3569BE"/>
    <w:rsid w:val="6B3A1CE8"/>
    <w:rsid w:val="6B3E4E41"/>
    <w:rsid w:val="6B4D49EF"/>
    <w:rsid w:val="6B556078"/>
    <w:rsid w:val="6B565CD0"/>
    <w:rsid w:val="6B68013D"/>
    <w:rsid w:val="6B7022D0"/>
    <w:rsid w:val="6B7B5422"/>
    <w:rsid w:val="6B852192"/>
    <w:rsid w:val="6B925A32"/>
    <w:rsid w:val="6B9C4F5E"/>
    <w:rsid w:val="6BA92B5A"/>
    <w:rsid w:val="6BB42760"/>
    <w:rsid w:val="6BD37065"/>
    <w:rsid w:val="6BE13B5E"/>
    <w:rsid w:val="6BE31674"/>
    <w:rsid w:val="6BE95EA9"/>
    <w:rsid w:val="6BEA6094"/>
    <w:rsid w:val="6C114575"/>
    <w:rsid w:val="6C3E2214"/>
    <w:rsid w:val="6C427652"/>
    <w:rsid w:val="6C4D48CD"/>
    <w:rsid w:val="6C8202CD"/>
    <w:rsid w:val="6C8639E2"/>
    <w:rsid w:val="6C961621"/>
    <w:rsid w:val="6C9D5038"/>
    <w:rsid w:val="6CBB7DE1"/>
    <w:rsid w:val="6CC445CB"/>
    <w:rsid w:val="6CD042ED"/>
    <w:rsid w:val="6CDA2357"/>
    <w:rsid w:val="6CE8212C"/>
    <w:rsid w:val="6CF01775"/>
    <w:rsid w:val="6CFB62C0"/>
    <w:rsid w:val="6CFD7CAA"/>
    <w:rsid w:val="6D026DE8"/>
    <w:rsid w:val="6D0316B2"/>
    <w:rsid w:val="6D087337"/>
    <w:rsid w:val="6D0E1321"/>
    <w:rsid w:val="6D104BE0"/>
    <w:rsid w:val="6D132371"/>
    <w:rsid w:val="6D1338DD"/>
    <w:rsid w:val="6D153789"/>
    <w:rsid w:val="6D3B4D97"/>
    <w:rsid w:val="6D487B73"/>
    <w:rsid w:val="6D4A2408"/>
    <w:rsid w:val="6D4B1E5A"/>
    <w:rsid w:val="6D5E70E9"/>
    <w:rsid w:val="6D6729D8"/>
    <w:rsid w:val="6D6E09F2"/>
    <w:rsid w:val="6D852386"/>
    <w:rsid w:val="6D8E08E5"/>
    <w:rsid w:val="6DBD67AE"/>
    <w:rsid w:val="6DCF3167"/>
    <w:rsid w:val="6DD54C21"/>
    <w:rsid w:val="6DF453C2"/>
    <w:rsid w:val="6DFC1EB9"/>
    <w:rsid w:val="6E25722B"/>
    <w:rsid w:val="6E3363CE"/>
    <w:rsid w:val="6E3C316F"/>
    <w:rsid w:val="6E453429"/>
    <w:rsid w:val="6E456275"/>
    <w:rsid w:val="6E4E36BD"/>
    <w:rsid w:val="6E6127F4"/>
    <w:rsid w:val="6E631ECC"/>
    <w:rsid w:val="6E860D5E"/>
    <w:rsid w:val="6E880670"/>
    <w:rsid w:val="6E9028F6"/>
    <w:rsid w:val="6EA0252E"/>
    <w:rsid w:val="6EB7522E"/>
    <w:rsid w:val="6EC002E5"/>
    <w:rsid w:val="6EC64ECD"/>
    <w:rsid w:val="6EC71F62"/>
    <w:rsid w:val="6ECD2CED"/>
    <w:rsid w:val="6EE1422E"/>
    <w:rsid w:val="6EE449F0"/>
    <w:rsid w:val="6EF14DB2"/>
    <w:rsid w:val="6EFA06B8"/>
    <w:rsid w:val="6F046E40"/>
    <w:rsid w:val="6F1743AC"/>
    <w:rsid w:val="6F3E2352"/>
    <w:rsid w:val="6F4656AB"/>
    <w:rsid w:val="6F5C1867"/>
    <w:rsid w:val="6F5C3F48"/>
    <w:rsid w:val="6F61462B"/>
    <w:rsid w:val="6F6D6714"/>
    <w:rsid w:val="6F8561D3"/>
    <w:rsid w:val="6F926B42"/>
    <w:rsid w:val="6F9C2017"/>
    <w:rsid w:val="6FB37BE5"/>
    <w:rsid w:val="6FC2450B"/>
    <w:rsid w:val="6FC7059A"/>
    <w:rsid w:val="6FCA64CD"/>
    <w:rsid w:val="6FE112C4"/>
    <w:rsid w:val="6FF069FB"/>
    <w:rsid w:val="6FF36A80"/>
    <w:rsid w:val="6FFB0619"/>
    <w:rsid w:val="6FFD7D02"/>
    <w:rsid w:val="70020E6A"/>
    <w:rsid w:val="701A60AC"/>
    <w:rsid w:val="702149D3"/>
    <w:rsid w:val="7021684B"/>
    <w:rsid w:val="70217D0F"/>
    <w:rsid w:val="7045295A"/>
    <w:rsid w:val="7047527A"/>
    <w:rsid w:val="704E0CBB"/>
    <w:rsid w:val="7056241A"/>
    <w:rsid w:val="707B2CB1"/>
    <w:rsid w:val="70924B19"/>
    <w:rsid w:val="70952588"/>
    <w:rsid w:val="70A34833"/>
    <w:rsid w:val="70B75478"/>
    <w:rsid w:val="70BA7DE6"/>
    <w:rsid w:val="70BF74C3"/>
    <w:rsid w:val="70D56048"/>
    <w:rsid w:val="70DA3248"/>
    <w:rsid w:val="71027F8C"/>
    <w:rsid w:val="712A4901"/>
    <w:rsid w:val="71391F94"/>
    <w:rsid w:val="7148395C"/>
    <w:rsid w:val="715D7335"/>
    <w:rsid w:val="716530FE"/>
    <w:rsid w:val="717159EA"/>
    <w:rsid w:val="71777F8A"/>
    <w:rsid w:val="719340CC"/>
    <w:rsid w:val="71946BA2"/>
    <w:rsid w:val="71A412EF"/>
    <w:rsid w:val="71B106B0"/>
    <w:rsid w:val="71B61A42"/>
    <w:rsid w:val="71BB267E"/>
    <w:rsid w:val="71BE59CD"/>
    <w:rsid w:val="71C32243"/>
    <w:rsid w:val="71D94178"/>
    <w:rsid w:val="71E258E0"/>
    <w:rsid w:val="71E450CA"/>
    <w:rsid w:val="71EA7F5E"/>
    <w:rsid w:val="71EE0EE5"/>
    <w:rsid w:val="71F773F9"/>
    <w:rsid w:val="71FB452B"/>
    <w:rsid w:val="72025ED5"/>
    <w:rsid w:val="720A7322"/>
    <w:rsid w:val="72137E38"/>
    <w:rsid w:val="721E571E"/>
    <w:rsid w:val="721F7D69"/>
    <w:rsid w:val="7225336C"/>
    <w:rsid w:val="722E3E35"/>
    <w:rsid w:val="724A7260"/>
    <w:rsid w:val="724B68D9"/>
    <w:rsid w:val="72541E8D"/>
    <w:rsid w:val="725E62FA"/>
    <w:rsid w:val="72860473"/>
    <w:rsid w:val="7299364D"/>
    <w:rsid w:val="72C16C93"/>
    <w:rsid w:val="72D66A82"/>
    <w:rsid w:val="72D67597"/>
    <w:rsid w:val="72E43D31"/>
    <w:rsid w:val="72FF6E9B"/>
    <w:rsid w:val="73027148"/>
    <w:rsid w:val="7305147C"/>
    <w:rsid w:val="731A30F8"/>
    <w:rsid w:val="733A7EE8"/>
    <w:rsid w:val="734D11ED"/>
    <w:rsid w:val="735A55D3"/>
    <w:rsid w:val="73621B80"/>
    <w:rsid w:val="7375174D"/>
    <w:rsid w:val="73795D83"/>
    <w:rsid w:val="737B6EF7"/>
    <w:rsid w:val="73850D73"/>
    <w:rsid w:val="738B56FD"/>
    <w:rsid w:val="738B5D82"/>
    <w:rsid w:val="73993FFB"/>
    <w:rsid w:val="739F2E93"/>
    <w:rsid w:val="73A60FE9"/>
    <w:rsid w:val="73B8143C"/>
    <w:rsid w:val="73C06788"/>
    <w:rsid w:val="73D813D5"/>
    <w:rsid w:val="73DB1F8F"/>
    <w:rsid w:val="73DE1B70"/>
    <w:rsid w:val="73E6120B"/>
    <w:rsid w:val="741378E4"/>
    <w:rsid w:val="74213FF1"/>
    <w:rsid w:val="743138C9"/>
    <w:rsid w:val="74497E8D"/>
    <w:rsid w:val="744F70D5"/>
    <w:rsid w:val="74542618"/>
    <w:rsid w:val="746B1062"/>
    <w:rsid w:val="74836A59"/>
    <w:rsid w:val="74890514"/>
    <w:rsid w:val="74957A1D"/>
    <w:rsid w:val="74976F8C"/>
    <w:rsid w:val="749C28D6"/>
    <w:rsid w:val="74AC2DBE"/>
    <w:rsid w:val="74B03CF2"/>
    <w:rsid w:val="74B4279D"/>
    <w:rsid w:val="74C959EF"/>
    <w:rsid w:val="74D13C69"/>
    <w:rsid w:val="74D226D8"/>
    <w:rsid w:val="74D951DD"/>
    <w:rsid w:val="74E36253"/>
    <w:rsid w:val="74F273DA"/>
    <w:rsid w:val="74F600B5"/>
    <w:rsid w:val="750C6A4F"/>
    <w:rsid w:val="75102AF5"/>
    <w:rsid w:val="751C1B98"/>
    <w:rsid w:val="752E2E69"/>
    <w:rsid w:val="753F1C14"/>
    <w:rsid w:val="75404D65"/>
    <w:rsid w:val="75410DEE"/>
    <w:rsid w:val="754B45FC"/>
    <w:rsid w:val="754C4FE3"/>
    <w:rsid w:val="75780005"/>
    <w:rsid w:val="757D2BCD"/>
    <w:rsid w:val="75846F2D"/>
    <w:rsid w:val="758E56B6"/>
    <w:rsid w:val="759D26FD"/>
    <w:rsid w:val="75BA7DC9"/>
    <w:rsid w:val="75C158E1"/>
    <w:rsid w:val="75D75BBF"/>
    <w:rsid w:val="75F25C45"/>
    <w:rsid w:val="75F8173D"/>
    <w:rsid w:val="75FE15A4"/>
    <w:rsid w:val="76087EFE"/>
    <w:rsid w:val="762F3987"/>
    <w:rsid w:val="763146BA"/>
    <w:rsid w:val="76373F9F"/>
    <w:rsid w:val="763C17CD"/>
    <w:rsid w:val="7651209F"/>
    <w:rsid w:val="765A396A"/>
    <w:rsid w:val="765B5EE0"/>
    <w:rsid w:val="76625186"/>
    <w:rsid w:val="76694515"/>
    <w:rsid w:val="7671183A"/>
    <w:rsid w:val="76795A9A"/>
    <w:rsid w:val="76850BE3"/>
    <w:rsid w:val="768E7AAD"/>
    <w:rsid w:val="769D37DC"/>
    <w:rsid w:val="76AD1FDF"/>
    <w:rsid w:val="76AF483A"/>
    <w:rsid w:val="76C37C6F"/>
    <w:rsid w:val="76C61386"/>
    <w:rsid w:val="76CF1D13"/>
    <w:rsid w:val="76D56664"/>
    <w:rsid w:val="76E81AE6"/>
    <w:rsid w:val="76FD0D45"/>
    <w:rsid w:val="77000835"/>
    <w:rsid w:val="770802F0"/>
    <w:rsid w:val="771025D4"/>
    <w:rsid w:val="77115FC5"/>
    <w:rsid w:val="77196438"/>
    <w:rsid w:val="77326AF1"/>
    <w:rsid w:val="77342D6F"/>
    <w:rsid w:val="77383B2B"/>
    <w:rsid w:val="773B467C"/>
    <w:rsid w:val="775B5775"/>
    <w:rsid w:val="775E0D1F"/>
    <w:rsid w:val="776655B0"/>
    <w:rsid w:val="77685B26"/>
    <w:rsid w:val="777B5097"/>
    <w:rsid w:val="777E55F4"/>
    <w:rsid w:val="777F79AC"/>
    <w:rsid w:val="77820DEB"/>
    <w:rsid w:val="7792671F"/>
    <w:rsid w:val="7797445D"/>
    <w:rsid w:val="77986D62"/>
    <w:rsid w:val="77A015C8"/>
    <w:rsid w:val="77A92E90"/>
    <w:rsid w:val="77B650A0"/>
    <w:rsid w:val="77CE0481"/>
    <w:rsid w:val="77E43CB3"/>
    <w:rsid w:val="77EC7456"/>
    <w:rsid w:val="77EE7D89"/>
    <w:rsid w:val="77EF0483"/>
    <w:rsid w:val="78131205"/>
    <w:rsid w:val="781911C5"/>
    <w:rsid w:val="781A279F"/>
    <w:rsid w:val="782500E0"/>
    <w:rsid w:val="782F5811"/>
    <w:rsid w:val="78384A59"/>
    <w:rsid w:val="783B343E"/>
    <w:rsid w:val="78491B75"/>
    <w:rsid w:val="784A2663"/>
    <w:rsid w:val="784A43B3"/>
    <w:rsid w:val="78511348"/>
    <w:rsid w:val="785250C1"/>
    <w:rsid w:val="78564BB1"/>
    <w:rsid w:val="78581051"/>
    <w:rsid w:val="786228CD"/>
    <w:rsid w:val="786F0FB8"/>
    <w:rsid w:val="78714DF4"/>
    <w:rsid w:val="78721CEF"/>
    <w:rsid w:val="787234C6"/>
    <w:rsid w:val="78756296"/>
    <w:rsid w:val="788334CC"/>
    <w:rsid w:val="78B20233"/>
    <w:rsid w:val="78D12FAA"/>
    <w:rsid w:val="78D855C6"/>
    <w:rsid w:val="78FC0536"/>
    <w:rsid w:val="78FE7954"/>
    <w:rsid w:val="79315979"/>
    <w:rsid w:val="79424F4F"/>
    <w:rsid w:val="795831E5"/>
    <w:rsid w:val="796E7E54"/>
    <w:rsid w:val="79756315"/>
    <w:rsid w:val="79765CDA"/>
    <w:rsid w:val="798B6ADC"/>
    <w:rsid w:val="79A47621"/>
    <w:rsid w:val="79AA18D2"/>
    <w:rsid w:val="79AB6836"/>
    <w:rsid w:val="79C56A19"/>
    <w:rsid w:val="79D957CA"/>
    <w:rsid w:val="79DA621C"/>
    <w:rsid w:val="79ED729C"/>
    <w:rsid w:val="7A0A78E3"/>
    <w:rsid w:val="7A2465E9"/>
    <w:rsid w:val="7A364577"/>
    <w:rsid w:val="7A54735F"/>
    <w:rsid w:val="7A5A319C"/>
    <w:rsid w:val="7A5B64AE"/>
    <w:rsid w:val="7A5C5D83"/>
    <w:rsid w:val="7A681FA7"/>
    <w:rsid w:val="7A6963D8"/>
    <w:rsid w:val="7A8D6E37"/>
    <w:rsid w:val="7AA21823"/>
    <w:rsid w:val="7AA7070E"/>
    <w:rsid w:val="7AA900DE"/>
    <w:rsid w:val="7AA936C9"/>
    <w:rsid w:val="7AB12D4C"/>
    <w:rsid w:val="7AD37F76"/>
    <w:rsid w:val="7AF32BF3"/>
    <w:rsid w:val="7AF771AA"/>
    <w:rsid w:val="7B063D79"/>
    <w:rsid w:val="7B095F0A"/>
    <w:rsid w:val="7B116B6D"/>
    <w:rsid w:val="7B190BA4"/>
    <w:rsid w:val="7B334D35"/>
    <w:rsid w:val="7B36137C"/>
    <w:rsid w:val="7B3A2568"/>
    <w:rsid w:val="7B51165F"/>
    <w:rsid w:val="7B6F5B5B"/>
    <w:rsid w:val="7B7415FA"/>
    <w:rsid w:val="7B765886"/>
    <w:rsid w:val="7B7C4D25"/>
    <w:rsid w:val="7B886749"/>
    <w:rsid w:val="7B893C25"/>
    <w:rsid w:val="7B8B5C40"/>
    <w:rsid w:val="7B90640C"/>
    <w:rsid w:val="7B922E29"/>
    <w:rsid w:val="7BAB0D70"/>
    <w:rsid w:val="7BBC11CF"/>
    <w:rsid w:val="7BBF79A8"/>
    <w:rsid w:val="7BC24F1F"/>
    <w:rsid w:val="7BE129E3"/>
    <w:rsid w:val="7BE23EB3"/>
    <w:rsid w:val="7BE91898"/>
    <w:rsid w:val="7BF72207"/>
    <w:rsid w:val="7C161B08"/>
    <w:rsid w:val="7C3A2FA7"/>
    <w:rsid w:val="7C541407"/>
    <w:rsid w:val="7C5840BF"/>
    <w:rsid w:val="7C6D071B"/>
    <w:rsid w:val="7C84107F"/>
    <w:rsid w:val="7C9909ED"/>
    <w:rsid w:val="7C9C2291"/>
    <w:rsid w:val="7CA46921"/>
    <w:rsid w:val="7CA56991"/>
    <w:rsid w:val="7CA71E0B"/>
    <w:rsid w:val="7CB85E09"/>
    <w:rsid w:val="7CFE3A42"/>
    <w:rsid w:val="7CFF1519"/>
    <w:rsid w:val="7D013878"/>
    <w:rsid w:val="7D0F508E"/>
    <w:rsid w:val="7D17450A"/>
    <w:rsid w:val="7D1943FF"/>
    <w:rsid w:val="7D2557AC"/>
    <w:rsid w:val="7D3F099E"/>
    <w:rsid w:val="7D4B01E2"/>
    <w:rsid w:val="7D533A52"/>
    <w:rsid w:val="7D5B43D0"/>
    <w:rsid w:val="7D6243C6"/>
    <w:rsid w:val="7D76523E"/>
    <w:rsid w:val="7D781E69"/>
    <w:rsid w:val="7D7B5075"/>
    <w:rsid w:val="7D832173"/>
    <w:rsid w:val="7D8A3C14"/>
    <w:rsid w:val="7D8C5B06"/>
    <w:rsid w:val="7D934401"/>
    <w:rsid w:val="7D953960"/>
    <w:rsid w:val="7D961406"/>
    <w:rsid w:val="7DA56991"/>
    <w:rsid w:val="7DA623C2"/>
    <w:rsid w:val="7DA737B9"/>
    <w:rsid w:val="7DB639FC"/>
    <w:rsid w:val="7DFF0E02"/>
    <w:rsid w:val="7E070C8C"/>
    <w:rsid w:val="7E0800A0"/>
    <w:rsid w:val="7E0C521E"/>
    <w:rsid w:val="7E0E7E19"/>
    <w:rsid w:val="7E1840CC"/>
    <w:rsid w:val="7E1964D0"/>
    <w:rsid w:val="7E303249"/>
    <w:rsid w:val="7E525E1A"/>
    <w:rsid w:val="7E555123"/>
    <w:rsid w:val="7E557656"/>
    <w:rsid w:val="7E7538B7"/>
    <w:rsid w:val="7E841CD2"/>
    <w:rsid w:val="7E844BCE"/>
    <w:rsid w:val="7E8D660B"/>
    <w:rsid w:val="7E9433D2"/>
    <w:rsid w:val="7E992085"/>
    <w:rsid w:val="7EB47F46"/>
    <w:rsid w:val="7EB94600"/>
    <w:rsid w:val="7ECF7C45"/>
    <w:rsid w:val="7ED82860"/>
    <w:rsid w:val="7EF45DB1"/>
    <w:rsid w:val="7EFD2358"/>
    <w:rsid w:val="7EFF5324"/>
    <w:rsid w:val="7F03165A"/>
    <w:rsid w:val="7F077A20"/>
    <w:rsid w:val="7F077BC2"/>
    <w:rsid w:val="7F080729"/>
    <w:rsid w:val="7F09267A"/>
    <w:rsid w:val="7F2B23E6"/>
    <w:rsid w:val="7F2B4123"/>
    <w:rsid w:val="7F3426C9"/>
    <w:rsid w:val="7F3E0944"/>
    <w:rsid w:val="7F3E5DC7"/>
    <w:rsid w:val="7F5C2ED4"/>
    <w:rsid w:val="7F5E061E"/>
    <w:rsid w:val="7F643B5C"/>
    <w:rsid w:val="7F8A3D01"/>
    <w:rsid w:val="7F8B6823"/>
    <w:rsid w:val="7F9B25D3"/>
    <w:rsid w:val="7F9C4EBD"/>
    <w:rsid w:val="7FAD310E"/>
    <w:rsid w:val="7FCD6742"/>
    <w:rsid w:val="7FE44850"/>
    <w:rsid w:val="7FE546A7"/>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120"/>
    <w:autoRedefine/>
    <w:qFormat/>
    <w:uiPriority w:val="0"/>
    <w:pPr>
      <w:keepNext/>
      <w:keepLines/>
      <w:spacing w:line="440" w:lineRule="exact"/>
      <w:jc w:val="center"/>
      <w:outlineLvl w:val="0"/>
    </w:pPr>
    <w:rPr>
      <w:b/>
      <w:bCs/>
      <w:kern w:val="44"/>
      <w:sz w:val="44"/>
      <w:szCs w:val="44"/>
    </w:rPr>
  </w:style>
  <w:style w:type="paragraph" w:styleId="7">
    <w:name w:val="heading 2"/>
    <w:basedOn w:val="1"/>
    <w:next w:val="1"/>
    <w:link w:val="197"/>
    <w:autoRedefine/>
    <w:qFormat/>
    <w:uiPriority w:val="0"/>
    <w:pPr>
      <w:keepNext/>
      <w:keepLines/>
      <w:spacing w:line="440" w:lineRule="exact"/>
      <w:jc w:val="left"/>
      <w:outlineLvl w:val="1"/>
    </w:pPr>
    <w:rPr>
      <w:rFonts w:ascii="Arial" w:hAnsi="Arial" w:eastAsia="黑体"/>
      <w:b/>
      <w:bCs/>
      <w:szCs w:val="32"/>
    </w:rPr>
  </w:style>
  <w:style w:type="paragraph" w:styleId="8">
    <w:name w:val="heading 3"/>
    <w:basedOn w:val="1"/>
    <w:next w:val="1"/>
    <w:link w:val="153"/>
    <w:autoRedefine/>
    <w:qFormat/>
    <w:uiPriority w:val="0"/>
    <w:pPr>
      <w:keepNext/>
      <w:keepLines/>
      <w:spacing w:line="415" w:lineRule="auto"/>
      <w:outlineLvl w:val="2"/>
    </w:pPr>
    <w:rPr>
      <w:b/>
      <w:bCs/>
      <w:kern w:val="0"/>
      <w:sz w:val="32"/>
      <w:szCs w:val="32"/>
    </w:rPr>
  </w:style>
  <w:style w:type="paragraph" w:styleId="9">
    <w:name w:val="heading 4"/>
    <w:basedOn w:val="1"/>
    <w:next w:val="1"/>
    <w:autoRedefine/>
    <w:qFormat/>
    <w:uiPriority w:val="0"/>
    <w:pPr>
      <w:keepNext/>
      <w:keepLines/>
      <w:spacing w:line="374" w:lineRule="auto"/>
      <w:outlineLvl w:val="3"/>
    </w:pPr>
    <w:rPr>
      <w:rFonts w:ascii="Arial" w:hAnsi="Arial" w:eastAsia="黑体"/>
      <w:b/>
      <w:bCs/>
      <w:sz w:val="28"/>
      <w:szCs w:val="28"/>
    </w:rPr>
  </w:style>
  <w:style w:type="paragraph" w:styleId="10">
    <w:name w:val="heading 5"/>
    <w:basedOn w:val="1"/>
    <w:next w:val="1"/>
    <w:link w:val="129"/>
    <w:autoRedefine/>
    <w:qFormat/>
    <w:uiPriority w:val="0"/>
    <w:pPr>
      <w:keepNext/>
      <w:keepLines/>
      <w:spacing w:line="376" w:lineRule="auto"/>
      <w:outlineLvl w:val="4"/>
    </w:pPr>
    <w:rPr>
      <w:b/>
      <w:bCs/>
      <w:sz w:val="28"/>
      <w:szCs w:val="28"/>
    </w:rPr>
  </w:style>
  <w:style w:type="paragraph" w:styleId="11">
    <w:name w:val="heading 6"/>
    <w:basedOn w:val="1"/>
    <w:next w:val="1"/>
    <w:autoRedefine/>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12">
    <w:name w:val="heading 7"/>
    <w:basedOn w:val="1"/>
    <w:next w:val="1"/>
    <w:autoRedefine/>
    <w:qFormat/>
    <w:uiPriority w:val="0"/>
    <w:pPr>
      <w:keepNext/>
      <w:keepLines/>
      <w:widowControl/>
      <w:tabs>
        <w:tab w:val="left" w:pos="2520"/>
      </w:tabs>
      <w:spacing w:line="319" w:lineRule="auto"/>
      <w:ind w:left="1296" w:hanging="1296"/>
      <w:jc w:val="left"/>
      <w:outlineLvl w:val="6"/>
    </w:pPr>
    <w:rPr>
      <w:b/>
      <w:bCs/>
      <w:kern w:val="0"/>
      <w:sz w:val="24"/>
    </w:rPr>
  </w:style>
  <w:style w:type="paragraph" w:styleId="13">
    <w:name w:val="heading 8"/>
    <w:basedOn w:val="1"/>
    <w:next w:val="1"/>
    <w:autoRedefine/>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4">
    <w:name w:val="heading 9"/>
    <w:basedOn w:val="1"/>
    <w:next w:val="1"/>
    <w:autoRedefine/>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9">
    <w:name w:val="Default Paragraph Font"/>
    <w:autoRedefine/>
    <w:semiHidden/>
    <w:unhideWhenUsed/>
    <w:qFormat/>
    <w:uiPriority w:val="1"/>
  </w:style>
  <w:style w:type="table" w:default="1" w:styleId="47">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qFormat/>
    <w:uiPriority w:val="0"/>
    <w:pPr>
      <w:spacing w:line="360" w:lineRule="auto"/>
      <w:ind w:firstLine="200" w:firstLineChars="200"/>
    </w:pPr>
    <w:rPr>
      <w:rFonts w:ascii="宋体"/>
      <w:szCs w:val="20"/>
    </w:rPr>
  </w:style>
  <w:style w:type="paragraph" w:styleId="3">
    <w:name w:val="Body Text Indent"/>
    <w:basedOn w:val="1"/>
    <w:next w:val="4"/>
    <w:autoRedefine/>
    <w:qFormat/>
    <w:uiPriority w:val="0"/>
    <w:pPr>
      <w:ind w:left="42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5">
    <w:name w:val="table of authorities"/>
    <w:basedOn w:val="1"/>
    <w:next w:val="1"/>
    <w:autoRedefine/>
    <w:unhideWhenUsed/>
    <w:qFormat/>
    <w:uiPriority w:val="0"/>
    <w:pPr>
      <w:ind w:left="420" w:leftChars="200"/>
    </w:pPr>
  </w:style>
  <w:style w:type="paragraph" w:styleId="16">
    <w:name w:val="Normal Indent"/>
    <w:basedOn w:val="1"/>
    <w:next w:val="2"/>
    <w:autoRedefine/>
    <w:qFormat/>
    <w:uiPriority w:val="0"/>
    <w:pPr>
      <w:ind w:firstLine="420" w:firstLineChars="200"/>
    </w:pPr>
  </w:style>
  <w:style w:type="paragraph" w:styleId="17">
    <w:name w:val="Document Map"/>
    <w:basedOn w:val="1"/>
    <w:autoRedefine/>
    <w:qFormat/>
    <w:uiPriority w:val="0"/>
    <w:pPr>
      <w:shd w:val="clear" w:color="auto" w:fill="000080"/>
    </w:pPr>
  </w:style>
  <w:style w:type="paragraph" w:styleId="18">
    <w:name w:val="annotation text"/>
    <w:basedOn w:val="1"/>
    <w:link w:val="112"/>
    <w:autoRedefine/>
    <w:qFormat/>
    <w:uiPriority w:val="0"/>
    <w:pPr>
      <w:jc w:val="left"/>
    </w:pPr>
  </w:style>
  <w:style w:type="paragraph" w:styleId="19">
    <w:name w:val="Body Text 3"/>
    <w:basedOn w:val="1"/>
    <w:autoRedefine/>
    <w:qFormat/>
    <w:uiPriority w:val="0"/>
    <w:rPr>
      <w:rFonts w:ascii="宋体"/>
      <w:sz w:val="24"/>
      <w:szCs w:val="20"/>
    </w:rPr>
  </w:style>
  <w:style w:type="paragraph" w:styleId="20">
    <w:name w:val="Body Text"/>
    <w:basedOn w:val="1"/>
    <w:link w:val="142"/>
    <w:autoRedefine/>
    <w:qFormat/>
    <w:uiPriority w:val="0"/>
  </w:style>
  <w:style w:type="paragraph" w:styleId="21">
    <w:name w:val="Block Text"/>
    <w:basedOn w:val="1"/>
    <w:autoRedefine/>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autoRedefine/>
    <w:qFormat/>
    <w:uiPriority w:val="39"/>
    <w:pPr>
      <w:ind w:left="840"/>
      <w:jc w:val="left"/>
    </w:pPr>
    <w:rPr>
      <w:sz w:val="18"/>
      <w:szCs w:val="18"/>
    </w:rPr>
  </w:style>
  <w:style w:type="paragraph" w:styleId="23">
    <w:name w:val="toc 3"/>
    <w:basedOn w:val="1"/>
    <w:next w:val="1"/>
    <w:autoRedefine/>
    <w:qFormat/>
    <w:uiPriority w:val="39"/>
    <w:pPr>
      <w:ind w:left="420"/>
      <w:jc w:val="left"/>
    </w:pPr>
    <w:rPr>
      <w:i/>
      <w:iCs/>
      <w:sz w:val="20"/>
      <w:szCs w:val="20"/>
    </w:rPr>
  </w:style>
  <w:style w:type="paragraph" w:styleId="24">
    <w:name w:val="Plain Text"/>
    <w:basedOn w:val="1"/>
    <w:next w:val="1"/>
    <w:link w:val="136"/>
    <w:autoRedefine/>
    <w:qFormat/>
    <w:uiPriority w:val="0"/>
    <w:rPr>
      <w:rFonts w:ascii="Courier New" w:hAnsi="Courier New"/>
      <w:szCs w:val="20"/>
    </w:rPr>
  </w:style>
  <w:style w:type="paragraph" w:styleId="25">
    <w:name w:val="toc 8"/>
    <w:basedOn w:val="1"/>
    <w:next w:val="1"/>
    <w:autoRedefine/>
    <w:qFormat/>
    <w:uiPriority w:val="39"/>
    <w:pPr>
      <w:ind w:left="1470"/>
      <w:jc w:val="left"/>
    </w:pPr>
    <w:rPr>
      <w:sz w:val="18"/>
      <w:szCs w:val="18"/>
    </w:rPr>
  </w:style>
  <w:style w:type="paragraph" w:styleId="26">
    <w:name w:val="Date"/>
    <w:basedOn w:val="1"/>
    <w:next w:val="1"/>
    <w:autoRedefine/>
    <w:qFormat/>
    <w:uiPriority w:val="0"/>
    <w:rPr>
      <w:sz w:val="24"/>
      <w:szCs w:val="20"/>
    </w:rPr>
  </w:style>
  <w:style w:type="paragraph" w:styleId="27">
    <w:name w:val="Body Text Indent 2"/>
    <w:basedOn w:val="1"/>
    <w:autoRedefine/>
    <w:qFormat/>
    <w:uiPriority w:val="0"/>
    <w:pPr>
      <w:spacing w:line="360" w:lineRule="exact"/>
      <w:ind w:firstLine="600" w:firstLineChars="250"/>
      <w:jc w:val="left"/>
    </w:pPr>
    <w:rPr>
      <w:sz w:val="24"/>
    </w:rPr>
  </w:style>
  <w:style w:type="paragraph" w:styleId="28">
    <w:name w:val="Balloon Text"/>
    <w:basedOn w:val="1"/>
    <w:autoRedefine/>
    <w:qFormat/>
    <w:uiPriority w:val="0"/>
    <w:rPr>
      <w:sz w:val="18"/>
      <w:szCs w:val="18"/>
    </w:rPr>
  </w:style>
  <w:style w:type="paragraph" w:styleId="29">
    <w:name w:val="footer"/>
    <w:basedOn w:val="1"/>
    <w:next w:val="1"/>
    <w:autoRedefine/>
    <w:qFormat/>
    <w:uiPriority w:val="0"/>
    <w:pPr>
      <w:tabs>
        <w:tab w:val="center" w:pos="4153"/>
        <w:tab w:val="right" w:pos="8306"/>
      </w:tabs>
      <w:snapToGrid w:val="0"/>
      <w:jc w:val="left"/>
    </w:pPr>
    <w:rPr>
      <w:sz w:val="18"/>
      <w:szCs w:val="18"/>
    </w:rPr>
  </w:style>
  <w:style w:type="paragraph" w:styleId="3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jc w:val="left"/>
    </w:pPr>
    <w:rPr>
      <w:b/>
      <w:bCs/>
      <w:caps/>
      <w:sz w:val="20"/>
      <w:szCs w:val="20"/>
    </w:rPr>
  </w:style>
  <w:style w:type="paragraph" w:styleId="32">
    <w:name w:val="toc 4"/>
    <w:basedOn w:val="1"/>
    <w:next w:val="1"/>
    <w:autoRedefine/>
    <w:qFormat/>
    <w:uiPriority w:val="39"/>
    <w:pPr>
      <w:ind w:left="630"/>
      <w:jc w:val="left"/>
    </w:pPr>
    <w:rPr>
      <w:sz w:val="18"/>
      <w:szCs w:val="18"/>
    </w:rPr>
  </w:style>
  <w:style w:type="paragraph" w:styleId="33">
    <w:name w:val="List"/>
    <w:basedOn w:val="1"/>
    <w:autoRedefine/>
    <w:qFormat/>
    <w:uiPriority w:val="0"/>
    <w:pPr>
      <w:ind w:left="420" w:hanging="420"/>
    </w:pPr>
  </w:style>
  <w:style w:type="paragraph" w:styleId="34">
    <w:name w:val="footnote text"/>
    <w:basedOn w:val="1"/>
    <w:autoRedefine/>
    <w:qFormat/>
    <w:uiPriority w:val="0"/>
    <w:rPr>
      <w:sz w:val="20"/>
      <w:szCs w:val="20"/>
    </w:rPr>
  </w:style>
  <w:style w:type="paragraph" w:styleId="35">
    <w:name w:val="toc 6"/>
    <w:basedOn w:val="1"/>
    <w:next w:val="1"/>
    <w:autoRedefine/>
    <w:qFormat/>
    <w:uiPriority w:val="39"/>
    <w:pPr>
      <w:ind w:left="1050"/>
      <w:jc w:val="left"/>
    </w:pPr>
    <w:rPr>
      <w:sz w:val="18"/>
      <w:szCs w:val="18"/>
    </w:rPr>
  </w:style>
  <w:style w:type="paragraph" w:styleId="36">
    <w:name w:val="Body Text Indent 3"/>
    <w:basedOn w:val="1"/>
    <w:autoRedefine/>
    <w:qFormat/>
    <w:uiPriority w:val="0"/>
    <w:pPr>
      <w:ind w:left="420" w:leftChars="200"/>
    </w:pPr>
    <w:rPr>
      <w:sz w:val="16"/>
      <w:szCs w:val="16"/>
    </w:rPr>
  </w:style>
  <w:style w:type="paragraph" w:styleId="37">
    <w:name w:val="table of figures"/>
    <w:basedOn w:val="1"/>
    <w:next w:val="1"/>
    <w:autoRedefine/>
    <w:qFormat/>
    <w:uiPriority w:val="0"/>
    <w:pPr>
      <w:ind w:left="200" w:leftChars="200" w:hanging="200" w:hangingChars="200"/>
    </w:pPr>
  </w:style>
  <w:style w:type="paragraph" w:styleId="38">
    <w:name w:val="toc 2"/>
    <w:basedOn w:val="1"/>
    <w:next w:val="1"/>
    <w:autoRedefine/>
    <w:qFormat/>
    <w:uiPriority w:val="39"/>
    <w:pPr>
      <w:ind w:left="210"/>
      <w:jc w:val="left"/>
    </w:pPr>
    <w:rPr>
      <w:smallCaps/>
      <w:sz w:val="20"/>
      <w:szCs w:val="20"/>
    </w:rPr>
  </w:style>
  <w:style w:type="paragraph" w:styleId="39">
    <w:name w:val="toc 9"/>
    <w:basedOn w:val="1"/>
    <w:next w:val="1"/>
    <w:autoRedefine/>
    <w:qFormat/>
    <w:uiPriority w:val="39"/>
    <w:pPr>
      <w:ind w:left="1680"/>
      <w:jc w:val="left"/>
    </w:pPr>
    <w:rPr>
      <w:sz w:val="18"/>
      <w:szCs w:val="18"/>
    </w:rPr>
  </w:style>
  <w:style w:type="paragraph" w:styleId="40">
    <w:name w:val="Body Text 2"/>
    <w:basedOn w:val="1"/>
    <w:autoRedefine/>
    <w:qFormat/>
    <w:uiPriority w:val="0"/>
    <w:pPr>
      <w:spacing w:line="440" w:lineRule="exact"/>
    </w:pPr>
    <w:rPr>
      <w:sz w:val="28"/>
    </w:rPr>
  </w:style>
  <w:style w:type="paragraph" w:styleId="41">
    <w:name w:val="HTML Preformatted"/>
    <w:basedOn w:val="1"/>
    <w:link w:val="114"/>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2">
    <w:name w:val="Normal (Web)"/>
    <w:basedOn w:val="1"/>
    <w:next w:val="43"/>
    <w:autoRedefine/>
    <w:qFormat/>
    <w:uiPriority w:val="99"/>
    <w:pPr>
      <w:widowControl/>
      <w:spacing w:beforeAutospacing="1" w:afterAutospacing="1"/>
      <w:jc w:val="left"/>
    </w:pPr>
    <w:rPr>
      <w:rFonts w:ascii="宋体" w:hAnsi="宋体" w:cs="宋体"/>
      <w:kern w:val="0"/>
      <w:sz w:val="24"/>
    </w:rPr>
  </w:style>
  <w:style w:type="paragraph" w:customStyle="1" w:styleId="43">
    <w:name w:val="正文文字 8"/>
    <w:basedOn w:val="1"/>
    <w:next w:val="1"/>
    <w:autoRedefine/>
    <w:qFormat/>
    <w:uiPriority w:val="0"/>
    <w:pPr>
      <w:ind w:left="240"/>
    </w:pPr>
    <w:rPr>
      <w:sz w:val="16"/>
    </w:rPr>
  </w:style>
  <w:style w:type="paragraph" w:styleId="44">
    <w:name w:val="Title"/>
    <w:basedOn w:val="1"/>
    <w:autoRedefine/>
    <w:qFormat/>
    <w:uiPriority w:val="0"/>
    <w:pPr>
      <w:adjustRightInd w:val="0"/>
      <w:spacing w:line="420" w:lineRule="atLeast"/>
      <w:jc w:val="center"/>
      <w:textAlignment w:val="baseline"/>
      <w:outlineLvl w:val="0"/>
    </w:pPr>
    <w:rPr>
      <w:rFonts w:ascii="Arial" w:hAnsi="Arial"/>
      <w:b/>
      <w:kern w:val="0"/>
      <w:sz w:val="32"/>
      <w:szCs w:val="20"/>
    </w:rPr>
  </w:style>
  <w:style w:type="paragraph" w:styleId="45">
    <w:name w:val="annotation subject"/>
    <w:basedOn w:val="18"/>
    <w:next w:val="18"/>
    <w:autoRedefine/>
    <w:qFormat/>
    <w:uiPriority w:val="0"/>
    <w:rPr>
      <w:b/>
      <w:bCs/>
    </w:rPr>
  </w:style>
  <w:style w:type="paragraph" w:styleId="46">
    <w:name w:val="Body Text First Indent"/>
    <w:basedOn w:val="20"/>
    <w:autoRedefine/>
    <w:qFormat/>
    <w:uiPriority w:val="0"/>
    <w:pPr>
      <w:ind w:firstLine="420" w:firstLineChars="100"/>
    </w:pPr>
  </w:style>
  <w:style w:type="table" w:styleId="48">
    <w:name w:val="Table Grid"/>
    <w:basedOn w:val="4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basedOn w:val="49"/>
    <w:autoRedefine/>
    <w:qFormat/>
    <w:uiPriority w:val="0"/>
    <w:rPr>
      <w:b/>
      <w:bCs/>
    </w:rPr>
  </w:style>
  <w:style w:type="character" w:styleId="51">
    <w:name w:val="page number"/>
    <w:basedOn w:val="49"/>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color w:val="CC0033"/>
    </w:rPr>
  </w:style>
  <w:style w:type="character" w:styleId="54">
    <w:name w:val="HTML Definition"/>
    <w:autoRedefine/>
    <w:qFormat/>
    <w:uiPriority w:val="0"/>
  </w:style>
  <w:style w:type="character" w:styleId="55">
    <w:name w:val="HTML Typewriter"/>
    <w:autoRedefine/>
    <w:qFormat/>
    <w:uiPriority w:val="0"/>
    <w:rPr>
      <w:rFonts w:hint="default" w:ascii="monospace" w:hAnsi="monospace" w:eastAsia="monospace" w:cs="monospace"/>
      <w:sz w:val="20"/>
    </w:rPr>
  </w:style>
  <w:style w:type="character" w:styleId="56">
    <w:name w:val="HTML Acronym"/>
    <w:basedOn w:val="49"/>
    <w:autoRedefine/>
    <w:qFormat/>
    <w:uiPriority w:val="0"/>
  </w:style>
  <w:style w:type="character" w:styleId="57">
    <w:name w:val="HTML Variable"/>
    <w:autoRedefine/>
    <w:qFormat/>
    <w:uiPriority w:val="0"/>
  </w:style>
  <w:style w:type="character" w:styleId="58">
    <w:name w:val="Hyperlink"/>
    <w:basedOn w:val="49"/>
    <w:autoRedefine/>
    <w:qFormat/>
    <w:uiPriority w:val="99"/>
    <w:rPr>
      <w:color w:val="333333"/>
      <w:u w:val="none"/>
    </w:rPr>
  </w:style>
  <w:style w:type="character" w:styleId="59">
    <w:name w:val="HTML Code"/>
    <w:autoRedefine/>
    <w:qFormat/>
    <w:uiPriority w:val="0"/>
    <w:rPr>
      <w:rFonts w:hint="default" w:ascii="monospace" w:hAnsi="monospace" w:eastAsia="monospace" w:cs="monospace"/>
      <w:sz w:val="20"/>
    </w:rPr>
  </w:style>
  <w:style w:type="character" w:styleId="60">
    <w:name w:val="annotation reference"/>
    <w:autoRedefine/>
    <w:qFormat/>
    <w:uiPriority w:val="0"/>
    <w:rPr>
      <w:sz w:val="21"/>
      <w:szCs w:val="21"/>
    </w:rPr>
  </w:style>
  <w:style w:type="character" w:styleId="61">
    <w:name w:val="HTML Cite"/>
    <w:autoRedefine/>
    <w:qFormat/>
    <w:uiPriority w:val="0"/>
  </w:style>
  <w:style w:type="character" w:styleId="62">
    <w:name w:val="footnote reference"/>
    <w:autoRedefine/>
    <w:qFormat/>
    <w:uiPriority w:val="0"/>
    <w:rPr>
      <w:vertAlign w:val="superscript"/>
    </w:rPr>
  </w:style>
  <w:style w:type="character" w:styleId="63">
    <w:name w:val="HTML Keyboard"/>
    <w:autoRedefine/>
    <w:qFormat/>
    <w:uiPriority w:val="0"/>
    <w:rPr>
      <w:rFonts w:ascii="monospace" w:hAnsi="monospace" w:eastAsia="monospace" w:cs="monospace"/>
      <w:sz w:val="20"/>
    </w:rPr>
  </w:style>
  <w:style w:type="character" w:styleId="64">
    <w:name w:val="HTML Sample"/>
    <w:autoRedefine/>
    <w:qFormat/>
    <w:uiPriority w:val="0"/>
    <w:rPr>
      <w:rFonts w:hint="default" w:ascii="monospace" w:hAnsi="monospace" w:eastAsia="monospace" w:cs="monospace"/>
    </w:rPr>
  </w:style>
  <w:style w:type="paragraph" w:styleId="65">
    <w:name w:val="List Paragraph"/>
    <w:basedOn w:val="1"/>
    <w:autoRedefine/>
    <w:qFormat/>
    <w:uiPriority w:val="34"/>
    <w:pPr>
      <w:ind w:firstLine="420" w:firstLineChars="200"/>
    </w:pPr>
  </w:style>
  <w:style w:type="paragraph" w:customStyle="1" w:styleId="66">
    <w:name w:val="_Style 62"/>
    <w:basedOn w:val="1"/>
    <w:next w:val="1"/>
    <w:autoRedefine/>
    <w:qFormat/>
    <w:uiPriority w:val="0"/>
    <w:pPr>
      <w:pBdr>
        <w:top w:val="single" w:color="auto" w:sz="6" w:space="1"/>
      </w:pBdr>
      <w:jc w:val="center"/>
    </w:pPr>
    <w:rPr>
      <w:rFonts w:ascii="Arial"/>
      <w:vanish/>
      <w:sz w:val="16"/>
    </w:rPr>
  </w:style>
  <w:style w:type="paragraph" w:customStyle="1" w:styleId="67">
    <w:name w:val="Blockquote"/>
    <w:basedOn w:val="1"/>
    <w:autoRedefine/>
    <w:qFormat/>
    <w:uiPriority w:val="0"/>
    <w:pPr>
      <w:autoSpaceDE w:val="0"/>
      <w:autoSpaceDN w:val="0"/>
      <w:adjustRightInd w:val="0"/>
      <w:ind w:left="360" w:right="360"/>
      <w:jc w:val="left"/>
    </w:pPr>
    <w:rPr>
      <w:kern w:val="0"/>
      <w:sz w:val="24"/>
      <w:szCs w:val="20"/>
    </w:rPr>
  </w:style>
  <w:style w:type="paragraph" w:customStyle="1" w:styleId="68">
    <w:name w:val="表格"/>
    <w:basedOn w:val="1"/>
    <w:autoRedefine/>
    <w:qFormat/>
    <w:uiPriority w:val="0"/>
    <w:pPr>
      <w:jc w:val="center"/>
      <w:textAlignment w:val="center"/>
    </w:pPr>
    <w:rPr>
      <w:rFonts w:ascii="华文细黑" w:hAnsi="华文细黑"/>
      <w:kern w:val="0"/>
      <w:szCs w:val="20"/>
    </w:rPr>
  </w:style>
  <w:style w:type="paragraph" w:customStyle="1" w:styleId="69">
    <w:name w:val="表格文字"/>
    <w:basedOn w:val="1"/>
    <w:autoRedefine/>
    <w:qFormat/>
    <w:uiPriority w:val="0"/>
    <w:pPr>
      <w:adjustRightInd w:val="0"/>
      <w:spacing w:line="420" w:lineRule="atLeast"/>
      <w:jc w:val="left"/>
      <w:textAlignment w:val="baseline"/>
    </w:pPr>
    <w:rPr>
      <w:kern w:val="0"/>
      <w:szCs w:val="20"/>
    </w:rPr>
  </w:style>
  <w:style w:type="paragraph" w:customStyle="1" w:styleId="70">
    <w:name w:val="Char"/>
    <w:basedOn w:val="1"/>
    <w:next w:val="1"/>
    <w:autoRedefine/>
    <w:qFormat/>
    <w:uiPriority w:val="0"/>
    <w:pPr>
      <w:widowControl/>
      <w:spacing w:line="360" w:lineRule="auto"/>
      <w:jc w:val="left"/>
    </w:pPr>
    <w:rPr>
      <w:kern w:val="0"/>
      <w:szCs w:val="20"/>
      <w:lang w:eastAsia="en-US"/>
    </w:rPr>
  </w:style>
  <w:style w:type="paragraph" w:customStyle="1" w:styleId="71">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72">
    <w:name w:val="样式2"/>
    <w:basedOn w:val="8"/>
    <w:autoRedefine/>
    <w:qFormat/>
    <w:uiPriority w:val="0"/>
  </w:style>
  <w:style w:type="paragraph" w:customStyle="1" w:styleId="73">
    <w:name w:val="Default Paragraph Char Char Char Char"/>
    <w:basedOn w:val="1"/>
    <w:next w:val="1"/>
    <w:autoRedefine/>
    <w:qFormat/>
    <w:uiPriority w:val="0"/>
    <w:pPr>
      <w:spacing w:line="360" w:lineRule="auto"/>
    </w:pPr>
    <w:rPr>
      <w:szCs w:val="20"/>
    </w:rPr>
  </w:style>
  <w:style w:type="paragraph" w:customStyle="1" w:styleId="74">
    <w:name w:val="节标题"/>
    <w:basedOn w:val="1"/>
    <w:next w:val="1"/>
    <w:autoRedefine/>
    <w:qFormat/>
    <w:uiPriority w:val="0"/>
    <w:pPr>
      <w:widowControl/>
      <w:spacing w:line="289" w:lineRule="atLeast"/>
      <w:jc w:val="center"/>
      <w:textAlignment w:val="baseline"/>
    </w:pPr>
    <w:rPr>
      <w:color w:val="000000"/>
      <w:kern w:val="0"/>
      <w:sz w:val="28"/>
      <w:szCs w:val="20"/>
      <w:u w:color="000000"/>
    </w:rPr>
  </w:style>
  <w:style w:type="paragraph" w:customStyle="1" w:styleId="75">
    <w:name w:val="默认段落字体 Para Char Char Char Char"/>
    <w:basedOn w:val="1"/>
    <w:autoRedefine/>
    <w:qFormat/>
    <w:uiPriority w:val="0"/>
  </w:style>
  <w:style w:type="paragraph" w:customStyle="1" w:styleId="76">
    <w:name w:val="样式 标题 1 + 黑体 五号"/>
    <w:basedOn w:val="6"/>
    <w:autoRedefine/>
    <w:qFormat/>
    <w:uiPriority w:val="0"/>
    <w:pPr>
      <w:jc w:val="left"/>
    </w:pPr>
    <w:rPr>
      <w:rFonts w:ascii="黑体" w:hAnsi="黑体" w:eastAsia="黑体"/>
      <w:sz w:val="21"/>
    </w:rPr>
  </w:style>
  <w:style w:type="paragraph" w:customStyle="1" w:styleId="77">
    <w:name w:val="样式4"/>
    <w:basedOn w:val="8"/>
    <w:autoRedefine/>
    <w:qFormat/>
    <w:uiPriority w:val="0"/>
    <w:rPr>
      <w:rFonts w:eastAsia="Arial"/>
    </w:rPr>
  </w:style>
  <w:style w:type="paragraph" w:customStyle="1" w:styleId="78">
    <w:name w:val="正文1"/>
    <w:autoRedefine/>
    <w:qFormat/>
    <w:uiPriority w:val="0"/>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79">
    <w:name w:val="列出段落1"/>
    <w:basedOn w:val="1"/>
    <w:autoRedefine/>
    <w:qFormat/>
    <w:uiPriority w:val="0"/>
    <w:pPr>
      <w:ind w:firstLine="200" w:firstLineChars="200"/>
    </w:pPr>
  </w:style>
  <w:style w:type="paragraph" w:customStyle="1" w:styleId="80">
    <w:name w:val="p0 New"/>
    <w:basedOn w:val="1"/>
    <w:autoRedefine/>
    <w:qFormat/>
    <w:uiPriority w:val="0"/>
    <w:pPr>
      <w:widowControl/>
      <w:jc w:val="left"/>
    </w:pPr>
    <w:rPr>
      <w:rFonts w:ascii="宋体" w:hAnsi="宋体" w:cs="宋体"/>
      <w:kern w:val="0"/>
      <w:sz w:val="18"/>
      <w:szCs w:val="18"/>
    </w:rPr>
  </w:style>
  <w:style w:type="paragraph" w:customStyle="1" w:styleId="81">
    <w:name w:val="样式 标题 1 + 黑体 三号 非加粗 居中 段前: 6 磅 段后: 6 磅 行距: 固定值 20 磅"/>
    <w:basedOn w:val="6"/>
    <w:autoRedefine/>
    <w:qFormat/>
    <w:uiPriority w:val="0"/>
    <w:pPr>
      <w:spacing w:line="400" w:lineRule="exact"/>
    </w:pPr>
    <w:rPr>
      <w:rFonts w:ascii="黑体" w:hAnsi="黑体" w:eastAsia="黑体" w:cs="宋体"/>
      <w:b w:val="0"/>
      <w:bCs w:val="0"/>
      <w:sz w:val="32"/>
      <w:szCs w:val="20"/>
    </w:rPr>
  </w:style>
  <w:style w:type="paragraph" w:customStyle="1" w:styleId="82">
    <w:name w:val="_Style 78"/>
    <w:basedOn w:val="6"/>
    <w:next w:val="1"/>
    <w:autoRedefine/>
    <w:qFormat/>
    <w:uiPriority w:val="39"/>
    <w:pPr>
      <w:widowControl/>
      <w:spacing w:before="480" w:line="276" w:lineRule="auto"/>
      <w:jc w:val="left"/>
      <w:outlineLvl w:val="9"/>
    </w:pPr>
    <w:rPr>
      <w:rFonts w:ascii="Cambria" w:hAnsi="Cambria"/>
      <w:color w:val="365F91"/>
      <w:kern w:val="0"/>
      <w:sz w:val="28"/>
      <w:szCs w:val="28"/>
    </w:rPr>
  </w:style>
  <w:style w:type="paragraph" w:customStyle="1" w:styleId="83">
    <w:name w:val="Char1"/>
    <w:basedOn w:val="1"/>
    <w:autoRedefine/>
    <w:qFormat/>
    <w:uiPriority w:val="0"/>
    <w:pPr>
      <w:tabs>
        <w:tab w:val="left" w:pos="360"/>
      </w:tabs>
    </w:pPr>
    <w:rPr>
      <w:sz w:val="24"/>
    </w:rPr>
  </w:style>
  <w:style w:type="paragraph" w:customStyle="1" w:styleId="84">
    <w:name w:val="样式1"/>
    <w:basedOn w:val="8"/>
    <w:autoRedefine/>
    <w:qFormat/>
    <w:uiPriority w:val="0"/>
    <w:rPr>
      <w:rFonts w:eastAsia="Arial"/>
    </w:rPr>
  </w:style>
  <w:style w:type="paragraph" w:customStyle="1" w:styleId="85">
    <w:name w:val="Char Char Char Char Char Char Char Char Char Char Char Char Char"/>
    <w:basedOn w:val="1"/>
    <w:autoRedefine/>
    <w:qFormat/>
    <w:uiPriority w:val="0"/>
  </w:style>
  <w:style w:type="paragraph" w:customStyle="1" w:styleId="86">
    <w:name w:val="p"/>
    <w:basedOn w:val="1"/>
    <w:autoRedefine/>
    <w:qFormat/>
    <w:uiPriority w:val="0"/>
    <w:rPr>
      <w:rFonts w:ascii="宋体"/>
      <w:sz w:val="24"/>
    </w:rPr>
  </w:style>
  <w:style w:type="paragraph" w:customStyle="1" w:styleId="87">
    <w:name w:val="Char Char Char Char"/>
    <w:basedOn w:val="1"/>
    <w:autoRedefine/>
    <w:qFormat/>
    <w:uiPriority w:val="0"/>
  </w:style>
  <w:style w:type="paragraph" w:customStyle="1" w:styleId="88">
    <w:name w:val="_Style 84"/>
    <w:basedOn w:val="1"/>
    <w:next w:val="1"/>
    <w:autoRedefine/>
    <w:qFormat/>
    <w:uiPriority w:val="0"/>
    <w:pPr>
      <w:pBdr>
        <w:bottom w:val="single" w:color="auto" w:sz="6" w:space="1"/>
      </w:pBdr>
      <w:jc w:val="center"/>
    </w:pPr>
    <w:rPr>
      <w:rFonts w:ascii="Arial"/>
      <w:vanish/>
      <w:sz w:val="16"/>
    </w:rPr>
  </w:style>
  <w:style w:type="paragraph" w:customStyle="1" w:styleId="89">
    <w:name w:val="1"/>
    <w:basedOn w:val="1"/>
    <w:next w:val="1"/>
    <w:autoRedefine/>
    <w:qFormat/>
    <w:uiPriority w:val="0"/>
  </w:style>
  <w:style w:type="paragraph" w:customStyle="1" w:styleId="90">
    <w:name w:val="p15"/>
    <w:autoRedefine/>
    <w:qFormat/>
    <w:uiPriority w:val="0"/>
    <w:pPr>
      <w:jc w:val="both"/>
    </w:pPr>
    <w:rPr>
      <w:rFonts w:ascii="宋体" w:hAnsi="Times New Roman" w:eastAsia="宋体" w:cs="宋体"/>
      <w:sz w:val="21"/>
      <w:szCs w:val="21"/>
      <w:lang w:val="en-US" w:eastAsia="zh-CN" w:bidi="ar-SA"/>
    </w:rPr>
  </w:style>
  <w:style w:type="paragraph" w:customStyle="1" w:styleId="91">
    <w:name w:val="样式 标题 2 + Times New Roman 四号 非加粗 段前: 5 磅 段后: 0 磅 行距: 固定值 20..."/>
    <w:basedOn w:val="7"/>
    <w:autoRedefine/>
    <w:qFormat/>
    <w:uiPriority w:val="0"/>
    <w:pPr>
      <w:spacing w:line="400" w:lineRule="exact"/>
    </w:pPr>
    <w:rPr>
      <w:rFonts w:ascii="Times New Roman" w:hAnsi="Times New Roman" w:cs="宋体"/>
      <w:b w:val="0"/>
      <w:bCs w:val="0"/>
      <w:sz w:val="28"/>
      <w:szCs w:val="20"/>
    </w:rPr>
  </w:style>
  <w:style w:type="paragraph" w:customStyle="1" w:styleId="92">
    <w:name w:val="Table Paragraph"/>
    <w:basedOn w:val="1"/>
    <w:autoRedefine/>
    <w:qFormat/>
    <w:uiPriority w:val="0"/>
    <w:pPr>
      <w:autoSpaceDE w:val="0"/>
      <w:autoSpaceDN w:val="0"/>
      <w:jc w:val="left"/>
    </w:pPr>
    <w:rPr>
      <w:rFonts w:ascii="宋体" w:hAnsi="宋体" w:cs="宋体"/>
      <w:kern w:val="0"/>
      <w:sz w:val="22"/>
      <w:szCs w:val="22"/>
      <w:lang w:val="zh-CN"/>
    </w:rPr>
  </w:style>
  <w:style w:type="paragraph" w:customStyle="1" w:styleId="93">
    <w:name w:val="p0"/>
    <w:basedOn w:val="1"/>
    <w:autoRedefine/>
    <w:qFormat/>
    <w:uiPriority w:val="99"/>
    <w:pPr>
      <w:widowControl/>
    </w:pPr>
    <w:rPr>
      <w:kern w:val="0"/>
      <w:szCs w:val="21"/>
    </w:rPr>
  </w:style>
  <w:style w:type="paragraph" w:customStyle="1" w:styleId="94">
    <w:name w:val="样式3"/>
    <w:basedOn w:val="8"/>
    <w:autoRedefine/>
    <w:qFormat/>
    <w:uiPriority w:val="0"/>
    <w:rPr>
      <w:rFonts w:eastAsia="Arial"/>
    </w:rPr>
  </w:style>
  <w:style w:type="paragraph" w:customStyle="1" w:styleId="95">
    <w:name w:val="样式 标题 3 + (中文) 黑体 小四 非加粗 段前: 7.8 磅 段后: 0 磅 行距: 固定值 20 磅"/>
    <w:basedOn w:val="8"/>
    <w:autoRedefine/>
    <w:qFormat/>
    <w:uiPriority w:val="0"/>
    <w:pPr>
      <w:spacing w:line="400" w:lineRule="exact"/>
    </w:pPr>
    <w:rPr>
      <w:rFonts w:eastAsia="黑体" w:cs="宋体"/>
      <w:b w:val="0"/>
      <w:bCs w:val="0"/>
      <w:sz w:val="24"/>
      <w:szCs w:val="20"/>
    </w:rPr>
  </w:style>
  <w:style w:type="paragraph" w:customStyle="1" w:styleId="96">
    <w:name w:val="Char Char Char Char Char Char Char Char Char Char Char Char Char1"/>
    <w:basedOn w:val="1"/>
    <w:autoRedefine/>
    <w:qFormat/>
    <w:uiPriority w:val="0"/>
  </w:style>
  <w:style w:type="paragraph" w:customStyle="1" w:styleId="97">
    <w:name w:val="Char4"/>
    <w:basedOn w:val="1"/>
    <w:autoRedefine/>
    <w:qFormat/>
    <w:uiPriority w:val="0"/>
    <w:pPr>
      <w:widowControl/>
      <w:spacing w:line="360" w:lineRule="auto"/>
      <w:ind w:firstLine="200" w:firstLineChars="200"/>
      <w:textAlignment w:val="baseline"/>
    </w:pPr>
    <w:rPr>
      <w:color w:val="000000"/>
      <w:kern w:val="0"/>
      <w:szCs w:val="20"/>
      <w:u w:color="000000"/>
    </w:rPr>
  </w:style>
  <w:style w:type="paragraph" w:customStyle="1" w:styleId="98">
    <w:name w:val="正文2"/>
    <w:autoRedefine/>
    <w:qFormat/>
    <w:uiPriority w:val="0"/>
    <w:pPr>
      <w:widowControl w:val="0"/>
      <w:jc w:val="both"/>
    </w:pPr>
    <w:rPr>
      <w:rFonts w:ascii="Times New Roman" w:hAnsi="Times New Roman" w:eastAsia="宋体" w:cs="Times New Roman"/>
      <w:lang w:val="en-US" w:eastAsia="zh-CN" w:bidi="ar-SA"/>
    </w:rPr>
  </w:style>
  <w:style w:type="character" w:customStyle="1" w:styleId="99">
    <w:name w:val="first-child"/>
    <w:basedOn w:val="49"/>
    <w:autoRedefine/>
    <w:qFormat/>
    <w:uiPriority w:val="0"/>
  </w:style>
  <w:style w:type="character" w:customStyle="1" w:styleId="100">
    <w:name w:val="Char Char Char Char Char Char"/>
    <w:autoRedefine/>
    <w:qFormat/>
    <w:uiPriority w:val="0"/>
    <w:rPr>
      <w:rFonts w:ascii="Arial" w:hAnsi="Arial" w:eastAsia="黑体"/>
      <w:b/>
      <w:bCs/>
      <w:kern w:val="2"/>
      <w:sz w:val="32"/>
      <w:szCs w:val="32"/>
      <w:lang w:val="en-US" w:eastAsia="zh-CN" w:bidi="ar-SA"/>
    </w:rPr>
  </w:style>
  <w:style w:type="character" w:customStyle="1" w:styleId="101">
    <w:name w:val="l11"/>
    <w:autoRedefine/>
    <w:qFormat/>
    <w:uiPriority w:val="0"/>
    <w:rPr>
      <w:color w:val="999999"/>
    </w:rPr>
  </w:style>
  <w:style w:type="character" w:customStyle="1" w:styleId="102">
    <w:name w:val="Char Char"/>
    <w:autoRedefine/>
    <w:qFormat/>
    <w:uiPriority w:val="0"/>
    <w:rPr>
      <w:rFonts w:ascii="Arial" w:hAnsi="Arial" w:eastAsia="黑体"/>
      <w:b/>
      <w:bCs/>
      <w:kern w:val="2"/>
      <w:sz w:val="32"/>
      <w:szCs w:val="32"/>
      <w:lang w:val="en-US" w:eastAsia="zh-CN" w:bidi="ar-SA"/>
    </w:rPr>
  </w:style>
  <w:style w:type="character" w:customStyle="1" w:styleId="103">
    <w:name w:val="Char Char5"/>
    <w:autoRedefine/>
    <w:qFormat/>
    <w:uiPriority w:val="0"/>
    <w:rPr>
      <w:rFonts w:ascii="Arial" w:hAnsi="Arial" w:eastAsia="黑体"/>
      <w:b/>
      <w:bCs/>
      <w:kern w:val="2"/>
      <w:sz w:val="32"/>
      <w:szCs w:val="32"/>
    </w:rPr>
  </w:style>
  <w:style w:type="character" w:customStyle="1" w:styleId="104">
    <w:name w:val="msg-box28"/>
    <w:basedOn w:val="49"/>
    <w:autoRedefine/>
    <w:qFormat/>
    <w:uiPriority w:val="0"/>
  </w:style>
  <w:style w:type="character" w:customStyle="1" w:styleId="105">
    <w:name w:val="img_title6"/>
    <w:autoRedefine/>
    <w:qFormat/>
    <w:uiPriority w:val="0"/>
    <w:rPr>
      <w:vanish/>
    </w:rPr>
  </w:style>
  <w:style w:type="character" w:customStyle="1" w:styleId="106">
    <w:name w:val="tit12"/>
    <w:autoRedefine/>
    <w:qFormat/>
    <w:uiPriority w:val="0"/>
    <w:rPr>
      <w:color w:val="04A06C"/>
    </w:rPr>
  </w:style>
  <w:style w:type="character" w:customStyle="1" w:styleId="107">
    <w:name w:val="Char Char2"/>
    <w:autoRedefine/>
    <w:qFormat/>
    <w:uiPriority w:val="0"/>
    <w:rPr>
      <w:rFonts w:eastAsia="宋体"/>
      <w:kern w:val="2"/>
      <w:sz w:val="21"/>
      <w:szCs w:val="24"/>
      <w:lang w:val="en-US" w:eastAsia="zh-CN" w:bidi="ar-SA"/>
    </w:rPr>
  </w:style>
  <w:style w:type="character" w:customStyle="1" w:styleId="108">
    <w:name w:val="nostart"/>
    <w:autoRedefine/>
    <w:qFormat/>
    <w:uiPriority w:val="0"/>
    <w:rPr>
      <w:color w:val="FF0000"/>
    </w:rPr>
  </w:style>
  <w:style w:type="character" w:customStyle="1" w:styleId="109">
    <w:name w:val="nostart3"/>
    <w:basedOn w:val="49"/>
    <w:autoRedefine/>
    <w:qFormat/>
    <w:uiPriority w:val="0"/>
  </w:style>
  <w:style w:type="character" w:customStyle="1" w:styleId="110">
    <w:name w:val="img4"/>
    <w:basedOn w:val="49"/>
    <w:autoRedefine/>
    <w:qFormat/>
    <w:uiPriority w:val="0"/>
  </w:style>
  <w:style w:type="character" w:customStyle="1" w:styleId="111">
    <w:name w:val="tit11"/>
    <w:autoRedefine/>
    <w:qFormat/>
    <w:uiPriority w:val="0"/>
    <w:rPr>
      <w:color w:val="B60000"/>
    </w:rPr>
  </w:style>
  <w:style w:type="character" w:customStyle="1" w:styleId="112">
    <w:name w:val="批注文字 Char"/>
    <w:link w:val="18"/>
    <w:autoRedefine/>
    <w:qFormat/>
    <w:uiPriority w:val="0"/>
    <w:rPr>
      <w:rFonts w:eastAsia="宋体"/>
      <w:kern w:val="2"/>
      <w:sz w:val="21"/>
      <w:szCs w:val="24"/>
      <w:lang w:val="en-US" w:eastAsia="zh-CN" w:bidi="ar-SA"/>
    </w:rPr>
  </w:style>
  <w:style w:type="character" w:customStyle="1" w:styleId="113">
    <w:name w:val="over"/>
    <w:autoRedefine/>
    <w:qFormat/>
    <w:uiPriority w:val="0"/>
    <w:rPr>
      <w:color w:val="B60000"/>
    </w:rPr>
  </w:style>
  <w:style w:type="character" w:customStyle="1" w:styleId="114">
    <w:name w:val="HTML 预设格式 Char"/>
    <w:link w:val="41"/>
    <w:autoRedefine/>
    <w:qFormat/>
    <w:uiPriority w:val="0"/>
    <w:rPr>
      <w:rFonts w:ascii="宋体" w:hAnsi="宋体" w:cs="宋体"/>
      <w:sz w:val="24"/>
      <w:szCs w:val="24"/>
    </w:rPr>
  </w:style>
  <w:style w:type="character" w:customStyle="1" w:styleId="115">
    <w:name w:val="l6"/>
    <w:autoRedefine/>
    <w:qFormat/>
    <w:uiPriority w:val="0"/>
    <w:rPr>
      <w:color w:val="999999"/>
    </w:rPr>
  </w:style>
  <w:style w:type="character" w:customStyle="1" w:styleId="116">
    <w:name w:val="datetime"/>
    <w:autoRedefine/>
    <w:qFormat/>
    <w:uiPriority w:val="0"/>
    <w:rPr>
      <w:rFonts w:hint="default" w:ascii="Arial" w:hAnsi="Arial" w:cs="Arial"/>
      <w:color w:val="999999"/>
      <w:sz w:val="21"/>
      <w:szCs w:val="21"/>
    </w:rPr>
  </w:style>
  <w:style w:type="character" w:customStyle="1" w:styleId="117">
    <w:name w:val="txt1"/>
    <w:basedOn w:val="49"/>
    <w:autoRedefine/>
    <w:qFormat/>
    <w:uiPriority w:val="0"/>
  </w:style>
  <w:style w:type="character" w:customStyle="1" w:styleId="118">
    <w:name w:val="starting1"/>
    <w:autoRedefine/>
    <w:qFormat/>
    <w:uiPriority w:val="0"/>
    <w:rPr>
      <w:color w:val="339900"/>
    </w:rPr>
  </w:style>
  <w:style w:type="character" w:customStyle="1" w:styleId="119">
    <w:name w:val="starting2"/>
    <w:autoRedefine/>
    <w:qFormat/>
    <w:uiPriority w:val="0"/>
    <w:rPr>
      <w:color w:val="B60000"/>
    </w:rPr>
  </w:style>
  <w:style w:type="character" w:customStyle="1" w:styleId="120">
    <w:name w:val="标题 1 Char"/>
    <w:link w:val="6"/>
    <w:autoRedefine/>
    <w:qFormat/>
    <w:uiPriority w:val="0"/>
    <w:rPr>
      <w:rFonts w:eastAsia="宋体"/>
      <w:b/>
      <w:bCs/>
      <w:kern w:val="44"/>
      <w:sz w:val="44"/>
      <w:szCs w:val="44"/>
      <w:lang w:val="en-US" w:eastAsia="zh-CN" w:bidi="ar-SA"/>
    </w:rPr>
  </w:style>
  <w:style w:type="character" w:customStyle="1" w:styleId="121">
    <w:name w:val="red"/>
    <w:autoRedefine/>
    <w:qFormat/>
    <w:uiPriority w:val="0"/>
    <w:rPr>
      <w:rFonts w:hint="default" w:ascii="Arial" w:hAnsi="Arial" w:cs="Arial"/>
      <w:color w:val="E50000"/>
    </w:rPr>
  </w:style>
  <w:style w:type="character" w:customStyle="1" w:styleId="122">
    <w:name w:val="Char Char4"/>
    <w:autoRedefine/>
    <w:qFormat/>
    <w:uiPriority w:val="0"/>
    <w:rPr>
      <w:rFonts w:eastAsia="宋体"/>
      <w:b/>
      <w:bCs/>
      <w:kern w:val="44"/>
      <w:sz w:val="44"/>
      <w:szCs w:val="44"/>
      <w:lang w:val="en-US" w:eastAsia="zh-CN" w:bidi="ar-SA"/>
    </w:rPr>
  </w:style>
  <w:style w:type="character" w:customStyle="1" w:styleId="123">
    <w:name w:val="font161"/>
    <w:autoRedefine/>
    <w:qFormat/>
    <w:uiPriority w:val="0"/>
    <w:rPr>
      <w:b/>
      <w:bCs/>
      <w:sz w:val="32"/>
      <w:szCs w:val="32"/>
    </w:rPr>
  </w:style>
  <w:style w:type="character" w:customStyle="1" w:styleId="124">
    <w:name w:val="Char Char8"/>
    <w:autoRedefine/>
    <w:qFormat/>
    <w:uiPriority w:val="0"/>
    <w:rPr>
      <w:rFonts w:ascii="Arial" w:hAnsi="Arial" w:eastAsia="黑体"/>
      <w:b/>
      <w:bCs/>
      <w:kern w:val="2"/>
      <w:sz w:val="32"/>
      <w:szCs w:val="32"/>
      <w:lang w:val="en-US" w:eastAsia="zh-CN" w:bidi="ar-SA"/>
    </w:rPr>
  </w:style>
  <w:style w:type="character" w:customStyle="1" w:styleId="125">
    <w:name w:val="msg-box29"/>
    <w:basedOn w:val="49"/>
    <w:autoRedefine/>
    <w:qFormat/>
    <w:uiPriority w:val="0"/>
  </w:style>
  <w:style w:type="character" w:customStyle="1" w:styleId="126">
    <w:name w:val="over2"/>
    <w:autoRedefine/>
    <w:qFormat/>
    <w:uiPriority w:val="0"/>
    <w:rPr>
      <w:color w:val="999999"/>
    </w:rPr>
  </w:style>
  <w:style w:type="character" w:customStyle="1" w:styleId="127">
    <w:name w:val="img_title7"/>
    <w:autoRedefine/>
    <w:qFormat/>
    <w:uiPriority w:val="0"/>
    <w:rPr>
      <w:vanish/>
    </w:rPr>
  </w:style>
  <w:style w:type="character" w:customStyle="1" w:styleId="128">
    <w:name w:val="l7"/>
    <w:autoRedefine/>
    <w:qFormat/>
    <w:uiPriority w:val="0"/>
    <w:rPr>
      <w:color w:val="999999"/>
    </w:rPr>
  </w:style>
  <w:style w:type="character" w:customStyle="1" w:styleId="129">
    <w:name w:val="标题 5 Char"/>
    <w:link w:val="10"/>
    <w:autoRedefine/>
    <w:qFormat/>
    <w:uiPriority w:val="0"/>
    <w:rPr>
      <w:b/>
      <w:bCs/>
      <w:kern w:val="2"/>
      <w:sz w:val="28"/>
      <w:szCs w:val="28"/>
    </w:rPr>
  </w:style>
  <w:style w:type="character" w:customStyle="1" w:styleId="130">
    <w:name w:val="l51"/>
    <w:autoRedefine/>
    <w:qFormat/>
    <w:uiPriority w:val="0"/>
    <w:rPr>
      <w:color w:val="999999"/>
    </w:rPr>
  </w:style>
  <w:style w:type="character" w:customStyle="1" w:styleId="131">
    <w:name w:val="num81"/>
    <w:basedOn w:val="49"/>
    <w:autoRedefine/>
    <w:qFormat/>
    <w:uiPriority w:val="0"/>
  </w:style>
  <w:style w:type="character" w:customStyle="1" w:styleId="132">
    <w:name w:val="Char Char1"/>
    <w:autoRedefine/>
    <w:qFormat/>
    <w:uiPriority w:val="0"/>
    <w:rPr>
      <w:rFonts w:eastAsia="宋体"/>
      <w:kern w:val="2"/>
      <w:sz w:val="21"/>
      <w:szCs w:val="24"/>
      <w:lang w:val="en-US" w:eastAsia="zh-CN" w:bidi="ar-SA"/>
    </w:rPr>
  </w:style>
  <w:style w:type="character" w:customStyle="1" w:styleId="133">
    <w:name w:val="zs"/>
    <w:autoRedefine/>
    <w:qFormat/>
    <w:uiPriority w:val="0"/>
    <w:rPr>
      <w:color w:val="8D744B"/>
      <w:sz w:val="18"/>
      <w:szCs w:val="18"/>
    </w:rPr>
  </w:style>
  <w:style w:type="character" w:customStyle="1" w:styleId="134">
    <w:name w:val="bigfont"/>
    <w:basedOn w:val="49"/>
    <w:autoRedefine/>
    <w:qFormat/>
    <w:uiPriority w:val="0"/>
  </w:style>
  <w:style w:type="character" w:customStyle="1" w:styleId="135">
    <w:name w:val="txt"/>
    <w:autoRedefine/>
    <w:qFormat/>
    <w:uiPriority w:val="0"/>
    <w:rPr>
      <w:color w:val="C0C0C0"/>
    </w:rPr>
  </w:style>
  <w:style w:type="character" w:customStyle="1" w:styleId="136">
    <w:name w:val="纯文本 Char2"/>
    <w:link w:val="24"/>
    <w:autoRedefine/>
    <w:qFormat/>
    <w:uiPriority w:val="0"/>
    <w:rPr>
      <w:rFonts w:ascii="Courier New" w:hAnsi="Courier New" w:eastAsia="宋体"/>
      <w:kern w:val="2"/>
      <w:sz w:val="21"/>
      <w:lang w:val="en-US" w:eastAsia="zh-CN" w:bidi="ar-SA"/>
    </w:rPr>
  </w:style>
  <w:style w:type="character" w:customStyle="1" w:styleId="137">
    <w:name w:val="jg"/>
    <w:basedOn w:val="49"/>
    <w:autoRedefine/>
    <w:qFormat/>
    <w:uiPriority w:val="0"/>
  </w:style>
  <w:style w:type="character" w:customStyle="1" w:styleId="138">
    <w:name w:val="17"/>
    <w:autoRedefine/>
    <w:qFormat/>
    <w:uiPriority w:val="0"/>
    <w:rPr>
      <w:rFonts w:ascii="仿宋_GB2312" w:eastAsia="仿宋_GB2312"/>
      <w:color w:val="auto"/>
      <w:sz w:val="28"/>
      <w:szCs w:val="28"/>
      <w:u w:val="single"/>
    </w:rPr>
  </w:style>
  <w:style w:type="character" w:customStyle="1" w:styleId="139">
    <w:name w:val="job"/>
    <w:basedOn w:val="49"/>
    <w:autoRedefine/>
    <w:qFormat/>
    <w:uiPriority w:val="0"/>
  </w:style>
  <w:style w:type="character" w:customStyle="1" w:styleId="140">
    <w:name w:val="job1"/>
    <w:basedOn w:val="49"/>
    <w:autoRedefine/>
    <w:qFormat/>
    <w:uiPriority w:val="0"/>
  </w:style>
  <w:style w:type="character" w:customStyle="1" w:styleId="141">
    <w:name w:val="标题 2 Char"/>
    <w:autoRedefine/>
    <w:qFormat/>
    <w:uiPriority w:val="0"/>
    <w:rPr>
      <w:rFonts w:ascii="Arial" w:hAnsi="Arial" w:eastAsia="黑体"/>
      <w:b/>
      <w:bCs/>
      <w:kern w:val="2"/>
      <w:sz w:val="21"/>
      <w:szCs w:val="32"/>
      <w:lang w:val="en-US" w:eastAsia="zh-CN" w:bidi="ar-SA"/>
    </w:rPr>
  </w:style>
  <w:style w:type="character" w:customStyle="1" w:styleId="142">
    <w:name w:val="正文文本 Char"/>
    <w:link w:val="20"/>
    <w:autoRedefine/>
    <w:qFormat/>
    <w:uiPriority w:val="0"/>
    <w:rPr>
      <w:rFonts w:eastAsia="宋体"/>
      <w:kern w:val="2"/>
      <w:sz w:val="21"/>
      <w:szCs w:val="24"/>
      <w:lang w:val="en-US" w:eastAsia="zh-CN" w:bidi="ar-SA"/>
    </w:rPr>
  </w:style>
  <w:style w:type="character" w:customStyle="1" w:styleId="143">
    <w:name w:val="p05"/>
    <w:basedOn w:val="49"/>
    <w:autoRedefine/>
    <w:qFormat/>
    <w:uiPriority w:val="0"/>
  </w:style>
  <w:style w:type="character" w:customStyle="1" w:styleId="144">
    <w:name w:val="Char Char7"/>
    <w:autoRedefine/>
    <w:qFormat/>
    <w:uiPriority w:val="0"/>
    <w:rPr>
      <w:rFonts w:ascii="Arial" w:hAnsi="Arial" w:eastAsia="黑体"/>
      <w:b/>
      <w:bCs/>
      <w:kern w:val="2"/>
      <w:sz w:val="32"/>
      <w:szCs w:val="32"/>
      <w:lang w:val="en-US" w:eastAsia="zh-CN" w:bidi="ar-SA"/>
    </w:rPr>
  </w:style>
  <w:style w:type="character" w:customStyle="1" w:styleId="145">
    <w:name w:val="over3"/>
    <w:basedOn w:val="49"/>
    <w:autoRedefine/>
    <w:qFormat/>
    <w:uiPriority w:val="0"/>
  </w:style>
  <w:style w:type="character" w:customStyle="1" w:styleId="146">
    <w:name w:val="Char Char3"/>
    <w:autoRedefine/>
    <w:qFormat/>
    <w:uiPriority w:val="0"/>
    <w:rPr>
      <w:rFonts w:ascii="Arial" w:hAnsi="Arial" w:eastAsia="黑体"/>
      <w:b/>
      <w:bCs/>
      <w:kern w:val="2"/>
      <w:sz w:val="32"/>
      <w:szCs w:val="32"/>
      <w:lang w:val="en-US" w:eastAsia="zh-CN" w:bidi="ar-SA"/>
    </w:rPr>
  </w:style>
  <w:style w:type="character" w:customStyle="1" w:styleId="147">
    <w:name w:val="Char Char71"/>
    <w:autoRedefine/>
    <w:qFormat/>
    <w:uiPriority w:val="0"/>
    <w:rPr>
      <w:rFonts w:ascii="Arial" w:hAnsi="Arial" w:eastAsia="黑体"/>
      <w:b/>
      <w:bCs/>
      <w:kern w:val="2"/>
      <w:sz w:val="32"/>
      <w:szCs w:val="32"/>
      <w:lang w:val="en-US" w:eastAsia="zh-CN" w:bidi="ar-SA"/>
    </w:rPr>
  </w:style>
  <w:style w:type="character" w:customStyle="1" w:styleId="148">
    <w:name w:val="num51"/>
    <w:basedOn w:val="49"/>
    <w:autoRedefine/>
    <w:qFormat/>
    <w:uiPriority w:val="0"/>
  </w:style>
  <w:style w:type="character" w:customStyle="1" w:styleId="149">
    <w:name w:val="Char Char Char"/>
    <w:autoRedefine/>
    <w:qFormat/>
    <w:uiPriority w:val="0"/>
    <w:rPr>
      <w:rFonts w:eastAsia="宋体"/>
      <w:b/>
      <w:bCs/>
      <w:kern w:val="44"/>
      <w:sz w:val="44"/>
      <w:szCs w:val="44"/>
      <w:lang w:val="en-US" w:eastAsia="zh-CN" w:bidi="ar-SA"/>
    </w:rPr>
  </w:style>
  <w:style w:type="character" w:customStyle="1" w:styleId="150">
    <w:name w:val="msg-box31"/>
    <w:basedOn w:val="49"/>
    <w:autoRedefine/>
    <w:qFormat/>
    <w:uiPriority w:val="0"/>
  </w:style>
  <w:style w:type="character" w:customStyle="1" w:styleId="151">
    <w:name w:val="msg-box30"/>
    <w:basedOn w:val="49"/>
    <w:autoRedefine/>
    <w:qFormat/>
    <w:uiPriority w:val="0"/>
  </w:style>
  <w:style w:type="character" w:customStyle="1" w:styleId="152">
    <w:name w:val="标题 1 Char Char"/>
    <w:autoRedefine/>
    <w:qFormat/>
    <w:uiPriority w:val="0"/>
    <w:rPr>
      <w:rFonts w:eastAsia="宋体"/>
      <w:b/>
      <w:bCs/>
      <w:kern w:val="44"/>
      <w:sz w:val="44"/>
      <w:szCs w:val="44"/>
      <w:lang w:val="en-US" w:eastAsia="zh-CN" w:bidi="ar-SA"/>
    </w:rPr>
  </w:style>
  <w:style w:type="character" w:customStyle="1" w:styleId="153">
    <w:name w:val="标题 3 Char"/>
    <w:link w:val="8"/>
    <w:autoRedefine/>
    <w:qFormat/>
    <w:uiPriority w:val="0"/>
    <w:rPr>
      <w:b/>
      <w:bCs/>
      <w:sz w:val="32"/>
      <w:szCs w:val="32"/>
    </w:rPr>
  </w:style>
  <w:style w:type="character" w:customStyle="1" w:styleId="154">
    <w:name w:val="c1"/>
    <w:basedOn w:val="49"/>
    <w:autoRedefine/>
    <w:qFormat/>
    <w:uiPriority w:val="0"/>
  </w:style>
  <w:style w:type="character" w:customStyle="1" w:styleId="155">
    <w:name w:val="纯文本 Char1"/>
    <w:autoRedefine/>
    <w:qFormat/>
    <w:uiPriority w:val="0"/>
    <w:rPr>
      <w:rFonts w:ascii="Courier New" w:hAnsi="Courier New" w:eastAsia="宋体"/>
      <w:kern w:val="2"/>
      <w:sz w:val="21"/>
      <w:lang w:val="en-US" w:eastAsia="zh-CN" w:bidi="ar-SA"/>
    </w:rPr>
  </w:style>
  <w:style w:type="character" w:customStyle="1" w:styleId="156">
    <w:name w:val="Char Char Char1"/>
    <w:autoRedefine/>
    <w:qFormat/>
    <w:uiPriority w:val="0"/>
    <w:rPr>
      <w:rFonts w:ascii="Arial" w:hAnsi="Arial" w:eastAsia="黑体"/>
      <w:b/>
      <w:bCs/>
      <w:kern w:val="2"/>
      <w:sz w:val="32"/>
      <w:szCs w:val="32"/>
      <w:lang w:val="en-US" w:eastAsia="zh-CN" w:bidi="ar-SA"/>
    </w:rPr>
  </w:style>
  <w:style w:type="character" w:customStyle="1" w:styleId="157">
    <w:name w:val="l3"/>
    <w:autoRedefine/>
    <w:qFormat/>
    <w:uiPriority w:val="0"/>
    <w:rPr>
      <w:color w:val="999999"/>
    </w:rPr>
  </w:style>
  <w:style w:type="character" w:customStyle="1" w:styleId="158">
    <w:name w:val="tit14"/>
    <w:autoRedefine/>
    <w:qFormat/>
    <w:uiPriority w:val="0"/>
    <w:rPr>
      <w:color w:val="B60000"/>
    </w:rPr>
  </w:style>
  <w:style w:type="character" w:customStyle="1" w:styleId="159">
    <w:name w:val="tit10"/>
    <w:autoRedefine/>
    <w:qFormat/>
    <w:uiPriority w:val="0"/>
    <w:rPr>
      <w:color w:val="B60000"/>
    </w:rPr>
  </w:style>
  <w:style w:type="character" w:customStyle="1" w:styleId="160">
    <w:name w:val="l21"/>
    <w:autoRedefine/>
    <w:qFormat/>
    <w:uiPriority w:val="0"/>
    <w:rPr>
      <w:color w:val="999999"/>
    </w:rPr>
  </w:style>
  <w:style w:type="character" w:customStyle="1" w:styleId="161">
    <w:name w:val="num71"/>
    <w:basedOn w:val="49"/>
    <w:autoRedefine/>
    <w:qFormat/>
    <w:uiPriority w:val="0"/>
  </w:style>
  <w:style w:type="character" w:customStyle="1" w:styleId="162">
    <w:name w:val="标题 2 Char Char"/>
    <w:autoRedefine/>
    <w:qFormat/>
    <w:uiPriority w:val="0"/>
    <w:rPr>
      <w:rFonts w:ascii="Arial" w:hAnsi="Arial" w:eastAsia="黑体"/>
      <w:b/>
      <w:bCs/>
      <w:kern w:val="2"/>
      <w:sz w:val="32"/>
      <w:szCs w:val="32"/>
      <w:lang w:val="en-US" w:eastAsia="zh-CN" w:bidi="ar-SA"/>
    </w:rPr>
  </w:style>
  <w:style w:type="character" w:customStyle="1" w:styleId="163">
    <w:name w:val="buvis"/>
    <w:autoRedefine/>
    <w:qFormat/>
    <w:uiPriority w:val="0"/>
    <w:rPr>
      <w:color w:val="999999"/>
    </w:rPr>
  </w:style>
  <w:style w:type="character" w:customStyle="1" w:styleId="164">
    <w:name w:val="name"/>
    <w:autoRedefine/>
    <w:qFormat/>
    <w:uiPriority w:val="0"/>
    <w:rPr>
      <w:color w:val="444444"/>
      <w:sz w:val="21"/>
      <w:szCs w:val="21"/>
    </w:rPr>
  </w:style>
  <w:style w:type="character" w:customStyle="1" w:styleId="165">
    <w:name w:val="layui-this"/>
    <w:autoRedefine/>
    <w:qFormat/>
    <w:uiPriority w:val="0"/>
    <w:rPr>
      <w:bdr w:val="single" w:color="EEEEEE" w:sz="6" w:space="0"/>
      <w:shd w:val="clear" w:color="auto" w:fill="FFFFFF"/>
    </w:rPr>
  </w:style>
  <w:style w:type="character" w:customStyle="1" w:styleId="166">
    <w:name w:val="标题 2 Char1"/>
    <w:autoRedefine/>
    <w:qFormat/>
    <w:uiPriority w:val="0"/>
    <w:rPr>
      <w:rFonts w:ascii="Arial" w:hAnsi="Arial" w:eastAsia="黑体"/>
      <w:b/>
      <w:bCs/>
      <w:kern w:val="2"/>
      <w:sz w:val="32"/>
      <w:szCs w:val="32"/>
      <w:lang w:val="en-US" w:eastAsia="zh-CN" w:bidi="ar-SA"/>
    </w:rPr>
  </w:style>
  <w:style w:type="character" w:customStyle="1" w:styleId="167">
    <w:name w:val="zw"/>
    <w:autoRedefine/>
    <w:qFormat/>
    <w:uiPriority w:val="0"/>
    <w:rPr>
      <w:color w:val="BD1E22"/>
      <w:sz w:val="22"/>
      <w:szCs w:val="22"/>
    </w:rPr>
  </w:style>
  <w:style w:type="character" w:customStyle="1" w:styleId="168">
    <w:name w:val="name1"/>
    <w:autoRedefine/>
    <w:qFormat/>
    <w:uiPriority w:val="0"/>
    <w:rPr>
      <w:color w:val="695435"/>
      <w:sz w:val="24"/>
      <w:szCs w:val="24"/>
    </w:rPr>
  </w:style>
  <w:style w:type="character" w:customStyle="1" w:styleId="169">
    <w:name w:val="num61"/>
    <w:basedOn w:val="49"/>
    <w:autoRedefine/>
    <w:qFormat/>
    <w:uiPriority w:val="0"/>
  </w:style>
  <w:style w:type="character" w:customStyle="1" w:styleId="170">
    <w:name w:val="mesg-myd"/>
    <w:autoRedefine/>
    <w:qFormat/>
    <w:uiPriority w:val="0"/>
    <w:rPr>
      <w:color w:val="EE0000"/>
    </w:rPr>
  </w:style>
  <w:style w:type="character" w:customStyle="1" w:styleId="171">
    <w:name w:val="c2"/>
    <w:basedOn w:val="49"/>
    <w:autoRedefine/>
    <w:qFormat/>
    <w:uiPriority w:val="0"/>
  </w:style>
  <w:style w:type="character" w:customStyle="1" w:styleId="172">
    <w:name w:val="c3"/>
    <w:basedOn w:val="49"/>
    <w:autoRedefine/>
    <w:qFormat/>
    <w:uiPriority w:val="0"/>
  </w:style>
  <w:style w:type="character" w:customStyle="1" w:styleId="173">
    <w:name w:val="over1"/>
    <w:autoRedefine/>
    <w:qFormat/>
    <w:uiPriority w:val="0"/>
    <w:rPr>
      <w:color w:val="B60000"/>
    </w:rPr>
  </w:style>
  <w:style w:type="character" w:customStyle="1" w:styleId="174">
    <w:name w:val="tit13"/>
    <w:autoRedefine/>
    <w:qFormat/>
    <w:uiPriority w:val="0"/>
    <w:rPr>
      <w:color w:val="FFFFFF"/>
    </w:rPr>
  </w:style>
  <w:style w:type="character" w:customStyle="1" w:styleId="175">
    <w:name w:val="Char Char21"/>
    <w:autoRedefine/>
    <w:qFormat/>
    <w:uiPriority w:val="0"/>
    <w:rPr>
      <w:rFonts w:eastAsia="宋体"/>
      <w:kern w:val="2"/>
      <w:sz w:val="21"/>
      <w:szCs w:val="24"/>
      <w:lang w:val="en-US" w:eastAsia="zh-CN" w:bidi="ar-SA"/>
    </w:rPr>
  </w:style>
  <w:style w:type="character" w:customStyle="1" w:styleId="176">
    <w:name w:val="l41"/>
    <w:autoRedefine/>
    <w:qFormat/>
    <w:uiPriority w:val="0"/>
    <w:rPr>
      <w:color w:val="999999"/>
    </w:rPr>
  </w:style>
  <w:style w:type="character" w:customStyle="1" w:styleId="177">
    <w:name w:val="16"/>
    <w:autoRedefine/>
    <w:qFormat/>
    <w:uiPriority w:val="0"/>
    <w:rPr>
      <w:rFonts w:ascii="仿宋_GB2312" w:eastAsia="仿宋_GB2312"/>
      <w:color w:val="auto"/>
      <w:sz w:val="28"/>
      <w:szCs w:val="28"/>
    </w:rPr>
  </w:style>
  <w:style w:type="character" w:customStyle="1" w:styleId="178">
    <w:name w:val="num31"/>
    <w:basedOn w:val="49"/>
    <w:autoRedefine/>
    <w:qFormat/>
    <w:uiPriority w:val="0"/>
  </w:style>
  <w:style w:type="character" w:customStyle="1" w:styleId="179">
    <w:name w:val="starting4"/>
    <w:basedOn w:val="49"/>
    <w:autoRedefine/>
    <w:qFormat/>
    <w:uiPriority w:val="0"/>
  </w:style>
  <w:style w:type="character" w:customStyle="1" w:styleId="180">
    <w:name w:val="bsharetext"/>
    <w:basedOn w:val="49"/>
    <w:autoRedefine/>
    <w:qFormat/>
    <w:uiPriority w:val="0"/>
  </w:style>
  <w:style w:type="character" w:customStyle="1" w:styleId="181">
    <w:name w:val="unit"/>
    <w:autoRedefine/>
    <w:qFormat/>
    <w:uiPriority w:val="0"/>
    <w:rPr>
      <w:color w:val="999999"/>
    </w:rPr>
  </w:style>
  <w:style w:type="character" w:customStyle="1" w:styleId="182">
    <w:name w:val="nostart2"/>
    <w:autoRedefine/>
    <w:qFormat/>
    <w:uiPriority w:val="0"/>
    <w:rPr>
      <w:color w:val="B60000"/>
    </w:rPr>
  </w:style>
  <w:style w:type="character" w:customStyle="1" w:styleId="183">
    <w:name w:val="纯文本 Char"/>
    <w:autoRedefine/>
    <w:qFormat/>
    <w:uiPriority w:val="99"/>
    <w:rPr>
      <w:rFonts w:ascii="Courier New" w:hAnsi="Courier New" w:eastAsia="宋体"/>
      <w:kern w:val="2"/>
      <w:sz w:val="21"/>
      <w:lang w:val="en-US" w:eastAsia="zh-CN" w:bidi="ar-SA"/>
    </w:rPr>
  </w:style>
  <w:style w:type="character" w:customStyle="1" w:styleId="184">
    <w:name w:val="Char Char81"/>
    <w:autoRedefine/>
    <w:qFormat/>
    <w:uiPriority w:val="0"/>
    <w:rPr>
      <w:rFonts w:ascii="Arial" w:hAnsi="Arial" w:eastAsia="黑体"/>
      <w:b/>
      <w:bCs/>
      <w:kern w:val="2"/>
      <w:sz w:val="32"/>
      <w:szCs w:val="32"/>
      <w:lang w:val="en-US" w:eastAsia="zh-CN" w:bidi="ar-SA"/>
    </w:rPr>
  </w:style>
  <w:style w:type="character" w:customStyle="1" w:styleId="185">
    <w:name w:val="starting"/>
    <w:autoRedefine/>
    <w:qFormat/>
    <w:uiPriority w:val="0"/>
    <w:rPr>
      <w:color w:val="339900"/>
    </w:rPr>
  </w:style>
  <w:style w:type="character" w:customStyle="1" w:styleId="186">
    <w:name w:val="nostart1"/>
    <w:autoRedefine/>
    <w:qFormat/>
    <w:uiPriority w:val="0"/>
    <w:rPr>
      <w:color w:val="FF0000"/>
    </w:rPr>
  </w:style>
  <w:style w:type="character" w:customStyle="1" w:styleId="187">
    <w:name w:val="num210"/>
    <w:basedOn w:val="49"/>
    <w:autoRedefine/>
    <w:qFormat/>
    <w:uiPriority w:val="0"/>
  </w:style>
  <w:style w:type="character" w:customStyle="1" w:styleId="188">
    <w:name w:val="buvis1"/>
    <w:autoRedefine/>
    <w:qFormat/>
    <w:uiPriority w:val="0"/>
    <w:rPr>
      <w:color w:val="CC0000"/>
    </w:rPr>
  </w:style>
  <w:style w:type="character" w:customStyle="1" w:styleId="189">
    <w:name w:val="starting3"/>
    <w:basedOn w:val="49"/>
    <w:autoRedefine/>
    <w:qFormat/>
    <w:uiPriority w:val="0"/>
  </w:style>
  <w:style w:type="character" w:customStyle="1" w:styleId="190">
    <w:name w:val="textcontents"/>
    <w:basedOn w:val="49"/>
    <w:autoRedefine/>
    <w:qFormat/>
    <w:uiPriority w:val="0"/>
  </w:style>
  <w:style w:type="character" w:customStyle="1" w:styleId="191">
    <w:name w:val="num41"/>
    <w:basedOn w:val="49"/>
    <w:autoRedefine/>
    <w:qFormat/>
    <w:uiPriority w:val="0"/>
  </w:style>
  <w:style w:type="character" w:customStyle="1" w:styleId="192">
    <w:name w:val="tit9"/>
    <w:autoRedefine/>
    <w:qFormat/>
    <w:uiPriority w:val="0"/>
    <w:rPr>
      <w:color w:val="B60000"/>
      <w:sz w:val="27"/>
      <w:szCs w:val="27"/>
      <w:bdr w:val="single" w:color="DFCEB8" w:sz="6" w:space="0"/>
      <w:shd w:val="clear" w:color="auto" w:fill="FFFFFF"/>
    </w:rPr>
  </w:style>
  <w:style w:type="character" w:customStyle="1" w:styleId="193">
    <w:name w:val="name2"/>
    <w:autoRedefine/>
    <w:qFormat/>
    <w:uiPriority w:val="0"/>
    <w:rPr>
      <w:color w:val="000000"/>
      <w:sz w:val="39"/>
      <w:szCs w:val="39"/>
    </w:rPr>
  </w:style>
  <w:style w:type="character" w:customStyle="1" w:styleId="194">
    <w:name w:val="img_title8"/>
    <w:autoRedefine/>
    <w:qFormat/>
    <w:uiPriority w:val="0"/>
    <w:rPr>
      <w:vanish/>
    </w:rPr>
  </w:style>
  <w:style w:type="character" w:customStyle="1" w:styleId="195">
    <w:name w:val="tit15"/>
    <w:autoRedefine/>
    <w:qFormat/>
    <w:uiPriority w:val="0"/>
    <w:rPr>
      <w:b/>
      <w:color w:val="B60000"/>
    </w:rPr>
  </w:style>
  <w:style w:type="character" w:customStyle="1" w:styleId="196">
    <w:name w:val="img_title9"/>
    <w:autoRedefine/>
    <w:qFormat/>
    <w:uiPriority w:val="0"/>
    <w:rPr>
      <w:vanish/>
    </w:rPr>
  </w:style>
  <w:style w:type="character" w:customStyle="1" w:styleId="197">
    <w:name w:val="标题 2 Char2"/>
    <w:link w:val="7"/>
    <w:autoRedefine/>
    <w:qFormat/>
    <w:uiPriority w:val="0"/>
    <w:rPr>
      <w:rFonts w:ascii="Arial" w:hAnsi="Arial" w:eastAsia="黑体"/>
      <w:b/>
      <w:bCs/>
      <w:kern w:val="2"/>
      <w:sz w:val="21"/>
      <w:szCs w:val="32"/>
      <w:lang w:val="en-US" w:eastAsia="zh-CN" w:bidi="ar-SA"/>
    </w:rPr>
  </w:style>
  <w:style w:type="paragraph" w:customStyle="1" w:styleId="19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character" w:customStyle="1" w:styleId="199">
    <w:name w:val="font12"/>
    <w:basedOn w:val="49"/>
    <w:autoRedefine/>
    <w:qFormat/>
    <w:uiPriority w:val="0"/>
    <w:rPr>
      <w:rFonts w:hint="eastAsia" w:ascii="仿宋" w:hAnsi="仿宋" w:eastAsia="仿宋" w:cs="仿宋"/>
      <w:b/>
      <w:color w:val="000000"/>
      <w:sz w:val="32"/>
      <w:szCs w:val="32"/>
      <w:u w:val="none"/>
    </w:rPr>
  </w:style>
  <w:style w:type="character" w:customStyle="1" w:styleId="200">
    <w:name w:val="font101"/>
    <w:basedOn w:val="49"/>
    <w:autoRedefine/>
    <w:qFormat/>
    <w:uiPriority w:val="0"/>
    <w:rPr>
      <w:rFonts w:hint="default" w:ascii="Times New Roman" w:hAnsi="Times New Roman" w:cs="Times New Roman"/>
      <w:color w:val="000000"/>
      <w:sz w:val="24"/>
      <w:szCs w:val="24"/>
      <w:u w:val="none"/>
    </w:rPr>
  </w:style>
  <w:style w:type="character" w:customStyle="1" w:styleId="201">
    <w:name w:val="font111"/>
    <w:basedOn w:val="49"/>
    <w:autoRedefine/>
    <w:qFormat/>
    <w:uiPriority w:val="0"/>
    <w:rPr>
      <w:rFonts w:ascii="仿宋_GB2312" w:eastAsia="仿宋_GB2312" w:cs="仿宋_GB2312"/>
      <w:color w:val="000000"/>
      <w:sz w:val="24"/>
      <w:szCs w:val="24"/>
      <w:u w:val="none"/>
    </w:rPr>
  </w:style>
  <w:style w:type="character" w:customStyle="1" w:styleId="202">
    <w:name w:val="font91"/>
    <w:basedOn w:val="49"/>
    <w:autoRedefine/>
    <w:qFormat/>
    <w:uiPriority w:val="0"/>
    <w:rPr>
      <w:rFonts w:hint="eastAsia" w:ascii="仿宋" w:hAnsi="仿宋" w:eastAsia="仿宋" w:cs="仿宋"/>
      <w:color w:val="000000"/>
      <w:sz w:val="24"/>
      <w:szCs w:val="24"/>
      <w:u w:val="single"/>
    </w:rPr>
  </w:style>
  <w:style w:type="character" w:customStyle="1" w:styleId="203">
    <w:name w:val="font81"/>
    <w:basedOn w:val="49"/>
    <w:autoRedefine/>
    <w:qFormat/>
    <w:uiPriority w:val="0"/>
    <w:rPr>
      <w:rFonts w:hint="default" w:ascii="Times New Roman" w:hAnsi="Times New Roman" w:cs="Times New Roman"/>
      <w:color w:val="000000"/>
      <w:sz w:val="24"/>
      <w:szCs w:val="24"/>
      <w:u w:val="none"/>
    </w:rPr>
  </w:style>
  <w:style w:type="character" w:customStyle="1" w:styleId="204">
    <w:name w:val="font61"/>
    <w:basedOn w:val="49"/>
    <w:autoRedefine/>
    <w:qFormat/>
    <w:uiPriority w:val="0"/>
    <w:rPr>
      <w:rFonts w:hint="eastAsia" w:ascii="仿宋_GB2312" w:eastAsia="仿宋_GB2312" w:cs="仿宋_GB2312"/>
      <w:color w:val="000000"/>
      <w:sz w:val="24"/>
      <w:szCs w:val="24"/>
      <w:u w:val="none"/>
    </w:rPr>
  </w:style>
  <w:style w:type="character" w:customStyle="1" w:styleId="205">
    <w:name w:val="font21"/>
    <w:basedOn w:val="49"/>
    <w:autoRedefine/>
    <w:qFormat/>
    <w:uiPriority w:val="0"/>
    <w:rPr>
      <w:rFonts w:hint="default" w:ascii="Times New Roman" w:hAnsi="Times New Roman" w:cs="Times New Roman"/>
      <w:color w:val="000000"/>
      <w:sz w:val="24"/>
      <w:szCs w:val="24"/>
      <w:u w:val="none"/>
    </w:rPr>
  </w:style>
  <w:style w:type="character" w:customStyle="1" w:styleId="206">
    <w:name w:val="NormalCharacter"/>
    <w:autoRedefine/>
    <w:semiHidden/>
    <w:qFormat/>
    <w:uiPriority w:val="0"/>
    <w:rPr>
      <w:snapToGrid w:val="0"/>
      <w:kern w:val="0"/>
      <w:sz w:val="32"/>
      <w:szCs w:val="32"/>
      <w:lang w:val="en-US" w:eastAsia="zh-CN" w:bidi="ar-SA"/>
    </w:rPr>
  </w:style>
  <w:style w:type="character" w:customStyle="1" w:styleId="207">
    <w:name w:val="first-child1"/>
    <w:basedOn w:val="49"/>
    <w:autoRedefine/>
    <w:qFormat/>
    <w:uiPriority w:val="0"/>
  </w:style>
  <w:style w:type="character" w:customStyle="1" w:styleId="208">
    <w:name w:val="hover1"/>
    <w:basedOn w:val="49"/>
    <w:autoRedefine/>
    <w:qFormat/>
    <w:uiPriority w:val="0"/>
    <w:rPr>
      <w:color w:val="2590EB"/>
    </w:rPr>
  </w:style>
  <w:style w:type="character" w:customStyle="1" w:styleId="209">
    <w:name w:val="hover2"/>
    <w:basedOn w:val="49"/>
    <w:autoRedefine/>
    <w:qFormat/>
    <w:uiPriority w:val="0"/>
  </w:style>
  <w:style w:type="character" w:customStyle="1" w:styleId="210">
    <w:name w:val="hover3"/>
    <w:basedOn w:val="49"/>
    <w:autoRedefine/>
    <w:qFormat/>
    <w:uiPriority w:val="0"/>
    <w:rPr>
      <w:color w:val="2590EB"/>
    </w:rPr>
  </w:style>
  <w:style w:type="character" w:customStyle="1" w:styleId="211">
    <w:name w:val="hover4"/>
    <w:basedOn w:val="49"/>
    <w:autoRedefine/>
    <w:qFormat/>
    <w:uiPriority w:val="0"/>
    <w:rPr>
      <w:color w:val="2590EB"/>
      <w:shd w:val="clear" w:fill="E9F4FD"/>
    </w:rPr>
  </w:style>
  <w:style w:type="character" w:customStyle="1" w:styleId="212">
    <w:name w:val="mini-outputtext1"/>
    <w:basedOn w:val="49"/>
    <w:autoRedefine/>
    <w:qFormat/>
    <w:uiPriority w:val="0"/>
  </w:style>
  <w:style w:type="character" w:customStyle="1" w:styleId="213">
    <w:name w:val="hover"/>
    <w:basedOn w:val="49"/>
    <w:autoRedefine/>
    <w:qFormat/>
    <w:uiPriority w:val="0"/>
    <w:rPr>
      <w:color w:val="2590E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B6A8AB-B2A1-4B55-8D10-16A16BEFEE1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53</Pages>
  <Words>32978</Words>
  <Characters>34984</Characters>
  <Lines>411</Lines>
  <Paragraphs>115</Paragraphs>
  <TotalTime>49</TotalTime>
  <ScaleCrop>false</ScaleCrop>
  <LinksUpToDate>false</LinksUpToDate>
  <CharactersWithSpaces>37825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2016-05-15T08:29:00Z</dcterms:created>
  <dc:creator>dengxiaochun</dc:creator>
  <cp:lastModifiedBy>好奇害死汪</cp:lastModifiedBy>
  <cp:lastPrinted>2024-09-13T07:23:00Z</cp:lastPrinted>
  <dcterms:modified xsi:type="dcterms:W3CDTF">2024-09-14T00:48:07Z</dcterms:modified>
  <dc:title>标准交易文件</dc:title>
  <cp:revision>328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3C573CB7AAF343279ED1C183505A2469_13</vt:lpwstr>
  </property>
</Properties>
</file>